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 w:lineRule="exact"/>
        <w:rPr>
          <w:sz w:val="24"/>
          <w:szCs w:val="24"/>
          <w:color w:val="auto"/>
        </w:rPr>
      </w:pPr>
    </w:p>
    <w:p>
      <w:pPr>
        <w:ind w:left="1500" w:hanging="807"/>
        <w:spacing w:after="0"/>
        <w:tabs>
          <w:tab w:leader="none" w:pos="1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500" w:hanging="805"/>
        <w:spacing w:after="0"/>
        <w:tabs>
          <w:tab w:leader="none" w:pos="1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66040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4560" w:type="dxa"/>
            <w:vAlign w:val="bottom"/>
          </w:tcPr>
          <w:p>
            <w:pPr>
              <w:jc w:val="center"/>
              <w:ind w:right="1799"/>
              <w:spacing w:after="0"/>
              <w:rPr>
                <w:sz w:val="20"/>
                <w:szCs w:val="20"/>
                <w:color w:val="auto"/>
              </w:rPr>
            </w:pPr>
            <w:r>
              <w:rPr>
                <w:rFonts w:ascii="Arial" w:cs="Arial" w:eastAsia="Arial" w:hAnsi="Arial"/>
                <w:sz w:val="18"/>
                <w:szCs w:val="18"/>
                <w:b w:val="1"/>
                <w:bCs w:val="1"/>
                <w:color w:val="auto"/>
              </w:rPr>
              <w:t>Delaware</w:t>
            </w:r>
          </w:p>
        </w:tc>
        <w:tc>
          <w:tcPr>
            <w:tcW w:w="310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6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100" w:type="dxa"/>
            <w:vAlign w:val="bottom"/>
          </w:tcPr>
          <w:p>
            <w:pPr>
              <w:jc w:val="center"/>
              <w:ind w:left="180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56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100" w:type="dxa"/>
            <w:vAlign w:val="bottom"/>
          </w:tcPr>
          <w:p>
            <w:pPr>
              <w:jc w:val="center"/>
              <w:ind w:left="1801"/>
              <w:spacing w:after="0"/>
              <w:rPr>
                <w:sz w:val="20"/>
                <w:szCs w:val="20"/>
                <w:color w:val="auto"/>
              </w:rPr>
            </w:pPr>
            <w:r>
              <w:rPr>
                <w:rFonts w:ascii="Arial" w:cs="Arial" w:eastAsia="Arial" w:hAnsi="Arial"/>
                <w:sz w:val="14"/>
                <w:szCs w:val="14"/>
                <w:b w:val="1"/>
                <w:bCs w:val="1"/>
                <w:color w:val="auto"/>
              </w:rPr>
              <w:t>Identification No.)</w:t>
            </w:r>
          </w:p>
        </w:tc>
      </w:tr>
      <w:tr>
        <w:trPr>
          <w:trHeight w:val="286"/>
        </w:trPr>
        <w:tc>
          <w:tcPr>
            <w:tcW w:w="456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100" w:type="dxa"/>
            <w:vAlign w:val="bottom"/>
          </w:tcPr>
          <w:p>
            <w:pPr>
              <w:spacing w:after="0"/>
              <w:rPr>
                <w:sz w:val="24"/>
                <w:szCs w:val="24"/>
                <w:color w:val="auto"/>
              </w:rPr>
            </w:pPr>
          </w:p>
        </w:tc>
      </w:tr>
      <w:tr>
        <w:trPr>
          <w:trHeight w:val="212"/>
        </w:trPr>
        <w:tc>
          <w:tcPr>
            <w:tcW w:w="45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9"/>
              </w:rPr>
              <w:t>Centreville, Virginia</w:t>
            </w:r>
          </w:p>
        </w:tc>
        <w:tc>
          <w:tcPr>
            <w:tcW w:w="310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0"/>
        </w:trPr>
        <w:tc>
          <w:tcPr>
            <w:tcW w:w="4560" w:type="dxa"/>
            <w:vAlign w:val="bottom"/>
          </w:tcPr>
          <w:p>
            <w:pPr>
              <w:jc w:val="center"/>
              <w:ind w:right="1799"/>
              <w:spacing w:after="0"/>
              <w:rPr>
                <w:sz w:val="20"/>
                <w:szCs w:val="20"/>
                <w:color w:val="auto"/>
              </w:rPr>
            </w:pPr>
            <w:r>
              <w:rPr>
                <w:rFonts w:ascii="Arial" w:cs="Arial" w:eastAsia="Arial" w:hAnsi="Arial"/>
                <w:sz w:val="14"/>
                <w:szCs w:val="14"/>
                <w:b w:val="1"/>
                <w:bCs w:val="1"/>
                <w:color w:val="auto"/>
              </w:rPr>
              <w:t>(Address of principal executive offices)</w:t>
            </w:r>
          </w:p>
        </w:tc>
        <w:tc>
          <w:tcPr>
            <w:tcW w:w="3100" w:type="dxa"/>
            <w:vAlign w:val="bottom"/>
          </w:tcPr>
          <w:p>
            <w:pPr>
              <w:jc w:val="center"/>
              <w:ind w:left="1801"/>
              <w:spacing w:after="0"/>
              <w:rPr>
                <w:sz w:val="20"/>
                <w:szCs w:val="20"/>
                <w:color w:val="auto"/>
              </w:rPr>
            </w:pPr>
            <w:r>
              <w:rPr>
                <w:rFonts w:ascii="Arial" w:cs="Arial" w:eastAsia="Arial" w:hAnsi="Arial"/>
                <w:sz w:val="14"/>
                <w:szCs w:val="14"/>
                <w:b w:val="1"/>
                <w:bCs w:val="1"/>
                <w:color w:val="auto"/>
              </w:rPr>
              <w:t>(Zip Code)</w:t>
            </w:r>
          </w:p>
        </w:tc>
      </w:tr>
    </w:tbl>
    <w:p>
      <w:pPr>
        <w:spacing w:after="0" w:line="3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8" w:lineRule="exact"/>
        <w:rPr>
          <w:sz w:val="24"/>
          <w:szCs w:val="24"/>
          <w:color w:val="auto"/>
        </w:rPr>
      </w:pPr>
    </w:p>
    <w:p>
      <w:pPr>
        <w:ind w:left="6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140" w:type="dxa"/>
            <w:vAlign w:val="bottom"/>
          </w:tcPr>
          <w:p>
            <w:pPr>
              <w:spacing w:after="0"/>
              <w:rPr>
                <w:sz w:val="14"/>
                <w:szCs w:val="14"/>
                <w:color w:val="auto"/>
              </w:rPr>
            </w:pPr>
          </w:p>
        </w:tc>
      </w:tr>
      <w:tr>
        <w:trPr>
          <w:trHeight w:val="17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5"/>
                <w:szCs w:val="15"/>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0"/>
        </w:trPr>
        <w:tc>
          <w:tcPr>
            <w:tcW w:w="436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67" w:lineRule="exact"/>
        <w:rPr>
          <w:sz w:val="24"/>
          <w:szCs w:val="24"/>
          <w:color w:val="auto"/>
        </w:rPr>
      </w:pPr>
    </w:p>
    <w:p>
      <w:pPr>
        <w:ind w:right="8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jc w:val="both"/>
        <w:ind w:right="160" w:firstLine="608"/>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74" w:lineRule="exact"/>
        <w:rPr>
          <w:sz w:val="24"/>
          <w:szCs w:val="24"/>
          <w:color w:val="auto"/>
        </w:rPr>
      </w:pPr>
    </w:p>
    <w:p>
      <w:pPr>
        <w:ind w:right="640" w:firstLine="608"/>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620" w:right="980" w:hanging="607"/>
        <w:spacing w:after="0" w:line="273"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4, 2019, the registrant had 99,262,334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160020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60" w:type="dxa"/>
            <w:vAlign w:val="bottom"/>
            <w:gridSpan w:val="6"/>
          </w:tcPr>
          <w:p>
            <w:pPr>
              <w:ind w:left="620"/>
              <w:spacing w:after="0"/>
              <w:rPr>
                <w:sz w:val="20"/>
                <w:szCs w:val="20"/>
                <w:color w:val="auto"/>
              </w:rPr>
            </w:pPr>
            <w:r>
              <w:rPr>
                <w:rFonts w:ascii="Arial" w:cs="Arial" w:eastAsia="Arial" w:hAnsi="Arial"/>
                <w:sz w:val="18"/>
                <w:szCs w:val="18"/>
                <w:b w:val="1"/>
                <w:bCs w:val="1"/>
                <w:color w:val="auto"/>
              </w:rPr>
              <w:t>Table of Contents</w:t>
            </w:r>
          </w:p>
        </w:tc>
      </w:tr>
      <w:tr>
        <w:trPr>
          <w:trHeight w:val="621"/>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0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Balance Sheets</w:t>
              </w:r>
            </w:hyperlink>
          </w:p>
        </w:tc>
        <w:tc>
          <w:tcPr>
            <w:tcW w:w="300" w:type="dxa"/>
            <w:vAlign w:val="bottom"/>
            <w:tcBorders>
              <w:top w:val="single" w:sz="8" w:color="0000EE"/>
            </w:tcBorders>
            <w:gridSpan w:val="2"/>
          </w:tcPr>
          <w:p>
            <w:pPr>
              <w:spacing w:after="0"/>
              <w:rPr>
                <w:sz w:val="19"/>
                <w:szCs w:val="19"/>
                <w:color w:val="auto"/>
              </w:rPr>
            </w:pPr>
          </w:p>
        </w:tc>
        <w:tc>
          <w:tcPr>
            <w:tcW w:w="4400" w:type="dxa"/>
            <w:vAlign w:val="bottom"/>
            <w:gridSpan w:val="8"/>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Comprehensive Income</w:t>
              </w:r>
            </w:hyperlink>
          </w:p>
        </w:tc>
        <w:tc>
          <w:tcPr>
            <w:tcW w:w="2900" w:type="dxa"/>
            <w:vAlign w:val="bottom"/>
            <w:gridSpan w:val="5"/>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2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w:t>
              </w:r>
            </w:hyperlink>
          </w:p>
        </w:tc>
        <w:tc>
          <w:tcPr>
            <w:tcW w:w="3860" w:type="dxa"/>
            <w:vAlign w:val="bottom"/>
            <w:gridSpan w:val="6"/>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(Deficit)</w:t>
              </w:r>
            </w:hyperlink>
          </w:p>
        </w:tc>
      </w:tr>
      <w:tr>
        <w:trPr>
          <w:trHeight w:val="237"/>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0" w:type="dxa"/>
            <w:vAlign w:val="bottom"/>
            <w:tcBorders>
              <w:top w:val="single" w:sz="8" w:color="0000EE"/>
            </w:tcBorders>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2480" w:type="dxa"/>
            <w:vAlign w:val="bottom"/>
            <w:gridSpan w:val="3"/>
          </w:tcPr>
          <w:p>
            <w:pPr>
              <w:spacing w:after="0"/>
              <w:rPr>
                <w:sz w:val="20"/>
                <w:szCs w:val="20"/>
                <w:color w:val="auto"/>
              </w:rPr>
            </w:pPr>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Management’s Discussion and Analysis of Financial Condition and Results of Operations</w:t>
              </w:r>
            </w:hyperlink>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r>
      <w:tr>
        <w:trPr>
          <w:trHeight w:val="210"/>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Controls and Procedures</w:t>
              </w:r>
            </w:hyperlink>
          </w:p>
        </w:tc>
        <w:tc>
          <w:tcPr>
            <w:tcW w:w="2720" w:type="dxa"/>
            <w:vAlign w:val="bottom"/>
            <w:tcBorders>
              <w:top w:val="single" w:sz="8" w:color="0000EE"/>
            </w:tcBorders>
            <w:gridSpan w:val="10"/>
          </w:tcPr>
          <w:p>
            <w:pPr>
              <w:spacing w:after="0"/>
              <w:rPr>
                <w:sz w:val="18"/>
                <w:szCs w:val="18"/>
                <w:color w:val="auto"/>
              </w:rPr>
            </w:pPr>
          </w:p>
        </w:tc>
        <w:tc>
          <w:tcPr>
            <w:tcW w:w="2360" w:type="dxa"/>
            <w:vAlign w:val="bottom"/>
            <w:gridSpan w:val="2"/>
          </w:tcPr>
          <w:p>
            <w:pPr>
              <w:spacing w:after="0"/>
              <w:rPr>
                <w:sz w:val="18"/>
                <w:szCs w:val="18"/>
                <w:color w:val="auto"/>
              </w:rPr>
            </w:pPr>
          </w:p>
        </w:tc>
      </w:tr>
      <w:tr>
        <w:trPr>
          <w:trHeight w:val="237"/>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OTHER INFORMATION</w:t>
              </w:r>
            </w:hyperlink>
          </w:p>
        </w:tc>
        <w:tc>
          <w:tcPr>
            <w:tcW w:w="5140" w:type="dxa"/>
            <w:vAlign w:val="bottom"/>
            <w:gridSpan w:val="13"/>
          </w:tcPr>
          <w:p>
            <w:pPr>
              <w:spacing w:after="0"/>
              <w:rPr>
                <w:sz w:val="20"/>
                <w:szCs w:val="20"/>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Legal Proceedings</w:t>
              </w:r>
            </w:hyperlink>
          </w:p>
        </w:tc>
        <w:tc>
          <w:tcPr>
            <w:tcW w:w="5580" w:type="dxa"/>
            <w:vAlign w:val="bottom"/>
            <w:gridSpan w:val="14"/>
          </w:tcPr>
          <w:p>
            <w:pPr>
              <w:spacing w:after="0"/>
              <w:rPr>
                <w:sz w:val="19"/>
                <w:szCs w:val="19"/>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708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r>
      <w:tr>
        <w:trPr>
          <w:trHeight w:val="20"/>
        </w:trPr>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60" w:type="dxa"/>
            <w:vAlign w:val="bottom"/>
            <w:tcBorders>
              <w:top w:val="single" w:sz="8" w:color="0000EE"/>
            </w:tcBorders>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2220" w:type="dxa"/>
            <w:vAlign w:val="bottom"/>
          </w:tcPr>
          <w:p>
            <w:pPr>
              <w:spacing w:after="0"/>
              <w:rPr>
                <w:sz w:val="19"/>
                <w:szCs w:val="19"/>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Mine Safety Disclosures</w:t>
              </w:r>
            </w:hyperlink>
          </w:p>
        </w:tc>
        <w:tc>
          <w:tcPr>
            <w:tcW w:w="620" w:type="dxa"/>
            <w:vAlign w:val="bottom"/>
            <w:tcBorders>
              <w:top w:val="single" w:sz="8" w:color="0000EE"/>
            </w:tcBorders>
            <w:gridSpan w:val="4"/>
          </w:tcPr>
          <w:p>
            <w:pPr>
              <w:spacing w:after="0"/>
              <w:rPr>
                <w:sz w:val="19"/>
                <w:szCs w:val="19"/>
                <w:color w:val="auto"/>
              </w:rPr>
            </w:pPr>
          </w:p>
        </w:tc>
        <w:tc>
          <w:tcPr>
            <w:tcW w:w="4520" w:type="dxa"/>
            <w:vAlign w:val="bottom"/>
            <w:gridSpan w:val="9"/>
          </w:tcPr>
          <w:p>
            <w:pPr>
              <w:spacing w:after="0"/>
              <w:rPr>
                <w:sz w:val="19"/>
                <w:szCs w:val="19"/>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08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EE"/>
            </w:tcBorders>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5680" w:type="dxa"/>
            <w:vAlign w:val="bottom"/>
            <w:gridSpan w:val="15"/>
          </w:tcPr>
          <w:p>
            <w:pPr>
              <w:spacing w:after="0"/>
              <w:rPr>
                <w:sz w:val="19"/>
                <w:szCs w:val="19"/>
                <w:color w:val="auto"/>
              </w:rPr>
            </w:pPr>
          </w:p>
        </w:tc>
      </w:tr>
      <w:tr>
        <w:trPr>
          <w:trHeight w:val="223"/>
        </w:trPr>
        <w:tc>
          <w:tcPr>
            <w:tcW w:w="1120" w:type="dxa"/>
            <w:vAlign w:val="bottom"/>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8890</wp:posOffset>
            </wp:positionV>
            <wp:extent cx="5060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ectPr>
          <w:pgSz w:w="11900" w:h="16838" w:orient="portrait"/>
          <w:cols w:equalWidth="0" w:num="2">
            <w:col w:w="10180" w:space="720"/>
            <w:col w:w="5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85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169"/>
        </w:trPr>
        <w:tc>
          <w:tcPr>
            <w:tcW w:w="8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6"/>
        </w:trPr>
        <w:tc>
          <w:tcPr>
            <w:tcW w:w="850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Cash and cash equivalents (including $73,794 and $55,054 Cash of consolidated joint ventures)</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280,221</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133,870</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Restricted cash and investments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974</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12,592</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receivable, net (including $180,325 and $164,460 Accounts receivable of consolidated joint ventures, net)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623,286</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673,674</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Contract assets (including $21,270 and $26,542 Contract assets of consolidated joint ventures)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515,319</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583,670</w:t>
            </w:r>
          </w:p>
        </w:tc>
        <w:tc>
          <w:tcPr>
            <w:tcW w:w="120" w:type="dxa"/>
            <w:vAlign w:val="bottom"/>
          </w:tcPr>
          <w:p>
            <w:pPr>
              <w:spacing w:after="0"/>
              <w:rPr>
                <w:sz w:val="15"/>
                <w:szCs w:val="15"/>
                <w:color w:val="auto"/>
              </w:rPr>
            </w:pPr>
          </w:p>
        </w:tc>
      </w:tr>
      <w:tr>
        <w:trPr>
          <w:trHeight w:val="180"/>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Prepaid expenses and other current assets (including $11,837 and $8,149 Prepaid expenses and other current assets of</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57"/>
        </w:trPr>
        <w:tc>
          <w:tcPr>
            <w:tcW w:w="8500" w:type="dxa"/>
            <w:vAlign w:val="bottom"/>
            <w:shd w:val="clear" w:color="auto" w:fill="CFF0FC"/>
          </w:tcPr>
          <w:p>
            <w:pPr>
              <w:ind w:left="300"/>
              <w:spacing w:after="0" w:line="157" w:lineRule="exact"/>
              <w:rPr>
                <w:sz w:val="20"/>
                <w:szCs w:val="20"/>
                <w:color w:val="auto"/>
              </w:rPr>
            </w:pPr>
            <w:r>
              <w:rPr>
                <w:rFonts w:ascii="Arial" w:cs="Arial" w:eastAsia="Arial" w:hAnsi="Arial"/>
                <w:sz w:val="14"/>
                <w:szCs w:val="14"/>
                <w:color w:val="auto"/>
              </w:rPr>
              <w:t>consolidated joint ventures)</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69,007</w:t>
            </w:r>
          </w:p>
        </w:tc>
        <w:tc>
          <w:tcPr>
            <w:tcW w:w="3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7" w:lineRule="exact"/>
              <w:rPr>
                <w:sz w:val="20"/>
                <w:szCs w:val="20"/>
                <w:color w:val="auto"/>
              </w:rPr>
            </w:pPr>
            <w:r>
              <w:rPr>
                <w:rFonts w:ascii="Arial" w:cs="Arial" w:eastAsia="Arial" w:hAnsi="Arial"/>
                <w:sz w:val="14"/>
                <w:szCs w:val="14"/>
                <w:color w:val="auto"/>
              </w:rPr>
              <w:t>70,455</w:t>
            </w:r>
          </w:p>
        </w:tc>
        <w:tc>
          <w:tcPr>
            <w:tcW w:w="120" w:type="dxa"/>
            <w:vAlign w:val="bottom"/>
            <w:shd w:val="clear" w:color="auto" w:fill="CFF0FC"/>
          </w:tcPr>
          <w:p>
            <w:pPr>
              <w:spacing w:after="0"/>
              <w:rPr>
                <w:sz w:val="13"/>
                <w:szCs w:val="13"/>
                <w:color w:val="auto"/>
              </w:rPr>
            </w:pPr>
          </w:p>
        </w:tc>
      </w:tr>
      <w:tr>
        <w:trPr>
          <w:trHeight w:val="169"/>
        </w:trPr>
        <w:tc>
          <w:tcPr>
            <w:tcW w:w="8500" w:type="dxa"/>
            <w:vAlign w:val="bottom"/>
            <w:tcBorders>
              <w:bottom w:val="single" w:sz="8" w:color="CFF0FC"/>
            </w:tcBorders>
          </w:tcPr>
          <w:p>
            <w:pPr>
              <w:ind w:left="560"/>
              <w:spacing w:after="0"/>
              <w:rPr>
                <w:sz w:val="20"/>
                <w:szCs w:val="20"/>
                <w:color w:val="auto"/>
              </w:rPr>
            </w:pPr>
            <w:r>
              <w:rPr>
                <w:rFonts w:ascii="Arial" w:cs="Arial" w:eastAsia="Arial" w:hAnsi="Arial"/>
                <w:sz w:val="14"/>
                <w:szCs w:val="14"/>
                <w:color w:val="auto"/>
              </w:rPr>
              <w:t>Total current assets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1,488,807</w:t>
            </w:r>
          </w:p>
        </w:tc>
        <w:tc>
          <w:tcPr>
            <w:tcW w:w="3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1,474,261</w:t>
            </w:r>
          </w:p>
        </w:tc>
        <w:tc>
          <w:tcPr>
            <w:tcW w:w="120" w:type="dxa"/>
            <w:vAlign w:val="bottom"/>
            <w:tcBorders>
              <w:bottom w:val="single" w:sz="8" w:color="CFF0FC"/>
            </w:tcBorders>
          </w:tcPr>
          <w:p>
            <w:pPr>
              <w:spacing w:after="0"/>
              <w:rPr>
                <w:sz w:val="14"/>
                <w:szCs w:val="14"/>
                <w:color w:val="auto"/>
              </w:rPr>
            </w:pPr>
          </w:p>
        </w:tc>
      </w:tr>
      <w:tr>
        <w:trPr>
          <w:trHeight w:val="169"/>
        </w:trPr>
        <w:tc>
          <w:tcPr>
            <w:tcW w:w="8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Property and equipment, net (including $2,561 and $3,171 Property and equipment of consolidated joint ventures, net)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91,849</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109,238</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Right of use assets, operating leases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219,207</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736,938</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1,050,077</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Investments in and advances to unconsolidated joint ventures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63,560</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66,584</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179,519</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281,157</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Deferred tax assets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5,680</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111,610</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Other noncurrent assets</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46,225</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50,510</w:t>
            </w:r>
          </w:p>
        </w:tc>
        <w:tc>
          <w:tcPr>
            <w:tcW w:w="120" w:type="dxa"/>
            <w:vAlign w:val="bottom"/>
            <w:tcBorders>
              <w:bottom w:val="single" w:sz="8" w:color="CFF0FC"/>
            </w:tcBorders>
          </w:tcPr>
          <w:p>
            <w:pPr>
              <w:spacing w:after="0"/>
              <w:rPr>
                <w:sz w:val="15"/>
                <w:szCs w:val="15"/>
                <w:color w:val="auto"/>
              </w:rPr>
            </w:pPr>
          </w:p>
        </w:tc>
      </w:tr>
      <w:tr>
        <w:trPr>
          <w:trHeight w:val="169"/>
        </w:trPr>
        <w:tc>
          <w:tcPr>
            <w:tcW w:w="85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Total assets</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2,612,578</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3,362,644</w:t>
            </w:r>
          </w:p>
        </w:tc>
        <w:tc>
          <w:tcPr>
            <w:tcW w:w="120" w:type="dxa"/>
            <w:vAlign w:val="bottom"/>
            <w:shd w:val="clear" w:color="auto" w:fill="CFF0FC"/>
          </w:tcPr>
          <w:p>
            <w:pPr>
              <w:spacing w:after="0"/>
              <w:rPr>
                <w:sz w:val="14"/>
                <w:szCs w:val="14"/>
                <w:color w:val="auto"/>
              </w:rPr>
            </w:pPr>
          </w:p>
        </w:tc>
      </w:tr>
      <w:tr>
        <w:trPr>
          <w:trHeight w:val="20"/>
        </w:trPr>
        <w:tc>
          <w:tcPr>
            <w:tcW w:w="8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85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 (Deficit)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Accounts payable (including $87,914 and $90,692 Accounts payable of consolidated joint ventures)</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226,345</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226,563</w:t>
            </w:r>
          </w:p>
        </w:tc>
        <w:tc>
          <w:tcPr>
            <w:tcW w:w="120" w:type="dxa"/>
            <w:vAlign w:val="bottom"/>
            <w:shd w:val="clear" w:color="auto" w:fill="CFF0FC"/>
          </w:tcPr>
          <w:p>
            <w:pPr>
              <w:spacing w:after="0"/>
              <w:rPr>
                <w:sz w:val="15"/>
                <w:szCs w:val="15"/>
                <w:color w:val="auto"/>
              </w:rPr>
            </w:pPr>
          </w:p>
        </w:tc>
      </w:tr>
      <w:tr>
        <w:trPr>
          <w:trHeight w:val="180"/>
        </w:trPr>
        <w:tc>
          <w:tcPr>
            <w:tcW w:w="8500" w:type="dxa"/>
            <w:vAlign w:val="bottom"/>
          </w:tcPr>
          <w:p>
            <w:pPr>
              <w:ind w:left="300"/>
              <w:spacing w:after="0"/>
              <w:rPr>
                <w:sz w:val="20"/>
                <w:szCs w:val="20"/>
                <w:color w:val="auto"/>
              </w:rPr>
            </w:pPr>
            <w:r>
              <w:rPr>
                <w:rFonts w:ascii="Arial" w:cs="Arial" w:eastAsia="Arial" w:hAnsi="Arial"/>
                <w:sz w:val="14"/>
                <w:szCs w:val="14"/>
                <w:color w:val="auto"/>
              </w:rPr>
              <w:t>Accrued expenses and other current liabilities (including $73,209 and $63,880 Accrued expenses and other current liabilities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8500" w:type="dxa"/>
            <w:vAlign w:val="bottom"/>
          </w:tcPr>
          <w:p>
            <w:pPr>
              <w:ind w:left="300"/>
              <w:spacing w:after="0" w:line="157" w:lineRule="exact"/>
              <w:rPr>
                <w:sz w:val="20"/>
                <w:szCs w:val="20"/>
                <w:color w:val="auto"/>
              </w:rPr>
            </w:pPr>
            <w:r>
              <w:rPr>
                <w:rFonts w:ascii="Arial" w:cs="Arial" w:eastAsia="Arial" w:hAnsi="Arial"/>
                <w:sz w:val="14"/>
                <w:szCs w:val="14"/>
                <w:color w:val="auto"/>
              </w:rPr>
              <w:t>consolidated joint ventures)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color w:val="auto"/>
              </w:rPr>
              <w:t>559,700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639,650</w:t>
            </w:r>
          </w:p>
        </w:tc>
        <w:tc>
          <w:tcPr>
            <w:tcW w:w="120" w:type="dxa"/>
            <w:vAlign w:val="bottom"/>
          </w:tcPr>
          <w:p>
            <w:pPr>
              <w:spacing w:after="0"/>
              <w:rPr>
                <w:sz w:val="13"/>
                <w:szCs w:val="13"/>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Contract liabilities (including $38,706 and $43,324 Contract liabilities of consolidated joint ventures)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208,576</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231,032</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Short-term lease liabilities, operating leases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49,074</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Income taxes payable</w:t>
            </w:r>
          </w:p>
        </w:tc>
        <w:tc>
          <w:tcPr>
            <w:tcW w:w="1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11,540</w:t>
            </w:r>
          </w:p>
        </w:tc>
        <w:tc>
          <w:tcPr>
            <w:tcW w:w="3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9,940</w:t>
            </w:r>
          </w:p>
        </w:tc>
        <w:tc>
          <w:tcPr>
            <w:tcW w:w="120" w:type="dxa"/>
            <w:vAlign w:val="bottom"/>
            <w:shd w:val="clear" w:color="auto" w:fill="CFF0FC"/>
          </w:tcPr>
          <w:p>
            <w:pPr>
              <w:spacing w:after="0"/>
              <w:rPr>
                <w:sz w:val="15"/>
                <w:szCs w:val="15"/>
                <w:color w:val="auto"/>
              </w:rPr>
            </w:pPr>
          </w:p>
        </w:tc>
      </w:tr>
      <w:tr>
        <w:trPr>
          <w:trHeight w:val="169"/>
        </w:trPr>
        <w:tc>
          <w:tcPr>
            <w:tcW w:w="8500" w:type="dxa"/>
            <w:vAlign w:val="bottom"/>
            <w:tcBorders>
              <w:bottom w:val="single" w:sz="8" w:color="CFF0FC"/>
            </w:tcBorders>
          </w:tcPr>
          <w:p>
            <w:pPr>
              <w:ind w:left="56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1,006,161</w:t>
            </w:r>
          </w:p>
        </w:tc>
        <w:tc>
          <w:tcPr>
            <w:tcW w:w="3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1,156,259</w:t>
            </w:r>
          </w:p>
        </w:tc>
        <w:tc>
          <w:tcPr>
            <w:tcW w:w="120" w:type="dxa"/>
            <w:vAlign w:val="bottom"/>
            <w:tcBorders>
              <w:bottom w:val="single" w:sz="8" w:color="CFF0FC"/>
            </w:tcBorders>
          </w:tcPr>
          <w:p>
            <w:pPr>
              <w:spacing w:after="0"/>
              <w:rPr>
                <w:sz w:val="14"/>
                <w:szCs w:val="14"/>
                <w:color w:val="auto"/>
              </w:rPr>
            </w:pPr>
          </w:p>
        </w:tc>
      </w:tr>
      <w:tr>
        <w:trPr>
          <w:trHeight w:val="169"/>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Long-term employee incentives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41,913</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45,749</w:t>
            </w:r>
          </w:p>
        </w:tc>
        <w:tc>
          <w:tcPr>
            <w:tcW w:w="120" w:type="dxa"/>
            <w:vAlign w:val="bottom"/>
            <w:shd w:val="clear" w:color="auto" w:fill="CFF0FC"/>
          </w:tcPr>
          <w:p>
            <w:pPr>
              <w:spacing w:after="0"/>
              <w:rPr>
                <w:sz w:val="14"/>
                <w:szCs w:val="14"/>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Deferred gain resulting from sale-leaseback transactions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46,004</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429,164</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249,306</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Long-term lease liabilities, operating leases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188,571</w:t>
            </w:r>
          </w:p>
        </w:tc>
        <w:tc>
          <w:tcPr>
            <w:tcW w:w="120" w:type="dxa"/>
            <w:vAlign w:val="bottom"/>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Deferred tax liabilities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6,240</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7,337</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127,863</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120,971</w:t>
            </w:r>
          </w:p>
        </w:tc>
        <w:tc>
          <w:tcPr>
            <w:tcW w:w="120" w:type="dxa"/>
            <w:vAlign w:val="bottom"/>
            <w:tcBorders>
              <w:bottom w:val="single" w:sz="8" w:color="CFF0FC"/>
            </w:tcBorders>
          </w:tcPr>
          <w:p>
            <w:pPr>
              <w:spacing w:after="0"/>
              <w:rPr>
                <w:sz w:val="15"/>
                <w:szCs w:val="15"/>
                <w:color w:val="auto"/>
              </w:rPr>
            </w:pPr>
          </w:p>
        </w:tc>
      </w:tr>
      <w:tr>
        <w:trPr>
          <w:trHeight w:val="169"/>
        </w:trPr>
        <w:tc>
          <w:tcPr>
            <w:tcW w:w="85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1,657,345</w:t>
            </w:r>
          </w:p>
        </w:tc>
        <w:tc>
          <w:tcPr>
            <w:tcW w:w="3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1,768,193</w:t>
            </w:r>
          </w:p>
        </w:tc>
        <w:tc>
          <w:tcPr>
            <w:tcW w:w="120" w:type="dxa"/>
            <w:vAlign w:val="bottom"/>
            <w:shd w:val="clear" w:color="auto" w:fill="CFF0FC"/>
          </w:tcPr>
          <w:p>
            <w:pPr>
              <w:spacing w:after="0"/>
              <w:rPr>
                <w:sz w:val="14"/>
                <w:szCs w:val="14"/>
                <w:color w:val="auto"/>
              </w:rPr>
            </w:pPr>
          </w:p>
        </w:tc>
      </w:tr>
      <w:tr>
        <w:trPr>
          <w:trHeight w:val="169"/>
        </w:trPr>
        <w:tc>
          <w:tcPr>
            <w:tcW w:w="8500" w:type="dxa"/>
            <w:vAlign w:val="bottom"/>
          </w:tcPr>
          <w:p>
            <w:pPr>
              <w:spacing w:after="0"/>
              <w:rPr>
                <w:sz w:val="20"/>
                <w:szCs w:val="20"/>
                <w:color w:val="auto"/>
              </w:rPr>
            </w:pPr>
            <w:r>
              <w:rPr>
                <w:rFonts w:ascii="Arial" w:cs="Arial" w:eastAsia="Arial" w:hAnsi="Arial"/>
                <w:sz w:val="14"/>
                <w:szCs w:val="14"/>
                <w:color w:val="auto"/>
              </w:rPr>
              <w:t>Commitments and contingencies (Note 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Redeemable common stock held by Employee Stock Ownership Plan (ESOP), $1 par value; 78,172,809 and 78,138,602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57"/>
        </w:trPr>
        <w:tc>
          <w:tcPr>
            <w:tcW w:w="8500" w:type="dxa"/>
            <w:vAlign w:val="bottom"/>
            <w:shd w:val="clear" w:color="auto" w:fill="CFF0FC"/>
          </w:tcPr>
          <w:p>
            <w:pPr>
              <w:ind w:left="300"/>
              <w:spacing w:after="0" w:line="157" w:lineRule="exact"/>
              <w:rPr>
                <w:sz w:val="20"/>
                <w:szCs w:val="20"/>
                <w:color w:val="auto"/>
              </w:rPr>
            </w:pPr>
            <w:r>
              <w:rPr>
                <w:rFonts w:ascii="Arial" w:cs="Arial" w:eastAsia="Arial" w:hAnsi="Arial"/>
                <w:sz w:val="14"/>
                <w:szCs w:val="14"/>
                <w:color w:val="auto"/>
              </w:rPr>
              <w:t>shares outstanding, recorded at redemption value</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1,876,309</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2,577,011</w:t>
            </w:r>
          </w:p>
        </w:tc>
        <w:tc>
          <w:tcPr>
            <w:tcW w:w="120" w:type="dxa"/>
            <w:vAlign w:val="bottom"/>
            <w:shd w:val="clear" w:color="auto" w:fill="CFF0FC"/>
          </w:tcPr>
          <w:p>
            <w:pPr>
              <w:spacing w:after="0"/>
              <w:rPr>
                <w:sz w:val="13"/>
                <w:szCs w:val="13"/>
                <w:color w:val="auto"/>
              </w:rPr>
            </w:pPr>
          </w:p>
        </w:tc>
      </w:tr>
      <w:tr>
        <w:trPr>
          <w:trHeight w:val="176"/>
        </w:trPr>
        <w:tc>
          <w:tcPr>
            <w:tcW w:w="8500" w:type="dxa"/>
            <w:vAlign w:val="bottom"/>
          </w:tcPr>
          <w:p>
            <w:pPr>
              <w:spacing w:after="0"/>
              <w:rPr>
                <w:sz w:val="20"/>
                <w:szCs w:val="20"/>
                <w:color w:val="auto"/>
              </w:rPr>
            </w:pPr>
            <w:r>
              <w:rPr>
                <w:rFonts w:ascii="Arial" w:cs="Arial" w:eastAsia="Arial" w:hAnsi="Arial"/>
                <w:sz w:val="14"/>
                <w:szCs w:val="14"/>
                <w:color w:val="auto"/>
              </w:rPr>
              <w:t>Shareholders' equity (deficit):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Common stock, $1 par value; authorized 1,000,000,000 shares; 125,097,684 and 146,393,959 shares issued; 0 and</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57"/>
        </w:trPr>
        <w:tc>
          <w:tcPr>
            <w:tcW w:w="8500" w:type="dxa"/>
            <w:vAlign w:val="bottom"/>
            <w:shd w:val="clear" w:color="auto" w:fill="CFF0FC"/>
          </w:tcPr>
          <w:p>
            <w:pPr>
              <w:ind w:left="300"/>
              <w:spacing w:after="0" w:line="157" w:lineRule="exact"/>
              <w:rPr>
                <w:sz w:val="20"/>
                <w:szCs w:val="20"/>
                <w:color w:val="auto"/>
              </w:rPr>
            </w:pPr>
            <w:r>
              <w:rPr>
                <w:rFonts w:ascii="Arial" w:cs="Arial" w:eastAsia="Arial" w:hAnsi="Arial"/>
                <w:sz w:val="14"/>
                <w:szCs w:val="14"/>
                <w:color w:val="auto"/>
              </w:rPr>
              <w:t>21,296,275 shares outstanding</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21,296</w:t>
            </w:r>
          </w:p>
        </w:tc>
        <w:tc>
          <w:tcPr>
            <w:tcW w:w="120" w:type="dxa"/>
            <w:vAlign w:val="bottom"/>
            <w:shd w:val="clear" w:color="auto" w:fill="CFF0FC"/>
          </w:tcPr>
          <w:p>
            <w:pPr>
              <w:spacing w:after="0"/>
              <w:rPr>
                <w:sz w:val="13"/>
                <w:szCs w:val="13"/>
                <w:color w:val="auto"/>
              </w:rPr>
            </w:pP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Treasury stock, 46,918,140 and 46,959,082 shares at cost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(957,025)</w:t>
            </w:r>
          </w:p>
        </w:tc>
        <w:tc>
          <w:tcPr>
            <w:tcW w:w="8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(957,844)</w:t>
            </w: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8,772</w:t>
            </w:r>
          </w:p>
        </w:tc>
        <w:tc>
          <w:tcPr>
            <w:tcW w:w="120" w:type="dxa"/>
            <w:vAlign w:val="bottom"/>
            <w:shd w:val="clear" w:color="auto" w:fill="CFF0FC"/>
          </w:tcPr>
          <w:p>
            <w:pPr>
              <w:spacing w:after="0"/>
              <w:rPr>
                <w:sz w:val="15"/>
                <w:szCs w:val="15"/>
                <w:color w:val="auto"/>
              </w:rPr>
            </w:pPr>
          </w:p>
        </w:tc>
      </w:tr>
      <w:tr>
        <w:trPr>
          <w:trHeight w:val="176"/>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Retained earnings (accumulated deficit)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12,445</w:t>
            </w: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(64,896)</w:t>
            </w:r>
          </w:p>
        </w:tc>
      </w:tr>
      <w:tr>
        <w:trPr>
          <w:trHeight w:val="176"/>
        </w:trPr>
        <w:tc>
          <w:tcPr>
            <w:tcW w:w="8500" w:type="dxa"/>
            <w:vAlign w:val="bottom"/>
          </w:tcPr>
          <w:p>
            <w:pPr>
              <w:ind w:left="30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(22,957)</w:t>
            </w:r>
          </w:p>
        </w:tc>
        <w:tc>
          <w:tcPr>
            <w:tcW w:w="8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(17,982)</w:t>
            </w:r>
          </w:p>
        </w:tc>
      </w:tr>
      <w:tr>
        <w:trPr>
          <w:trHeight w:val="20"/>
        </w:trPr>
        <w:tc>
          <w:tcPr>
            <w:tcW w:w="85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9"/>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Total Parsons Corporation shareholders' equity (deficit)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(967,537)</w:t>
            </w:r>
          </w:p>
        </w:tc>
        <w:tc>
          <w:tcPr>
            <w:tcW w:w="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(1,010,654)</w:t>
            </w:r>
          </w:p>
        </w:tc>
      </w:tr>
      <w:tr>
        <w:trPr>
          <w:trHeight w:val="176"/>
        </w:trPr>
        <w:tc>
          <w:tcPr>
            <w:tcW w:w="850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Noncontrolling interests</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46,461</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28,094</w:t>
            </w:r>
          </w:p>
        </w:tc>
        <w:tc>
          <w:tcPr>
            <w:tcW w:w="120" w:type="dxa"/>
            <w:vAlign w:val="bottom"/>
            <w:tcBorders>
              <w:bottom w:val="single" w:sz="8" w:color="CFF0FC"/>
            </w:tcBorders>
          </w:tcPr>
          <w:p>
            <w:pPr>
              <w:spacing w:after="0"/>
              <w:rPr>
                <w:sz w:val="15"/>
                <w:szCs w:val="15"/>
                <w:color w:val="auto"/>
              </w:rPr>
            </w:pPr>
          </w:p>
        </w:tc>
      </w:tr>
      <w:tr>
        <w:trPr>
          <w:trHeight w:val="169"/>
        </w:trPr>
        <w:tc>
          <w:tcPr>
            <w:tcW w:w="85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Total shareholders' equity (deficit)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(921,076)</w:t>
            </w:r>
          </w:p>
        </w:tc>
        <w:tc>
          <w:tcPr>
            <w:tcW w:w="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(982,560)</w:t>
            </w:r>
          </w:p>
        </w:tc>
      </w:tr>
      <w:tr>
        <w:trPr>
          <w:trHeight w:val="20"/>
        </w:trPr>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8500" w:type="dxa"/>
            <w:vAlign w:val="bottom"/>
          </w:tcPr>
          <w:p>
            <w:pPr>
              <w:ind w:left="300"/>
              <w:spacing w:after="0"/>
              <w:rPr>
                <w:sz w:val="20"/>
                <w:szCs w:val="20"/>
                <w:color w:val="auto"/>
              </w:rPr>
            </w:pPr>
            <w:r>
              <w:rPr>
                <w:rFonts w:ascii="Arial" w:cs="Arial" w:eastAsia="Arial" w:hAnsi="Arial"/>
                <w:sz w:val="14"/>
                <w:szCs w:val="14"/>
                <w:color w:val="auto"/>
              </w:rPr>
              <w:t>Total liabilities, redeemable common stock and shareholders' equity (deficit)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2,612,578</w:t>
            </w: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3,362,644</w:t>
            </w:r>
          </w:p>
        </w:tc>
        <w:tc>
          <w:tcPr>
            <w:tcW w:w="120" w:type="dxa"/>
            <w:vAlign w:val="bottom"/>
          </w:tcPr>
          <w:p>
            <w:pPr>
              <w:spacing w:after="0"/>
              <w:rPr>
                <w:sz w:val="14"/>
                <w:szCs w:val="14"/>
                <w:color w:val="auto"/>
              </w:rPr>
            </w:pPr>
          </w:p>
        </w:tc>
      </w:tr>
      <w:tr>
        <w:trPr>
          <w:trHeight w:val="20"/>
        </w:trPr>
        <w:tc>
          <w:tcPr>
            <w:tcW w:w="8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191"/>
              <w:spacing w:after="0"/>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1400" w:type="dxa"/>
            <w:vAlign w:val="bottom"/>
            <w:gridSpan w:val="3"/>
          </w:tcPr>
          <w:p>
            <w:pPr>
              <w:jc w:val="right"/>
              <w:ind w:right="340"/>
              <w:spacing w:after="0" w:line="156" w:lineRule="exact"/>
              <w:rPr>
                <w:sz w:val="20"/>
                <w:szCs w:val="20"/>
                <w:color w:val="auto"/>
              </w:rPr>
            </w:pPr>
            <w:r>
              <w:rPr>
                <w:rFonts w:ascii="Arial" w:cs="Arial" w:eastAsia="Arial" w:hAnsi="Arial"/>
                <w:sz w:val="14"/>
                <w:szCs w:val="14"/>
                <w:b w:val="1"/>
                <w:bCs w:val="1"/>
                <w:color w:val="auto"/>
              </w:rPr>
              <w:t>September 28,</w:t>
            </w:r>
          </w:p>
        </w:tc>
        <w:tc>
          <w:tcPr>
            <w:tcW w:w="1400" w:type="dxa"/>
            <w:vAlign w:val="bottom"/>
            <w:gridSpan w:val="3"/>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20" w:type="dxa"/>
            <w:vAlign w:val="bottom"/>
            <w:gridSpan w:val="3"/>
          </w:tcPr>
          <w:p>
            <w:pPr>
              <w:jc w:val="right"/>
              <w:ind w:right="200"/>
              <w:spacing w:after="0" w:line="156"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3"/>
                <w:szCs w:val="13"/>
                <w:color w:val="auto"/>
              </w:rPr>
            </w:pPr>
          </w:p>
        </w:tc>
        <w:tc>
          <w:tcPr>
            <w:tcW w:w="1180" w:type="dxa"/>
            <w:vAlign w:val="bottom"/>
            <w:gridSpan w:val="3"/>
          </w:tcPr>
          <w:p>
            <w:pPr>
              <w:jc w:val="right"/>
              <w:ind w:right="160"/>
              <w:spacing w:after="0" w:line="156"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59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976,157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1,023,277</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2,631,568</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2,917,424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Direct costs of contracts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783,018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798,552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2,054,201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2,297,512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general and administrative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150,733</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178,550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422,028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581,428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55,113</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53,449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180,916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(5,940)</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(4,909)</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(14,475)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(19,577)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Gain associated with claim on long-term contract</w:t>
            </w: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74,578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(4,893)</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(7,609)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(20,028)</w:t>
            </w: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 provision</w:t>
            </w: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50,220</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45,840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243,732</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47,761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(4,154)</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46,066</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61,293</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225,206</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(4,844)</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(8,012)</w:t>
            </w: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214,890</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For the Nine Months Ended</w:t>
            </w:r>
          </w:p>
        </w:tc>
        <w:tc>
          <w:tcPr>
            <w:tcW w:w="120" w:type="dxa"/>
            <w:vAlign w:val="bottom"/>
          </w:tcPr>
          <w:p>
            <w:pPr>
              <w:spacing w:after="0"/>
              <w:rPr>
                <w:sz w:val="15"/>
                <w:szCs w:val="15"/>
                <w:color w:val="auto"/>
              </w:rPr>
            </w:pPr>
          </w:p>
        </w:tc>
      </w:tr>
      <w:tr>
        <w:trPr>
          <w:trHeight w:val="156"/>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260"/>
              <w:spacing w:after="0" w:line="156"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360"/>
              <w:spacing w:after="0" w:line="156"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11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60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46,066</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61,293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225,206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120" w:type="dxa"/>
            <w:vAlign w:val="bottom"/>
            <w:shd w:val="clear" w:color="auto" w:fill="CFF0F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 net of tax</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(3,079)</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4,958</w:t>
            </w:r>
          </w:p>
        </w:tc>
        <w:tc>
          <w:tcPr>
            <w:tcW w:w="120" w:type="dxa"/>
            <w:vAlign w:val="bottom"/>
            <w:shd w:val="clear" w:color="auto" w:fill="CFF0FC"/>
          </w:tcPr>
          <w:p>
            <w:pPr>
              <w:spacing w:after="0"/>
              <w:rPr>
                <w:sz w:val="18"/>
                <w:szCs w:val="18"/>
                <w:color w:val="auto"/>
              </w:rPr>
            </w:pPr>
          </w:p>
        </w:tc>
      </w:tr>
      <w:tr>
        <w:trPr>
          <w:trHeight w:val="216"/>
        </w:trPr>
        <w:tc>
          <w:tcPr>
            <w:tcW w:w="6080" w:type="dxa"/>
            <w:vAlign w:val="bottom"/>
          </w:tcPr>
          <w:p>
            <w:pPr>
              <w:ind w:left="260"/>
              <w:spacing w:after="0"/>
              <w:rPr>
                <w:sz w:val="20"/>
                <w:szCs w:val="20"/>
                <w:color w:val="auto"/>
              </w:rPr>
            </w:pPr>
            <w:r>
              <w:rPr>
                <w:rFonts w:ascii="Arial" w:cs="Arial" w:eastAsia="Arial" w:hAnsi="Arial"/>
                <w:sz w:val="18"/>
                <w:szCs w:val="18"/>
                <w:color w:val="auto"/>
              </w:rPr>
              <w:t>Pension adjustments, net of tax</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r>
      <w:tr>
        <w:trPr>
          <w:trHeight w:val="210"/>
        </w:trPr>
        <w:tc>
          <w:tcPr>
            <w:tcW w:w="60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Comprehensive income including noncontrolling interests, net of tax</w:t>
            </w: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48,379</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61,455</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222,100</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119,799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(4,481)</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(10,270)</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(8,012)</w:t>
            </w:r>
          </w:p>
        </w:tc>
      </w:tr>
      <w:tr>
        <w:trPr>
          <w:trHeight w:val="209"/>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attributable to Parsons Corporation,</w:t>
            </w: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60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net of tax</w:t>
            </w: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43,557</w:t>
            </w:r>
          </w:p>
        </w:tc>
        <w:tc>
          <w:tcPr>
            <w:tcW w:w="16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56,974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211,830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111,787</w:t>
            </w:r>
          </w:p>
        </w:tc>
        <w:tc>
          <w:tcPr>
            <w:tcW w:w="120" w:type="dxa"/>
            <w:vAlign w:val="bottom"/>
            <w:shd w:val="clear" w:color="auto" w:fill="CFF0FC"/>
          </w:tcPr>
          <w:p>
            <w:pPr>
              <w:spacing w:after="0"/>
              <w:rPr>
                <w:sz w:val="17"/>
                <w:szCs w:val="17"/>
                <w:color w:val="auto"/>
              </w:rPr>
            </w:pPr>
          </w:p>
        </w:tc>
      </w:tr>
      <w:tr>
        <w:trPr>
          <w:trHeight w:val="20"/>
        </w:trPr>
        <w:tc>
          <w:tcPr>
            <w:tcW w:w="6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4"/>
                <w:szCs w:val="14"/>
                <w:b w:val="1"/>
                <w:bCs w:val="1"/>
                <w:color w:val="auto"/>
              </w:rPr>
              <w:t>For the Nine Months Ended</w:t>
            </w:r>
          </w:p>
        </w:tc>
        <w:tc>
          <w:tcPr>
            <w:tcW w:w="120" w:type="dxa"/>
            <w:vAlign w:val="bottom"/>
          </w:tcPr>
          <w:p>
            <w:pPr>
              <w:spacing w:after="0"/>
              <w:rPr>
                <w:sz w:val="15"/>
                <w:szCs w:val="15"/>
                <w:color w:val="auto"/>
              </w:rPr>
            </w:pPr>
          </w:p>
        </w:tc>
      </w:tr>
      <w:tr>
        <w:trPr>
          <w:trHeight w:val="196"/>
        </w:trPr>
        <w:tc>
          <w:tcPr>
            <w:tcW w:w="7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September 28, 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September 30, 2019</w:t>
            </w:r>
          </w:p>
        </w:tc>
      </w:tr>
      <w:tr>
        <w:trPr>
          <w:trHeight w:val="196"/>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225,206</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114,824</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46,656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92,692</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deferred gain</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(5,440)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Amortization of debt issue costs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Gain associated with claim on long-term contract</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(129,674)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Loss on disposal of property and equipment</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Provision for doubtful accounts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9,094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(964)</w:t>
            </w: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Deferred taxes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(105,161)</w:t>
            </w: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10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(25,577)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(29,305)</w:t>
            </w: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31,728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32,848</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9,224</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Contributions of treasury stock</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34,070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36,779</w:t>
            </w:r>
          </w:p>
        </w:tc>
        <w:tc>
          <w:tcPr>
            <w:tcW w:w="120" w:type="dxa"/>
            <w:vAlign w:val="bottom"/>
            <w:shd w:val="clear" w:color="auto" w:fill="CFF0FC"/>
          </w:tcPr>
          <w:p>
            <w:pPr>
              <w:spacing w:after="0"/>
              <w:rPr>
                <w:sz w:val="17"/>
                <w:szCs w:val="17"/>
                <w:color w:val="auto"/>
              </w:rPr>
            </w:pPr>
          </w:p>
        </w:tc>
      </w:tr>
      <w:tr>
        <w:trPr>
          <w:trHeight w:val="204"/>
        </w:trPr>
        <w:tc>
          <w:tcPr>
            <w:tcW w:w="7880" w:type="dxa"/>
            <w:vAlign w:val="bottom"/>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7880" w:type="dxa"/>
            <w:vAlign w:val="bottom"/>
          </w:tcPr>
          <w:p>
            <w:pPr>
              <w:ind w:left="420"/>
              <w:spacing w:after="0"/>
              <w:rPr>
                <w:sz w:val="20"/>
                <w:szCs w:val="20"/>
                <w:color w:val="auto"/>
              </w:rPr>
            </w:pPr>
            <w:r>
              <w:rPr>
                <w:rFonts w:ascii="Arial" w:cs="Arial" w:eastAsia="Arial" w:hAnsi="Arial"/>
                <w:sz w:val="16"/>
                <w:szCs w:val="16"/>
                <w:color w:val="auto"/>
              </w:rPr>
              <w:t>joint ventures:</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384,216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(31,726)</w:t>
            </w: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Contract assets</w:t>
            </w:r>
          </w:p>
        </w:tc>
        <w:tc>
          <w:tcPr>
            <w:tcW w:w="10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(527,768)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(59,161)</w:t>
            </w: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current assets</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(13,028)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2,980</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38,424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(6,946)</w:t>
            </w: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40,186</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Billings in excess of costs</w:t>
            </w:r>
          </w:p>
        </w:tc>
        <w:tc>
          <w:tcPr>
            <w:tcW w:w="10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(151,892)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Contract liabilities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168,579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20,703</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420"/>
              <w:spacing w:after="0"/>
              <w:rPr>
                <w:sz w:val="20"/>
                <w:szCs w:val="20"/>
                <w:color w:val="auto"/>
              </w:rPr>
            </w:pPr>
            <w:r>
              <w:rPr>
                <w:rFonts w:ascii="Arial" w:cs="Arial" w:eastAsia="Arial" w:hAnsi="Arial"/>
                <w:sz w:val="16"/>
                <w:szCs w:val="16"/>
                <w:color w:val="auto"/>
              </w:rPr>
              <w:t>Provision for contract losses</w:t>
            </w:r>
          </w:p>
        </w:tc>
        <w:tc>
          <w:tcPr>
            <w:tcW w:w="10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(13,992)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Income taxes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(3,019)</w:t>
            </w:r>
          </w:p>
        </w:tc>
      </w:tr>
      <w:tr>
        <w:trPr>
          <w:trHeight w:val="203"/>
        </w:trPr>
        <w:tc>
          <w:tcPr>
            <w:tcW w:w="788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Other long-term liabilities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12,517</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13,138</w:t>
            </w:r>
          </w:p>
        </w:tc>
        <w:tc>
          <w:tcPr>
            <w:tcW w:w="120" w:type="dxa"/>
            <w:vAlign w:val="bottom"/>
            <w:tcBorders>
              <w:bottom w:val="single" w:sz="8" w:color="CFF0FC"/>
            </w:tcBorders>
          </w:tcPr>
          <w:p>
            <w:pPr>
              <w:spacing w:after="0"/>
              <w:rPr>
                <w:sz w:val="17"/>
                <w:szCs w:val="17"/>
                <w:color w:val="auto"/>
              </w:rPr>
            </w:pPr>
          </w:p>
        </w:tc>
      </w:tr>
      <w:tr>
        <w:trPr>
          <w:trHeight w:val="196"/>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99,822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130,628</w:t>
            </w:r>
          </w:p>
        </w:tc>
        <w:tc>
          <w:tcPr>
            <w:tcW w:w="120" w:type="dxa"/>
            <w:vAlign w:val="bottom"/>
            <w:shd w:val="clear" w:color="auto" w:fill="CFF0FC"/>
          </w:tcPr>
          <w:p>
            <w:pPr>
              <w:spacing w:after="0"/>
              <w:rPr>
                <w:sz w:val="17"/>
                <w:szCs w:val="17"/>
                <w:color w:val="auto"/>
              </w:rPr>
            </w:pPr>
          </w:p>
        </w:tc>
      </w:tr>
      <w:tr>
        <w:trPr>
          <w:trHeight w:val="196"/>
        </w:trPr>
        <w:tc>
          <w:tcPr>
            <w:tcW w:w="78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(19,436)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(44,030)</w:t>
            </w: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2,824</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(481,163)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(495,690)</w:t>
            </w: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10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(4,276)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(11,446)</w:t>
            </w: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6,632</w:t>
            </w:r>
          </w:p>
        </w:tc>
        <w:tc>
          <w:tcPr>
            <w:tcW w:w="120" w:type="dxa"/>
            <w:vAlign w:val="bottom"/>
            <w:shd w:val="clear" w:color="auto" w:fill="CFF0FC"/>
          </w:tcPr>
          <w:p>
            <w:pPr>
              <w:spacing w:after="0"/>
              <w:rPr>
                <w:sz w:val="17"/>
                <w:szCs w:val="17"/>
                <w:color w:val="auto"/>
              </w:rPr>
            </w:pPr>
          </w:p>
        </w:tc>
      </w:tr>
      <w:tr>
        <w:trPr>
          <w:trHeight w:val="196"/>
        </w:trPr>
        <w:tc>
          <w:tcPr>
            <w:tcW w:w="7880" w:type="dxa"/>
            <w:vAlign w:val="bottom"/>
          </w:tcPr>
          <w:p>
            <w:pPr>
              <w:ind w:left="30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(503,637)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(541,710)</w:t>
            </w:r>
          </w:p>
        </w:tc>
      </w:tr>
      <w:tr>
        <w:trPr>
          <w:trHeight w:val="196"/>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Proceeds from borrowings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530,000</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Repayments of borrowings</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(20,000)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(710,000)</w:t>
            </w: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10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(286)</w:t>
            </w: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13,768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8,999</w:t>
            </w: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10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(6,858)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(35,378)</w:t>
            </w: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Purchase of treasury stock</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(73,308)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(819)</w:t>
            </w:r>
          </w:p>
        </w:tc>
      </w:tr>
      <w:tr>
        <w:trPr>
          <w:trHeight w:val="203"/>
        </w:trPr>
        <w:tc>
          <w:tcPr>
            <w:tcW w:w="7880" w:type="dxa"/>
            <w:vAlign w:val="bottom"/>
          </w:tcPr>
          <w:p>
            <w:pPr>
              <w:ind w:left="300"/>
              <w:spacing w:after="0"/>
              <w:rPr>
                <w:sz w:val="20"/>
                <w:szCs w:val="20"/>
                <w:color w:val="auto"/>
              </w:rPr>
            </w:pPr>
            <w:r>
              <w:rPr>
                <w:rFonts w:ascii="Arial" w:cs="Arial" w:eastAsia="Arial" w:hAnsi="Arial"/>
                <w:sz w:val="16"/>
                <w:szCs w:val="16"/>
                <w:color w:val="auto"/>
              </w:rPr>
              <w:t>IPO proceeds, net</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536,879</w:t>
            </w:r>
          </w:p>
        </w:tc>
        <w:tc>
          <w:tcPr>
            <w:tcW w:w="120" w:type="dxa"/>
            <w:vAlign w:val="bottom"/>
          </w:tcPr>
          <w:p>
            <w:pPr>
              <w:spacing w:after="0"/>
              <w:rPr>
                <w:sz w:val="17"/>
                <w:szCs w:val="17"/>
                <w:color w:val="auto"/>
              </w:rPr>
            </w:pP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Dividend paid</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(52,093)</w:t>
            </w:r>
          </w:p>
        </w:tc>
      </w:tr>
      <w:tr>
        <w:trPr>
          <w:trHeight w:val="196"/>
        </w:trPr>
        <w:tc>
          <w:tcPr>
            <w:tcW w:w="788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173,134</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277,302</w:t>
            </w:r>
          </w:p>
        </w:tc>
        <w:tc>
          <w:tcPr>
            <w:tcW w:w="120" w:type="dxa"/>
            <w:vAlign w:val="bottom"/>
            <w:tcBorders>
              <w:bottom w:val="single" w:sz="8" w:color="CFF0FC"/>
            </w:tcBorders>
          </w:tcPr>
          <w:p>
            <w:pPr>
              <w:spacing w:after="0"/>
              <w:rPr>
                <w:sz w:val="17"/>
                <w:szCs w:val="17"/>
                <w:color w:val="auto"/>
              </w:rPr>
            </w:pPr>
          </w:p>
        </w:tc>
      </w:tr>
      <w:tr>
        <w:trPr>
          <w:trHeight w:val="196"/>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Effect of exchange rate changes</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(1,233)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(953)</w:t>
            </w:r>
          </w:p>
        </w:tc>
      </w:tr>
      <w:tr>
        <w:trPr>
          <w:trHeight w:val="20"/>
        </w:trPr>
        <w:tc>
          <w:tcPr>
            <w:tcW w:w="7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80" w:type="dxa"/>
            <w:vAlign w:val="bottom"/>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100" w:type="dxa"/>
            <w:vAlign w:val="bottom"/>
          </w:tcPr>
          <w:p>
            <w:pPr>
              <w:spacing w:after="0"/>
              <w:rPr>
                <w:sz w:val="17"/>
                <w:szCs w:val="17"/>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(231,914)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(134,733)</w:t>
            </w:r>
          </w:p>
        </w:tc>
      </w:tr>
      <w:tr>
        <w:trPr>
          <w:trHeight w:val="203"/>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8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Beginning of year</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446,144</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281,195</w:t>
            </w:r>
          </w:p>
        </w:tc>
        <w:tc>
          <w:tcPr>
            <w:tcW w:w="120" w:type="dxa"/>
            <w:vAlign w:val="bottom"/>
            <w:tcBorders>
              <w:bottom w:val="single" w:sz="8" w:color="CFF0FC"/>
            </w:tcBorders>
          </w:tcPr>
          <w:p>
            <w:pPr>
              <w:spacing w:after="0"/>
              <w:rPr>
                <w:sz w:val="17"/>
                <w:szCs w:val="17"/>
                <w:color w:val="auto"/>
              </w:rPr>
            </w:pPr>
          </w:p>
        </w:tc>
      </w:tr>
      <w:tr>
        <w:trPr>
          <w:trHeight w:val="196"/>
        </w:trPr>
        <w:tc>
          <w:tcPr>
            <w:tcW w:w="788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End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214,230</w:t>
            </w:r>
          </w:p>
        </w:tc>
        <w:tc>
          <w:tcPr>
            <w:tcW w:w="18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146,462</w:t>
            </w:r>
          </w:p>
        </w:tc>
        <w:tc>
          <w:tcPr>
            <w:tcW w:w="120" w:type="dxa"/>
            <w:vAlign w:val="bottom"/>
            <w:shd w:val="clear" w:color="auto" w:fill="CFF0FC"/>
          </w:tcPr>
          <w:p>
            <w:pPr>
              <w:spacing w:after="0"/>
              <w:rPr>
                <w:sz w:val="17"/>
                <w:szCs w:val="17"/>
                <w:color w:val="auto"/>
              </w:rPr>
            </w:pPr>
          </w:p>
        </w:tc>
      </w:tr>
      <w:tr>
        <w:trPr>
          <w:trHeight w:val="20"/>
        </w:trPr>
        <w:tc>
          <w:tcPr>
            <w:tcW w:w="7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left="37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Shareholders’ Equity (Deficit)</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For the Three Months Ended September 30, 2019 and September 28, 2018</w:t>
      </w:r>
    </w:p>
    <w:p>
      <w:pPr>
        <w:spacing w:after="0" w:line="4" w:lineRule="exact"/>
        <w:rPr>
          <w:sz w:val="20"/>
          <w:szCs w:val="20"/>
          <w:color w:val="auto"/>
        </w:rPr>
      </w:pPr>
    </w:p>
    <w:p>
      <w:pPr>
        <w:ind w:left="5140"/>
        <w:spacing w:after="0"/>
        <w:rPr>
          <w:sz w:val="20"/>
          <w:szCs w:val="20"/>
          <w:color w:val="auto"/>
        </w:rPr>
      </w:pPr>
      <w:r>
        <w:rPr>
          <w:rFonts w:ascii="Arial" w:cs="Arial" w:eastAsia="Arial" w:hAnsi="Arial"/>
          <w:sz w:val="18"/>
          <w:szCs w:val="18"/>
          <w:i w:val="1"/>
          <w:iCs w:val="1"/>
          <w:color w:val="auto"/>
        </w:rPr>
        <w:t>(In thousands)</w:t>
      </w:r>
    </w:p>
    <w:p>
      <w:pPr>
        <w:jc w:val="center"/>
        <w:spacing w:after="0"/>
        <w:rPr>
          <w:sz w:val="20"/>
          <w:szCs w:val="20"/>
          <w:color w:val="auto"/>
        </w:rPr>
      </w:pPr>
      <w:r>
        <w:rPr>
          <w:rFonts w:ascii="Arial" w:cs="Arial" w:eastAsia="Arial" w:hAnsi="Arial"/>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Retained</w:t>
            </w: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8"/>
              </w:rPr>
              <w:t>Redeemable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6"/>
              </w:rPr>
              <w:t>Common</w:t>
            </w: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Common</w:t>
            </w:r>
          </w:p>
        </w:tc>
        <w:tc>
          <w:tcPr>
            <w:tcW w:w="9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8"/>
              </w:rPr>
              <w:t>Paid-in</w:t>
            </w:r>
          </w:p>
        </w:tc>
        <w:tc>
          <w:tcPr>
            <w:tcW w:w="1020" w:type="dxa"/>
            <w:vAlign w:val="bottom"/>
            <w:gridSpan w:val="4"/>
          </w:tcPr>
          <w:p>
            <w:pPr>
              <w:ind w:left="8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6"/>
              </w:rPr>
              <w:t>Comprehensive</w:t>
            </w:r>
          </w:p>
        </w:tc>
        <w:tc>
          <w:tcPr>
            <w:tcW w:w="10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Parsons</w:t>
            </w:r>
          </w:p>
        </w:tc>
        <w:tc>
          <w:tcPr>
            <w:tcW w:w="102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Noncontrolling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Stock</w:t>
            </w:r>
          </w:p>
        </w:tc>
        <w:tc>
          <w:tcPr>
            <w:tcW w:w="26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auto"/>
                <w:w w:val="99"/>
              </w:rPr>
              <w:t>Stock</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Stock</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6"/>
              </w:rPr>
              <w:t>Deficit)</w:t>
            </w:r>
          </w:p>
        </w:tc>
        <w:tc>
          <w:tcPr>
            <w:tcW w:w="22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Income (Loss)</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Interests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June 30, 2019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$ 2,880,189</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21,296</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 (957,844)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(424,886)</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(18,144)</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(1,379,578)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37,352</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(1,342,226)</w:t>
            </w:r>
          </w:p>
        </w:tc>
        <w:tc>
          <w:tcPr>
            <w:tcW w:w="0" w:type="dxa"/>
            <w:vAlign w:val="bottom"/>
          </w:tcPr>
          <w:p>
            <w:pPr>
              <w:spacing w:after="0"/>
              <w:rPr>
                <w:sz w:val="1"/>
                <w:szCs w:val="1"/>
                <w:color w:val="auto"/>
              </w:rPr>
            </w:pPr>
          </w:p>
        </w:tc>
      </w:tr>
      <w:tr>
        <w:trPr>
          <w:trHeight w:val="169"/>
        </w:trPr>
        <w:tc>
          <w:tcPr>
            <w:tcW w:w="2620" w:type="dxa"/>
            <w:vAlign w:val="bottom"/>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56,812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56,812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4,481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61,293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260"/>
              <w:spacing w:after="0"/>
              <w:rPr>
                <w:sz w:val="20"/>
                <w:szCs w:val="20"/>
                <w:color w:val="auto"/>
              </w:rPr>
            </w:pPr>
            <w:r>
              <w:rPr>
                <w:rFonts w:ascii="Arial" w:cs="Arial" w:eastAsia="Arial" w:hAnsi="Arial"/>
                <w:sz w:val="14"/>
                <w:szCs w:val="14"/>
                <w:color w:val="auto"/>
              </w:rPr>
              <w:t>Foreign currency translation gain,</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260"/>
              <w:spacing w:after="0" w:line="157" w:lineRule="exact"/>
              <w:rPr>
                <w:sz w:val="20"/>
                <w:szCs w:val="20"/>
                <w:color w:val="auto"/>
              </w:rPr>
            </w:pPr>
            <w:r>
              <w:rPr>
                <w:rFonts w:ascii="Arial" w:cs="Arial" w:eastAsia="Arial" w:hAnsi="Arial"/>
                <w:sz w:val="14"/>
                <w:szCs w:val="14"/>
                <w:color w:val="auto"/>
              </w:rPr>
              <w:t>net</w:t>
            </w:r>
          </w:p>
        </w:tc>
        <w:tc>
          <w:tcPr>
            <w:tcW w:w="8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171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171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w:t>
            </w: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20"/>
                <w:szCs w:val="20"/>
                <w:color w:val="auto"/>
              </w:rPr>
            </w:pPr>
            <w:r>
              <w:rPr>
                <w:rFonts w:ascii="Arial" w:cs="Arial" w:eastAsia="Arial" w:hAnsi="Arial"/>
                <w:sz w:val="14"/>
                <w:szCs w:val="14"/>
                <w:color w:val="auto"/>
              </w:rPr>
              <w:t>Contributions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(14,591)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(14,591)</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9,224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spacing w:after="0"/>
              <w:rPr>
                <w:sz w:val="20"/>
                <w:szCs w:val="20"/>
                <w:color w:val="auto"/>
              </w:rPr>
            </w:pPr>
            <w:r>
              <w:rPr>
                <w:rFonts w:ascii="Arial" w:cs="Arial" w:eastAsia="Arial" w:hAnsi="Arial"/>
                <w:sz w:val="14"/>
                <w:szCs w:val="14"/>
                <w:color w:val="auto"/>
              </w:rPr>
              <w:t>IPO proceeds, net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(452)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(452)</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20"/>
                <w:szCs w:val="20"/>
                <w:color w:val="auto"/>
              </w:rPr>
            </w:pPr>
            <w:r>
              <w:rPr>
                <w:rFonts w:ascii="Arial" w:cs="Arial" w:eastAsia="Arial" w:hAnsi="Arial"/>
                <w:sz w:val="14"/>
                <w:szCs w:val="14"/>
                <w:color w:val="auto"/>
              </w:rPr>
              <w:t>Accretion of redeemable common stock</w:t>
            </w:r>
          </w:p>
        </w:tc>
        <w:tc>
          <w:tcPr>
            <w:tcW w:w="80" w:type="dxa"/>
            <w:vAlign w:val="bottom"/>
          </w:tcPr>
          <w:p>
            <w:pPr>
              <w:spacing w:after="0"/>
              <w:rPr>
                <w:sz w:val="15"/>
                <w:szCs w:val="15"/>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(303,178)</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303,178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303,178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303,178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2019</w:t>
            </w: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$ 2,577,011</w:t>
            </w:r>
          </w:p>
        </w:tc>
        <w:tc>
          <w:tcPr>
            <w:tcW w:w="2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7"/>
              </w:rPr>
              <w:t>21,296</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 (957,844)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8,772</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(64,896)</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(17,982)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(1,010,654)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28,094</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(982,560)</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June 29, 2018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$ 1,822,309</w:t>
            </w:r>
          </w:p>
        </w:tc>
        <w:tc>
          <w:tcPr>
            <w:tcW w:w="26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 (909,368)</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(20,397)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(913,871)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43,935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(869,936)</w:t>
            </w:r>
          </w:p>
        </w:tc>
        <w:tc>
          <w:tcPr>
            <w:tcW w:w="0" w:type="dxa"/>
            <w:vAlign w:val="bottom"/>
          </w:tcPr>
          <w:p>
            <w:pPr>
              <w:spacing w:after="0"/>
              <w:rPr>
                <w:sz w:val="1"/>
                <w:szCs w:val="1"/>
                <w:color w:val="auto"/>
              </w:rPr>
            </w:pPr>
          </w:p>
        </w:tc>
      </w:tr>
      <w:tr>
        <w:trPr>
          <w:trHeight w:val="184"/>
        </w:trPr>
        <w:tc>
          <w:tcPr>
            <w:tcW w:w="2620" w:type="dxa"/>
            <w:vAlign w:val="bottom"/>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41,222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41,222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4,844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46,066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260"/>
              <w:spacing w:after="0"/>
              <w:rPr>
                <w:sz w:val="20"/>
                <w:szCs w:val="20"/>
                <w:color w:val="auto"/>
              </w:rPr>
            </w:pPr>
            <w:r>
              <w:rPr>
                <w:rFonts w:ascii="Arial" w:cs="Arial" w:eastAsia="Arial" w:hAnsi="Arial"/>
                <w:sz w:val="14"/>
                <w:szCs w:val="14"/>
                <w:color w:val="auto"/>
              </w:rPr>
              <w:t>Foreign currency translation gain,</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620" w:type="dxa"/>
            <w:vAlign w:val="bottom"/>
          </w:tcPr>
          <w:p>
            <w:pPr>
              <w:ind w:left="260"/>
              <w:spacing w:after="0" w:line="157" w:lineRule="exact"/>
              <w:rPr>
                <w:sz w:val="20"/>
                <w:szCs w:val="20"/>
                <w:color w:val="auto"/>
              </w:rPr>
            </w:pPr>
            <w:r>
              <w:rPr>
                <w:rFonts w:ascii="Arial" w:cs="Arial" w:eastAsia="Arial" w:hAnsi="Arial"/>
                <w:sz w:val="14"/>
                <w:szCs w:val="14"/>
                <w:color w:val="auto"/>
              </w:rPr>
              <w:t>net</w:t>
            </w:r>
          </w:p>
        </w:tc>
        <w:tc>
          <w:tcPr>
            <w:tcW w:w="8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2,294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2,294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2,303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20" w:type="dxa"/>
            <w:vAlign w:val="bottom"/>
          </w:tcPr>
          <w:p>
            <w:pPr>
              <w:spacing w:after="0"/>
              <w:rPr>
                <w:sz w:val="20"/>
                <w:szCs w:val="20"/>
                <w:color w:val="auto"/>
              </w:rPr>
            </w:pPr>
            <w:r>
              <w:rPr>
                <w:rFonts w:ascii="Arial" w:cs="Arial" w:eastAsia="Arial" w:hAnsi="Arial"/>
                <w:sz w:val="14"/>
                <w:szCs w:val="14"/>
                <w:color w:val="auto"/>
              </w:rPr>
              <w:t>Purchase of treasury stock</w:t>
            </w:r>
          </w:p>
        </w:tc>
        <w:tc>
          <w:tcPr>
            <w:tcW w:w="1120" w:type="dxa"/>
            <w:vAlign w:val="bottom"/>
            <w:tcBorders>
              <w:right w:val="single" w:sz="8" w:color="auto"/>
            </w:tcBorders>
            <w:gridSpan w:val="3"/>
            <w:vMerge w:val="restart"/>
          </w:tcPr>
          <w:p>
            <w:pPr>
              <w:jc w:val="right"/>
              <w:ind w:right="220"/>
              <w:spacing w:after="0"/>
              <w:rPr>
                <w:sz w:val="20"/>
                <w:szCs w:val="20"/>
                <w:color w:val="auto"/>
              </w:rPr>
            </w:pPr>
            <w:r>
              <w:rPr>
                <w:rFonts w:ascii="Arial" w:cs="Arial" w:eastAsia="Arial" w:hAnsi="Arial"/>
                <w:sz w:val="14"/>
                <w:szCs w:val="14"/>
                <w:color w:val="auto"/>
              </w:rPr>
              <w:t>(40,312)</w:t>
            </w:r>
          </w:p>
        </w:tc>
        <w:tc>
          <w:tcPr>
            <w:tcW w:w="10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(40,312)</w:t>
            </w:r>
          </w:p>
        </w:tc>
        <w:tc>
          <w:tcPr>
            <w:tcW w:w="1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40,312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1120" w:type="dxa"/>
            <w:vAlign w:val="bottom"/>
            <w:tcBorders>
              <w:right w:val="single" w:sz="8" w:color="auto"/>
            </w:tcBorders>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Contributions</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(4,096)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(4,096)</w:t>
            </w:r>
          </w:p>
        </w:tc>
        <w:tc>
          <w:tcPr>
            <w:tcW w:w="0" w:type="dxa"/>
            <w:vAlign w:val="bottom"/>
          </w:tcPr>
          <w:p>
            <w:pPr>
              <w:spacing w:after="0"/>
              <w:rPr>
                <w:sz w:val="1"/>
                <w:szCs w:val="1"/>
                <w:color w:val="auto"/>
              </w:rPr>
            </w:pPr>
          </w:p>
        </w:tc>
      </w:tr>
      <w:tr>
        <w:trPr>
          <w:trHeight w:val="20"/>
        </w:trPr>
        <w:tc>
          <w:tcPr>
            <w:tcW w:w="262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at September 28, 2018</w:t>
            </w: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20" w:type="dxa"/>
            <w:vAlign w:val="bottom"/>
            <w:vMerge w:val="continue"/>
            <w:shd w:val="clear" w:color="auto" w:fill="CFF0FC"/>
          </w:tcPr>
          <w:p>
            <w:pPr>
              <w:spacing w:after="0"/>
              <w:rPr>
                <w:sz w:val="16"/>
                <w:szCs w:val="16"/>
                <w:color w:val="auto"/>
              </w:rPr>
            </w:pPr>
          </w:p>
        </w:tc>
        <w:tc>
          <w:tcPr>
            <w:tcW w:w="80" w:type="dxa"/>
            <w:vAlign w:val="bottom"/>
            <w:vMerge w:val="restart"/>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$ 1,781,997</w:t>
            </w:r>
          </w:p>
        </w:tc>
        <w:tc>
          <w:tcPr>
            <w:tcW w:w="260" w:type="dxa"/>
            <w:vAlign w:val="bottom"/>
            <w:tcBorders>
              <w:right w:val="single" w:sz="8" w:color="auto"/>
            </w:tcBorders>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 (949,680)</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gridSpan w:val="2"/>
            <w:vMerge w:val="restart"/>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97,428</w:t>
            </w:r>
          </w:p>
        </w:tc>
        <w:tc>
          <w:tcPr>
            <w:tcW w:w="22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(18,093)</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(870,345)</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44,807</w:t>
            </w:r>
          </w:p>
        </w:tc>
        <w:tc>
          <w:tcPr>
            <w:tcW w:w="140" w:type="dxa"/>
            <w:vAlign w:val="bottom"/>
            <w:shd w:val="clear" w:color="auto" w:fill="CFF0FC"/>
          </w:tcPr>
          <w:p>
            <w:pPr>
              <w:spacing w:after="0"/>
              <w:rPr>
                <w:sz w:val="16"/>
                <w:szCs w:val="16"/>
                <w:color w:val="auto"/>
              </w:rPr>
            </w:pPr>
          </w:p>
        </w:tc>
        <w:tc>
          <w:tcPr>
            <w:tcW w:w="1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(825,538)</w:t>
            </w:r>
          </w:p>
        </w:tc>
        <w:tc>
          <w:tcPr>
            <w:tcW w:w="0" w:type="dxa"/>
            <w:vAlign w:val="bottom"/>
          </w:tcPr>
          <w:p>
            <w:pPr>
              <w:spacing w:after="0"/>
              <w:rPr>
                <w:sz w:val="1"/>
                <w:szCs w:val="1"/>
                <w:color w:val="auto"/>
              </w:rPr>
            </w:pPr>
          </w:p>
        </w:tc>
      </w:tr>
      <w:tr>
        <w:trPr>
          <w:trHeight w:val="39"/>
        </w:trPr>
        <w:tc>
          <w:tcPr>
            <w:tcW w:w="2620" w:type="dxa"/>
            <w:vAlign w:val="bottom"/>
            <w:shd w:val="clear" w:color="auto" w:fill="CFF0FC"/>
          </w:tcPr>
          <w:p>
            <w:pPr>
              <w:spacing w:after="0"/>
              <w:rPr>
                <w:sz w:val="3"/>
                <w:szCs w:val="3"/>
                <w:color w:val="auto"/>
              </w:rPr>
            </w:pPr>
          </w:p>
        </w:tc>
        <w:tc>
          <w:tcPr>
            <w:tcW w:w="80" w:type="dxa"/>
            <w:vAlign w:val="bottom"/>
            <w:vMerge w:val="continue"/>
            <w:shd w:val="clear" w:color="auto" w:fill="CFF0FC"/>
          </w:tcPr>
          <w:p>
            <w:pPr>
              <w:spacing w:after="0"/>
              <w:rPr>
                <w:sz w:val="3"/>
                <w:szCs w:val="3"/>
                <w:color w:val="auto"/>
              </w:rPr>
            </w:pPr>
          </w:p>
        </w:tc>
        <w:tc>
          <w:tcPr>
            <w:tcW w:w="780" w:type="dxa"/>
            <w:vAlign w:val="bottom"/>
            <w:vMerge w:val="continue"/>
            <w:shd w:val="clear" w:color="auto" w:fill="CFF0FC"/>
          </w:tcPr>
          <w:p>
            <w:pPr>
              <w:spacing w:after="0"/>
              <w:rPr>
                <w:sz w:val="3"/>
                <w:szCs w:val="3"/>
                <w:color w:val="auto"/>
              </w:rPr>
            </w:pPr>
          </w:p>
        </w:tc>
        <w:tc>
          <w:tcPr>
            <w:tcW w:w="260" w:type="dxa"/>
            <w:vAlign w:val="bottom"/>
            <w:tcBorders>
              <w:right w:val="single" w:sz="8" w:color="auto"/>
            </w:tcBorders>
            <w:shd w:val="clear" w:color="auto" w:fill="CFF0FC"/>
          </w:tcPr>
          <w:p>
            <w:pPr>
              <w:spacing w:after="0"/>
              <w:rPr>
                <w:sz w:val="3"/>
                <w:szCs w:val="3"/>
                <w:color w:val="auto"/>
              </w:rPr>
            </w:pPr>
          </w:p>
        </w:tc>
        <w:tc>
          <w:tcPr>
            <w:tcW w:w="100" w:type="dxa"/>
            <w:vAlign w:val="bottom"/>
            <w:vMerge w:val="continue"/>
            <w:shd w:val="clear" w:color="auto" w:fill="CFF0FC"/>
          </w:tcPr>
          <w:p>
            <w:pPr>
              <w:spacing w:after="0"/>
              <w:rPr>
                <w:sz w:val="3"/>
                <w:szCs w:val="3"/>
                <w:color w:val="auto"/>
              </w:rPr>
            </w:pPr>
          </w:p>
        </w:tc>
        <w:tc>
          <w:tcPr>
            <w:tcW w:w="460" w:type="dxa"/>
            <w:vAlign w:val="bottom"/>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20" w:type="dxa"/>
            <w:vAlign w:val="bottom"/>
            <w:gridSpan w:val="2"/>
            <w:vMerge w:val="continue"/>
            <w:shd w:val="clear" w:color="auto" w:fill="CFF0FC"/>
          </w:tcPr>
          <w:p>
            <w:pPr>
              <w:spacing w:after="0"/>
              <w:rPr>
                <w:sz w:val="3"/>
                <w:szCs w:val="3"/>
                <w:color w:val="auto"/>
              </w:rPr>
            </w:pPr>
          </w:p>
        </w:tc>
        <w:tc>
          <w:tcPr>
            <w:tcW w:w="120" w:type="dxa"/>
            <w:vAlign w:val="bottom"/>
            <w:vMerge w:val="continue"/>
            <w:shd w:val="clear" w:color="auto" w:fill="CFF0FC"/>
          </w:tcPr>
          <w:p>
            <w:pPr>
              <w:spacing w:after="0"/>
              <w:rPr>
                <w:sz w:val="3"/>
                <w:szCs w:val="3"/>
                <w:color w:val="auto"/>
              </w:rPr>
            </w:pPr>
          </w:p>
        </w:tc>
        <w:tc>
          <w:tcPr>
            <w:tcW w:w="560" w:type="dxa"/>
            <w:vAlign w:val="bottom"/>
            <w:vMerge w:val="continue"/>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80" w:type="dxa"/>
            <w:vAlign w:val="bottom"/>
            <w:gridSpan w:val="2"/>
            <w:vMerge w:val="continue"/>
            <w:shd w:val="clear" w:color="auto" w:fill="CFF0FC"/>
          </w:tcPr>
          <w:p>
            <w:pPr>
              <w:spacing w:after="0"/>
              <w:rPr>
                <w:sz w:val="3"/>
                <w:szCs w:val="3"/>
                <w:color w:val="auto"/>
              </w:rPr>
            </w:pPr>
          </w:p>
        </w:tc>
        <w:tc>
          <w:tcPr>
            <w:tcW w:w="620" w:type="dxa"/>
            <w:vAlign w:val="bottom"/>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0" w:type="dxa"/>
            <w:vAlign w:val="bottom"/>
            <w:vMerge w:val="continue"/>
            <w:shd w:val="clear" w:color="auto" w:fill="CFF0FC"/>
          </w:tcPr>
          <w:p>
            <w:pPr>
              <w:spacing w:after="0"/>
              <w:rPr>
                <w:sz w:val="3"/>
                <w:szCs w:val="3"/>
                <w:color w:val="auto"/>
              </w:rPr>
            </w:pPr>
          </w:p>
        </w:tc>
        <w:tc>
          <w:tcPr>
            <w:tcW w:w="1000" w:type="dxa"/>
            <w:vAlign w:val="bottom"/>
            <w:gridSpan w:val="2"/>
            <w:vMerge w:val="continue"/>
            <w:shd w:val="clear" w:color="auto" w:fill="CFF0FC"/>
          </w:tcPr>
          <w:p>
            <w:pPr>
              <w:spacing w:after="0"/>
              <w:rPr>
                <w:sz w:val="3"/>
                <w:szCs w:val="3"/>
                <w:color w:val="auto"/>
              </w:rPr>
            </w:pPr>
          </w:p>
        </w:tc>
        <w:tc>
          <w:tcPr>
            <w:tcW w:w="100" w:type="dxa"/>
            <w:vAlign w:val="bottom"/>
            <w:vMerge w:val="continue"/>
            <w:shd w:val="clear" w:color="auto" w:fill="CFF0FC"/>
          </w:tcPr>
          <w:p>
            <w:pPr>
              <w:spacing w:after="0"/>
              <w:rPr>
                <w:sz w:val="3"/>
                <w:szCs w:val="3"/>
                <w:color w:val="auto"/>
              </w:rPr>
            </w:pPr>
          </w:p>
        </w:tc>
        <w:tc>
          <w:tcPr>
            <w:tcW w:w="940" w:type="dxa"/>
            <w:vAlign w:val="bottom"/>
            <w:gridSpan w:val="2"/>
            <w:vMerge w:val="continue"/>
            <w:shd w:val="clear" w:color="auto" w:fill="CFF0FC"/>
          </w:tcPr>
          <w:p>
            <w:pPr>
              <w:spacing w:after="0"/>
              <w:rPr>
                <w:sz w:val="3"/>
                <w:szCs w:val="3"/>
                <w:color w:val="auto"/>
              </w:rPr>
            </w:pPr>
          </w:p>
        </w:tc>
        <w:tc>
          <w:tcPr>
            <w:tcW w:w="140" w:type="dxa"/>
            <w:vAlign w:val="bottom"/>
            <w:vMerge w:val="continue"/>
            <w:shd w:val="clear" w:color="auto" w:fill="CFF0FC"/>
          </w:tcPr>
          <w:p>
            <w:pPr>
              <w:spacing w:after="0"/>
              <w:rPr>
                <w:sz w:val="3"/>
                <w:szCs w:val="3"/>
                <w:color w:val="auto"/>
              </w:rPr>
            </w:pPr>
          </w:p>
        </w:tc>
        <w:tc>
          <w:tcPr>
            <w:tcW w:w="740" w:type="dxa"/>
            <w:vAlign w:val="bottom"/>
            <w:vMerge w:val="continue"/>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80" w:type="dxa"/>
            <w:vAlign w:val="bottom"/>
            <w:gridSpan w:val="2"/>
            <w:vMerge w:val="continue"/>
            <w:shd w:val="clear" w:color="auto" w:fill="CFF0FC"/>
          </w:tcPr>
          <w:p>
            <w:pPr>
              <w:spacing w:after="0"/>
              <w:rPr>
                <w:sz w:val="3"/>
                <w:szCs w:val="3"/>
                <w:color w:val="auto"/>
              </w:rPr>
            </w:pPr>
          </w:p>
        </w:tc>
        <w:tc>
          <w:tcPr>
            <w:tcW w:w="820" w:type="dxa"/>
            <w:vAlign w:val="bottom"/>
            <w:gridSpan w:val="2"/>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37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Shareholders’ Equity (Deficit)</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For the Nine Months Ended September 30, 2019 and September 28, 2018</w:t>
      </w:r>
    </w:p>
    <w:p>
      <w:pPr>
        <w:spacing w:after="0" w:line="4" w:lineRule="exact"/>
        <w:rPr>
          <w:sz w:val="20"/>
          <w:szCs w:val="20"/>
          <w:color w:val="auto"/>
        </w:rPr>
      </w:pPr>
    </w:p>
    <w:p>
      <w:pPr>
        <w:ind w:left="5140"/>
        <w:spacing w:after="0"/>
        <w:rPr>
          <w:sz w:val="20"/>
          <w:szCs w:val="20"/>
          <w:color w:val="auto"/>
        </w:rPr>
      </w:pPr>
      <w:r>
        <w:rPr>
          <w:rFonts w:ascii="Arial" w:cs="Arial" w:eastAsia="Arial" w:hAnsi="Arial"/>
          <w:sz w:val="18"/>
          <w:szCs w:val="18"/>
          <w:i w:val="1"/>
          <w:iCs w:val="1"/>
          <w:color w:val="auto"/>
        </w:rPr>
        <w:t>(In thousands)</w:t>
      </w: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Retained</w:t>
            </w:r>
          </w:p>
        </w:tc>
        <w:tc>
          <w:tcPr>
            <w:tcW w:w="10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8"/>
              </w:rPr>
              <w:t>Redeemable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Common</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Common</w:t>
            </w:r>
          </w:p>
        </w:tc>
        <w:tc>
          <w:tcPr>
            <w:tcW w:w="9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Treasury</w:t>
            </w:r>
          </w:p>
        </w:tc>
        <w:tc>
          <w:tcPr>
            <w:tcW w:w="80" w:type="dxa"/>
            <w:vAlign w:val="bottom"/>
          </w:tcPr>
          <w:p>
            <w:pPr>
              <w:spacing w:after="0"/>
              <w:rPr>
                <w:sz w:val="12"/>
                <w:szCs w:val="12"/>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Paid-in</w:t>
            </w:r>
          </w:p>
        </w:tc>
        <w:tc>
          <w:tcPr>
            <w:tcW w:w="1020" w:type="dxa"/>
            <w:vAlign w:val="bottom"/>
            <w:gridSpan w:val="4"/>
          </w:tcPr>
          <w:p>
            <w:pPr>
              <w:ind w:left="8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6"/>
              </w:rPr>
              <w:t>Comprehensive</w:t>
            </w:r>
          </w:p>
        </w:tc>
        <w:tc>
          <w:tcPr>
            <w:tcW w:w="10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Parsons</w:t>
            </w:r>
          </w:p>
        </w:tc>
        <w:tc>
          <w:tcPr>
            <w:tcW w:w="102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rPr>
              <w:t>Noncontrolling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Stock</w:t>
            </w:r>
          </w:p>
        </w:tc>
        <w:tc>
          <w:tcPr>
            <w:tcW w:w="2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auto"/>
              </w:rPr>
              <w:t>Stock</w:t>
            </w:r>
          </w:p>
        </w:tc>
        <w:tc>
          <w:tcPr>
            <w:tcW w:w="22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Stock</w:t>
            </w:r>
          </w:p>
        </w:tc>
        <w:tc>
          <w:tcPr>
            <w:tcW w:w="2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1"/>
                <w:szCs w:val="11"/>
                <w:b w:val="1"/>
                <w:bCs w:val="1"/>
                <w:color w:val="auto"/>
                <w:w w:val="96"/>
              </w:rPr>
              <w:t>Deficit)</w:t>
            </w:r>
          </w:p>
        </w:tc>
        <w:tc>
          <w:tcPr>
            <w:tcW w:w="22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Income (Loss)</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1"/>
                <w:szCs w:val="11"/>
                <w:b w:val="1"/>
                <w:bCs w:val="1"/>
                <w:color w:val="auto"/>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Interests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2018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$ 1,876,309</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 (957,025)</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(22,957)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(967,537)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46,461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(921,076)</w:t>
            </w:r>
          </w:p>
        </w:tc>
        <w:tc>
          <w:tcPr>
            <w:tcW w:w="0" w:type="dxa"/>
            <w:vAlign w:val="bottom"/>
          </w:tcPr>
          <w:p>
            <w:pPr>
              <w:spacing w:after="0"/>
              <w:rPr>
                <w:sz w:val="1"/>
                <w:szCs w:val="1"/>
                <w:color w:val="auto"/>
              </w:rPr>
            </w:pPr>
          </w:p>
        </w:tc>
      </w:tr>
      <w:tr>
        <w:trPr>
          <w:trHeight w:val="169"/>
        </w:trPr>
        <w:tc>
          <w:tcPr>
            <w:tcW w:w="2600" w:type="dxa"/>
            <w:vAlign w:val="bottom"/>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106,812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106,812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8,012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114,824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600" w:type="dxa"/>
            <w:vAlign w:val="bottom"/>
          </w:tcPr>
          <w:p>
            <w:pPr>
              <w:ind w:left="260"/>
              <w:spacing w:after="0"/>
              <w:rPr>
                <w:sz w:val="20"/>
                <w:szCs w:val="20"/>
                <w:color w:val="auto"/>
              </w:rPr>
            </w:pPr>
            <w:r>
              <w:rPr>
                <w:rFonts w:ascii="Arial" w:cs="Arial" w:eastAsia="Arial" w:hAnsi="Arial"/>
                <w:sz w:val="14"/>
                <w:szCs w:val="14"/>
                <w:color w:val="auto"/>
              </w:rPr>
              <w:t>Foreign currency translation gain,</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600" w:type="dxa"/>
            <w:vAlign w:val="bottom"/>
          </w:tcPr>
          <w:p>
            <w:pPr>
              <w:ind w:left="260"/>
              <w:spacing w:after="0" w:line="157" w:lineRule="exact"/>
              <w:rPr>
                <w:sz w:val="20"/>
                <w:szCs w:val="20"/>
                <w:color w:val="auto"/>
              </w:rPr>
            </w:pPr>
            <w:r>
              <w:rPr>
                <w:rFonts w:ascii="Arial" w:cs="Arial" w:eastAsia="Arial" w:hAnsi="Arial"/>
                <w:sz w:val="14"/>
                <w:szCs w:val="14"/>
                <w:color w:val="auto"/>
              </w:rPr>
              <w:t>net</w:t>
            </w:r>
          </w:p>
        </w:tc>
        <w:tc>
          <w:tcPr>
            <w:tcW w:w="8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4,958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4,958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4,958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20"/>
                <w:szCs w:val="20"/>
                <w:color w:val="auto"/>
              </w:rPr>
            </w:pPr>
            <w:r>
              <w:rPr>
                <w:rFonts w:ascii="Arial" w:cs="Arial" w:eastAsia="Arial" w:hAnsi="Arial"/>
                <w:sz w:val="14"/>
                <w:szCs w:val="14"/>
                <w:color w:val="auto"/>
              </w:rPr>
              <w:t>ASC 842 transition adjustment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52,608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52,608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52,608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CFF0FC"/>
          </w:tcPr>
          <w:p>
            <w:pPr>
              <w:spacing w:after="0"/>
              <w:rPr>
                <w:sz w:val="20"/>
                <w:szCs w:val="20"/>
                <w:color w:val="auto"/>
              </w:rPr>
            </w:pPr>
            <w:r>
              <w:rPr>
                <w:rFonts w:ascii="Arial" w:cs="Arial" w:eastAsia="Arial" w:hAnsi="Arial"/>
                <w:sz w:val="14"/>
                <w:szCs w:val="14"/>
                <w:color w:val="auto"/>
              </w:rPr>
              <w:t>Purchase of treasury stock</w:t>
            </w:r>
          </w:p>
        </w:tc>
        <w:tc>
          <w:tcPr>
            <w:tcW w:w="1100" w:type="dxa"/>
            <w:vAlign w:val="bottom"/>
            <w:tcBorders>
              <w:right w:val="single" w:sz="8" w:color="auto"/>
            </w:tcBorders>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(819)</w:t>
            </w: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20"/>
                <w:szCs w:val="20"/>
                <w:color w:val="auto"/>
              </w:rPr>
            </w:pPr>
            <w:r>
              <w:rPr>
                <w:rFonts w:ascii="Arial" w:cs="Arial" w:eastAsia="Arial" w:hAnsi="Arial"/>
                <w:sz w:val="14"/>
                <w:szCs w:val="14"/>
                <w:color w:val="auto"/>
              </w:rPr>
              <w:t>Contributions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(35,378)</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(35,378)</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20"/>
                <w:szCs w:val="20"/>
                <w:color w:val="auto"/>
              </w:rPr>
            </w:pPr>
            <w:r>
              <w:rPr>
                <w:rFonts w:ascii="Arial" w:cs="Arial" w:eastAsia="Arial" w:hAnsi="Arial"/>
                <w:sz w:val="14"/>
                <w:szCs w:val="14"/>
                <w:color w:val="auto"/>
              </w:rPr>
              <w:t>Dividend paid</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(52,093)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(52,093)</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(52,093)</w:t>
            </w:r>
          </w:p>
        </w:tc>
        <w:tc>
          <w:tcPr>
            <w:tcW w:w="0" w:type="dxa"/>
            <w:vAlign w:val="bottom"/>
          </w:tcPr>
          <w:p>
            <w:pPr>
              <w:spacing w:after="0"/>
              <w:rPr>
                <w:sz w:val="1"/>
                <w:szCs w:val="1"/>
                <w:color w:val="auto"/>
              </w:rPr>
            </w:pPr>
          </w:p>
        </w:tc>
      </w:tr>
      <w:tr>
        <w:trPr>
          <w:trHeight w:val="176"/>
        </w:trPr>
        <w:tc>
          <w:tcPr>
            <w:tcW w:w="26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20"/>
                <w:szCs w:val="20"/>
                <w:color w:val="auto"/>
              </w:rPr>
            </w:pPr>
            <w:r>
              <w:rPr>
                <w:rFonts w:ascii="Arial" w:cs="Arial" w:eastAsia="Arial" w:hAnsi="Arial"/>
                <w:sz w:val="14"/>
                <w:szCs w:val="14"/>
                <w:color w:val="auto"/>
              </w:rPr>
              <w:t>Conversion of S-Corp to C-Corp</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25,877</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(25,877)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(25,877)</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(25,877)</w:t>
            </w:r>
          </w:p>
        </w:tc>
        <w:tc>
          <w:tcPr>
            <w:tcW w:w="0" w:type="dxa"/>
            <w:vAlign w:val="bottom"/>
          </w:tcPr>
          <w:p>
            <w:pPr>
              <w:spacing w:after="0"/>
              <w:rPr>
                <w:sz w:val="1"/>
                <w:szCs w:val="1"/>
                <w:color w:val="auto"/>
              </w:rPr>
            </w:pPr>
          </w:p>
        </w:tc>
      </w:tr>
      <w:tr>
        <w:trPr>
          <w:trHeight w:val="176"/>
        </w:trPr>
        <w:tc>
          <w:tcPr>
            <w:tcW w:w="2600" w:type="dxa"/>
            <w:vAlign w:val="bottom"/>
            <w:shd w:val="clear" w:color="auto" w:fill="CFF0FC"/>
          </w:tcPr>
          <w:p>
            <w:pPr>
              <w:spacing w:after="0"/>
              <w:rPr>
                <w:sz w:val="20"/>
                <w:szCs w:val="20"/>
                <w:color w:val="auto"/>
              </w:rPr>
            </w:pPr>
            <w:r>
              <w:rPr>
                <w:rFonts w:ascii="Arial" w:cs="Arial" w:eastAsia="Arial" w:hAnsi="Arial"/>
                <w:sz w:val="14"/>
                <w:szCs w:val="14"/>
                <w:color w:val="auto"/>
              </w:rPr>
              <w:t>IPO proceeds, net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21,296</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515,582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536,878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536,878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20"/>
                <w:szCs w:val="20"/>
                <w:color w:val="auto"/>
              </w:rPr>
            </w:pPr>
            <w:r>
              <w:rPr>
                <w:rFonts w:ascii="Arial" w:cs="Arial" w:eastAsia="Arial" w:hAnsi="Arial"/>
                <w:sz w:val="14"/>
                <w:szCs w:val="14"/>
                <w:color w:val="auto"/>
              </w:rPr>
              <w:t>Accretion of redeemable common stock</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675,644</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(516,034)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(159,610)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(675,644)</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(675,644)</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at September 30, 2019</w:t>
            </w: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$ 2,577,011</w:t>
            </w:r>
          </w:p>
        </w:tc>
        <w:tc>
          <w:tcPr>
            <w:tcW w:w="24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21,296</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 (957,844)</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8,772</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(64,896)</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(17,982)</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(1,010,654)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28,094</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(982,560)</w:t>
            </w: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Balance at December 29, 2017</w:t>
            </w: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600" w:type="dxa"/>
            <w:vAlign w:val="bottom"/>
            <w:vMerge w:val="continue"/>
          </w:tcPr>
          <w:p>
            <w:pPr>
              <w:spacing w:after="0"/>
              <w:rPr>
                <w:sz w:val="24"/>
                <w:szCs w:val="2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$ 1,855,305</w:t>
            </w:r>
          </w:p>
        </w:tc>
        <w:tc>
          <w:tcPr>
            <w:tcW w:w="240" w:type="dxa"/>
            <w:vAlign w:val="bottom"/>
            <w:tcBorders>
              <w:right w:val="single" w:sz="8" w:color="auto"/>
            </w:tcBorders>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 (876,372)</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(186,035)</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(15,003)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(1,077,410)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27,494</w:t>
            </w:r>
          </w:p>
        </w:tc>
        <w:tc>
          <w:tcPr>
            <w:tcW w:w="140" w:type="dxa"/>
            <w:vAlign w:val="bottom"/>
          </w:tcPr>
          <w:p>
            <w:pPr>
              <w:spacing w:after="0"/>
              <w:rPr>
                <w:sz w:val="24"/>
                <w:szCs w:val="24"/>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(1,049,916)</w:t>
            </w:r>
          </w:p>
        </w:tc>
        <w:tc>
          <w:tcPr>
            <w:tcW w:w="0" w:type="dxa"/>
            <w:vAlign w:val="bottom"/>
          </w:tcPr>
          <w:p>
            <w:pPr>
              <w:spacing w:after="0"/>
              <w:rPr>
                <w:sz w:val="1"/>
                <w:szCs w:val="1"/>
                <w:color w:val="auto"/>
              </w:rPr>
            </w:pPr>
          </w:p>
        </w:tc>
      </w:tr>
      <w:tr>
        <w:trPr>
          <w:trHeight w:val="39"/>
        </w:trPr>
        <w:tc>
          <w:tcPr>
            <w:tcW w:w="2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Comprehensive income</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right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214,890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214,890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10,316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225,206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(loss),</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60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net</w:t>
            </w:r>
          </w:p>
        </w:tc>
        <w:tc>
          <w:tcPr>
            <w:tcW w:w="86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(3,063)</w:t>
            </w: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line="157" w:lineRule="exact"/>
              <w:rPr>
                <w:sz w:val="20"/>
                <w:szCs w:val="20"/>
                <w:color w:val="auto"/>
              </w:rPr>
            </w:pPr>
            <w:r>
              <w:rPr>
                <w:rFonts w:ascii="Arial" w:cs="Arial" w:eastAsia="Arial" w:hAnsi="Arial"/>
                <w:sz w:val="14"/>
                <w:szCs w:val="14"/>
                <w:color w:val="auto"/>
              </w:rPr>
              <w:t>(3,063)</w:t>
            </w: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line="157" w:lineRule="exact"/>
              <w:rPr>
                <w:sz w:val="20"/>
                <w:szCs w:val="20"/>
                <w:color w:val="auto"/>
              </w:rPr>
            </w:pPr>
            <w:r>
              <w:rPr>
                <w:rFonts w:ascii="Arial" w:cs="Arial" w:eastAsia="Arial" w:hAnsi="Arial"/>
                <w:sz w:val="14"/>
                <w:szCs w:val="14"/>
                <w:color w:val="auto"/>
              </w:rPr>
              <w:t>(16)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(3,079)</w:t>
            </w:r>
          </w:p>
        </w:tc>
        <w:tc>
          <w:tcPr>
            <w:tcW w:w="0" w:type="dxa"/>
            <w:vAlign w:val="bottom"/>
          </w:tcPr>
          <w:p>
            <w:pPr>
              <w:spacing w:after="0"/>
              <w:rPr>
                <w:sz w:val="1"/>
                <w:szCs w:val="1"/>
                <w:color w:val="auto"/>
              </w:rPr>
            </w:pPr>
          </w:p>
        </w:tc>
      </w:tr>
      <w:tr>
        <w:trPr>
          <w:trHeight w:val="191"/>
        </w:trPr>
        <w:tc>
          <w:tcPr>
            <w:tcW w:w="2600" w:type="dxa"/>
            <w:vAlign w:val="bottom"/>
          </w:tcPr>
          <w:p>
            <w:pPr>
              <w:ind w:left="260"/>
              <w:spacing w:after="0"/>
              <w:rPr>
                <w:sz w:val="20"/>
                <w:szCs w:val="20"/>
                <w:color w:val="auto"/>
              </w:rPr>
            </w:pPr>
            <w:r>
              <w:rPr>
                <w:rFonts w:ascii="Arial" w:cs="Arial" w:eastAsia="Arial" w:hAnsi="Arial"/>
                <w:sz w:val="14"/>
                <w:szCs w:val="14"/>
                <w:color w:val="auto"/>
              </w:rPr>
              <w:t>Pension adjustments, net</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39"/>
        </w:trPr>
        <w:tc>
          <w:tcPr>
            <w:tcW w:w="2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Adoption of ASC 606</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(4,735)</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(4,735)</w:t>
            </w: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(4,632)</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20"/>
                <w:szCs w:val="20"/>
                <w:color w:val="auto"/>
              </w:rPr>
            </w:pPr>
            <w:r>
              <w:rPr>
                <w:rFonts w:ascii="Arial" w:cs="Arial" w:eastAsia="Arial" w:hAnsi="Arial"/>
                <w:sz w:val="14"/>
                <w:szCs w:val="14"/>
                <w:color w:val="auto"/>
              </w:rPr>
              <w:t>Purchase of treasury stock</w:t>
            </w:r>
          </w:p>
        </w:tc>
        <w:tc>
          <w:tcPr>
            <w:tcW w:w="1100" w:type="dxa"/>
            <w:vAlign w:val="bottom"/>
            <w:tcBorders>
              <w:right w:val="single" w:sz="8" w:color="auto"/>
            </w:tcBorders>
            <w:gridSpan w:val="3"/>
            <w:vMerge w:val="restart"/>
          </w:tcPr>
          <w:p>
            <w:pPr>
              <w:jc w:val="right"/>
              <w:ind w:right="200"/>
              <w:spacing w:after="0"/>
              <w:rPr>
                <w:sz w:val="20"/>
                <w:szCs w:val="20"/>
                <w:color w:val="auto"/>
              </w:rPr>
            </w:pPr>
            <w:r>
              <w:rPr>
                <w:rFonts w:ascii="Arial" w:cs="Arial" w:eastAsia="Arial" w:hAnsi="Arial"/>
                <w:sz w:val="14"/>
                <w:szCs w:val="14"/>
                <w:color w:val="auto"/>
              </w:rPr>
              <w:t>(73,308)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(73,308)</w:t>
            </w:r>
          </w:p>
        </w:tc>
        <w:tc>
          <w:tcPr>
            <w:tcW w:w="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73,308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600" w:type="dxa"/>
            <w:vAlign w:val="bottom"/>
          </w:tcPr>
          <w:p>
            <w:pPr>
              <w:spacing w:after="0"/>
              <w:rPr>
                <w:sz w:val="3"/>
                <w:szCs w:val="3"/>
                <w:color w:val="auto"/>
              </w:rPr>
            </w:pPr>
          </w:p>
        </w:tc>
        <w:tc>
          <w:tcPr>
            <w:tcW w:w="1100" w:type="dxa"/>
            <w:vAlign w:val="bottom"/>
            <w:tcBorders>
              <w:right w:val="single" w:sz="8" w:color="auto"/>
            </w:tcBorders>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Contributions</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13,768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13,768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20"/>
                <w:szCs w:val="20"/>
                <w:color w:val="auto"/>
              </w:rPr>
            </w:pPr>
            <w:r>
              <w:rPr>
                <w:rFonts w:ascii="Arial" w:cs="Arial" w:eastAsia="Arial" w:hAnsi="Arial"/>
                <w:sz w:val="14"/>
                <w:szCs w:val="14"/>
                <w:color w:val="auto"/>
              </w:rPr>
              <w:t>Distributions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(6,858)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(6,858)</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at September 28, 2018</w:t>
            </w:r>
          </w:p>
        </w:tc>
        <w:tc>
          <w:tcPr>
            <w:tcW w:w="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600" w:type="dxa"/>
            <w:vAlign w:val="bottom"/>
            <w:vMerge w:val="continue"/>
            <w:shd w:val="clear" w:color="auto" w:fill="CFF0FC"/>
          </w:tcPr>
          <w:p>
            <w:pPr>
              <w:spacing w:after="0"/>
              <w:rPr>
                <w:sz w:val="16"/>
                <w:szCs w:val="16"/>
                <w:color w:val="auto"/>
              </w:rPr>
            </w:pPr>
          </w:p>
        </w:tc>
        <w:tc>
          <w:tcPr>
            <w:tcW w:w="80" w:type="dxa"/>
            <w:vAlign w:val="bottom"/>
            <w:vMerge w:val="restart"/>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$ 1,781,997</w:t>
            </w:r>
          </w:p>
        </w:tc>
        <w:tc>
          <w:tcPr>
            <w:tcW w:w="240" w:type="dxa"/>
            <w:vAlign w:val="bottom"/>
            <w:tcBorders>
              <w:right w:val="single" w:sz="8" w:color="auto"/>
            </w:tcBorders>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 (949,680)</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gridSpan w:val="2"/>
            <w:vMerge w:val="restart"/>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97,428</w:t>
            </w:r>
          </w:p>
        </w:tc>
        <w:tc>
          <w:tcPr>
            <w:tcW w:w="22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(18,093)</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(870,345)</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44,807</w:t>
            </w:r>
          </w:p>
        </w:tc>
        <w:tc>
          <w:tcPr>
            <w:tcW w:w="140" w:type="dxa"/>
            <w:vAlign w:val="bottom"/>
            <w:shd w:val="clear" w:color="auto" w:fill="CFF0FC"/>
          </w:tcPr>
          <w:p>
            <w:pPr>
              <w:spacing w:after="0"/>
              <w:rPr>
                <w:sz w:val="16"/>
                <w:szCs w:val="16"/>
                <w:color w:val="auto"/>
              </w:rPr>
            </w:pPr>
          </w:p>
        </w:tc>
        <w:tc>
          <w:tcPr>
            <w:tcW w:w="1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(825,538)</w:t>
            </w:r>
          </w:p>
        </w:tc>
        <w:tc>
          <w:tcPr>
            <w:tcW w:w="0" w:type="dxa"/>
            <w:vAlign w:val="bottom"/>
          </w:tcPr>
          <w:p>
            <w:pPr>
              <w:spacing w:after="0"/>
              <w:rPr>
                <w:sz w:val="1"/>
                <w:szCs w:val="1"/>
                <w:color w:val="auto"/>
              </w:rPr>
            </w:pPr>
          </w:p>
        </w:tc>
      </w:tr>
      <w:tr>
        <w:trPr>
          <w:trHeight w:val="39"/>
        </w:trPr>
        <w:tc>
          <w:tcPr>
            <w:tcW w:w="2600" w:type="dxa"/>
            <w:vAlign w:val="bottom"/>
            <w:shd w:val="clear" w:color="auto" w:fill="CFF0FC"/>
          </w:tcPr>
          <w:p>
            <w:pPr>
              <w:spacing w:after="0"/>
              <w:rPr>
                <w:sz w:val="3"/>
                <w:szCs w:val="3"/>
                <w:color w:val="auto"/>
              </w:rPr>
            </w:pPr>
          </w:p>
        </w:tc>
        <w:tc>
          <w:tcPr>
            <w:tcW w:w="80" w:type="dxa"/>
            <w:vAlign w:val="bottom"/>
            <w:vMerge w:val="continue"/>
            <w:shd w:val="clear" w:color="auto" w:fill="CFF0FC"/>
          </w:tcPr>
          <w:p>
            <w:pPr>
              <w:spacing w:after="0"/>
              <w:rPr>
                <w:sz w:val="3"/>
                <w:szCs w:val="3"/>
                <w:color w:val="auto"/>
              </w:rPr>
            </w:pPr>
          </w:p>
        </w:tc>
        <w:tc>
          <w:tcPr>
            <w:tcW w:w="780" w:type="dxa"/>
            <w:vAlign w:val="bottom"/>
            <w:vMerge w:val="continue"/>
            <w:shd w:val="clear" w:color="auto" w:fill="CFF0FC"/>
          </w:tcPr>
          <w:p>
            <w:pPr>
              <w:spacing w:after="0"/>
              <w:rPr>
                <w:sz w:val="3"/>
                <w:szCs w:val="3"/>
                <w:color w:val="auto"/>
              </w:rPr>
            </w:pPr>
          </w:p>
        </w:tc>
        <w:tc>
          <w:tcPr>
            <w:tcW w:w="240" w:type="dxa"/>
            <w:vAlign w:val="bottom"/>
            <w:tcBorders>
              <w:right w:val="single" w:sz="8" w:color="auto"/>
            </w:tcBorders>
            <w:shd w:val="clear" w:color="auto" w:fill="CFF0FC"/>
          </w:tcPr>
          <w:p>
            <w:pPr>
              <w:spacing w:after="0"/>
              <w:rPr>
                <w:sz w:val="3"/>
                <w:szCs w:val="3"/>
                <w:color w:val="auto"/>
              </w:rPr>
            </w:pPr>
          </w:p>
        </w:tc>
        <w:tc>
          <w:tcPr>
            <w:tcW w:w="100" w:type="dxa"/>
            <w:vAlign w:val="bottom"/>
            <w:vMerge w:val="continue"/>
            <w:shd w:val="clear" w:color="auto" w:fill="CFF0FC"/>
          </w:tcPr>
          <w:p>
            <w:pPr>
              <w:spacing w:after="0"/>
              <w:rPr>
                <w:sz w:val="3"/>
                <w:szCs w:val="3"/>
                <w:color w:val="auto"/>
              </w:rPr>
            </w:pPr>
          </w:p>
        </w:tc>
        <w:tc>
          <w:tcPr>
            <w:tcW w:w="480" w:type="dxa"/>
            <w:vAlign w:val="bottom"/>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20" w:type="dxa"/>
            <w:vAlign w:val="bottom"/>
            <w:gridSpan w:val="2"/>
            <w:vMerge w:val="continue"/>
            <w:shd w:val="clear" w:color="auto" w:fill="CFF0FC"/>
          </w:tcPr>
          <w:p>
            <w:pPr>
              <w:spacing w:after="0"/>
              <w:rPr>
                <w:sz w:val="3"/>
                <w:szCs w:val="3"/>
                <w:color w:val="auto"/>
              </w:rPr>
            </w:pPr>
          </w:p>
        </w:tc>
        <w:tc>
          <w:tcPr>
            <w:tcW w:w="80" w:type="dxa"/>
            <w:vAlign w:val="bottom"/>
            <w:vMerge w:val="continue"/>
            <w:shd w:val="clear" w:color="auto" w:fill="CFF0FC"/>
          </w:tcPr>
          <w:p>
            <w:pPr>
              <w:spacing w:after="0"/>
              <w:rPr>
                <w:sz w:val="3"/>
                <w:szCs w:val="3"/>
                <w:color w:val="auto"/>
              </w:rPr>
            </w:pPr>
          </w:p>
        </w:tc>
        <w:tc>
          <w:tcPr>
            <w:tcW w:w="620" w:type="dxa"/>
            <w:vAlign w:val="bottom"/>
            <w:vMerge w:val="continue"/>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80" w:type="dxa"/>
            <w:vAlign w:val="bottom"/>
            <w:gridSpan w:val="2"/>
            <w:vMerge w:val="continue"/>
            <w:shd w:val="clear" w:color="auto" w:fill="CFF0FC"/>
          </w:tcPr>
          <w:p>
            <w:pPr>
              <w:spacing w:after="0"/>
              <w:rPr>
                <w:sz w:val="3"/>
                <w:szCs w:val="3"/>
                <w:color w:val="auto"/>
              </w:rPr>
            </w:pPr>
          </w:p>
        </w:tc>
        <w:tc>
          <w:tcPr>
            <w:tcW w:w="620" w:type="dxa"/>
            <w:vAlign w:val="bottom"/>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00" w:type="dxa"/>
            <w:vAlign w:val="bottom"/>
            <w:vMerge w:val="continue"/>
            <w:shd w:val="clear" w:color="auto" w:fill="CFF0FC"/>
          </w:tcPr>
          <w:p>
            <w:pPr>
              <w:spacing w:after="0"/>
              <w:rPr>
                <w:sz w:val="3"/>
                <w:szCs w:val="3"/>
                <w:color w:val="auto"/>
              </w:rPr>
            </w:pPr>
          </w:p>
        </w:tc>
        <w:tc>
          <w:tcPr>
            <w:tcW w:w="1000" w:type="dxa"/>
            <w:vAlign w:val="bottom"/>
            <w:gridSpan w:val="2"/>
            <w:vMerge w:val="continue"/>
            <w:shd w:val="clear" w:color="auto" w:fill="CFF0FC"/>
          </w:tcPr>
          <w:p>
            <w:pPr>
              <w:spacing w:after="0"/>
              <w:rPr>
                <w:sz w:val="3"/>
                <w:szCs w:val="3"/>
                <w:color w:val="auto"/>
              </w:rPr>
            </w:pPr>
          </w:p>
        </w:tc>
        <w:tc>
          <w:tcPr>
            <w:tcW w:w="100" w:type="dxa"/>
            <w:vAlign w:val="bottom"/>
            <w:vMerge w:val="continue"/>
            <w:shd w:val="clear" w:color="auto" w:fill="CFF0FC"/>
          </w:tcPr>
          <w:p>
            <w:pPr>
              <w:spacing w:after="0"/>
              <w:rPr>
                <w:sz w:val="3"/>
                <w:szCs w:val="3"/>
                <w:color w:val="auto"/>
              </w:rPr>
            </w:pPr>
          </w:p>
        </w:tc>
        <w:tc>
          <w:tcPr>
            <w:tcW w:w="940" w:type="dxa"/>
            <w:vAlign w:val="bottom"/>
            <w:gridSpan w:val="2"/>
            <w:vMerge w:val="continue"/>
            <w:shd w:val="clear" w:color="auto" w:fill="CFF0FC"/>
          </w:tcPr>
          <w:p>
            <w:pPr>
              <w:spacing w:after="0"/>
              <w:rPr>
                <w:sz w:val="3"/>
                <w:szCs w:val="3"/>
                <w:color w:val="auto"/>
              </w:rPr>
            </w:pPr>
          </w:p>
        </w:tc>
        <w:tc>
          <w:tcPr>
            <w:tcW w:w="140" w:type="dxa"/>
            <w:vAlign w:val="bottom"/>
            <w:vMerge w:val="continue"/>
            <w:shd w:val="clear" w:color="auto" w:fill="CFF0FC"/>
          </w:tcPr>
          <w:p>
            <w:pPr>
              <w:spacing w:after="0"/>
              <w:rPr>
                <w:sz w:val="3"/>
                <w:szCs w:val="3"/>
                <w:color w:val="auto"/>
              </w:rPr>
            </w:pPr>
          </w:p>
        </w:tc>
        <w:tc>
          <w:tcPr>
            <w:tcW w:w="740" w:type="dxa"/>
            <w:vAlign w:val="bottom"/>
            <w:vMerge w:val="continue"/>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80" w:type="dxa"/>
            <w:vAlign w:val="bottom"/>
            <w:gridSpan w:val="2"/>
            <w:vMerge w:val="continue"/>
            <w:shd w:val="clear" w:color="auto" w:fill="CFF0FC"/>
          </w:tcPr>
          <w:p>
            <w:pPr>
              <w:spacing w:after="0"/>
              <w:rPr>
                <w:sz w:val="3"/>
                <w:szCs w:val="3"/>
                <w:color w:val="auto"/>
              </w:rPr>
            </w:pPr>
          </w:p>
        </w:tc>
        <w:tc>
          <w:tcPr>
            <w:tcW w:w="820" w:type="dxa"/>
            <w:vAlign w:val="bottom"/>
            <w:gridSpan w:val="2"/>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3" w:lineRule="exact"/>
        <w:rPr>
          <w:sz w:val="20"/>
          <w:szCs w:val="20"/>
          <w:color w:val="auto"/>
        </w:rPr>
      </w:pPr>
    </w:p>
    <w:p>
      <w:pPr>
        <w:ind w:left="660" w:right="8560" w:hanging="652"/>
        <w:spacing w:after="0" w:line="560" w:lineRule="auto"/>
        <w:tabs>
          <w:tab w:leader="none" w:pos="64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right="60" w:firstLine="647"/>
        <w:spacing w:after="0" w:line="239"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ind w:right="260" w:firstLine="647"/>
        <w:spacing w:after="0" w:line="237" w:lineRule="auto"/>
        <w:rPr>
          <w:sz w:val="20"/>
          <w:szCs w:val="20"/>
          <w:color w:val="auto"/>
        </w:rPr>
      </w:pPr>
      <w:r>
        <w:rPr>
          <w:rFonts w:ascii="Arial" w:cs="Arial" w:eastAsia="Arial" w:hAnsi="Arial"/>
          <w:sz w:val="18"/>
          <w:szCs w:val="18"/>
          <w:color w:val="auto"/>
        </w:rPr>
        <w:t>On May 8, 2019, the Company consummated its initial public offering (“IPO”) whereby the Company sold 18,518,500 shares of common stock for $ 27.00 per share. The underwriters exercised their share option on May 14, 2019 to purchase an additional 2,777,775 shares at the share price of $25.515 which was the IPO share price of $27.00 less the underwriting discount of $1.485 per share. The net proceeds of the IPO and the underwriters’ share option were $536.9 million, after deducting underwriting discounts and other fees, and were used to fund an IPO dividend of $52.1 million, repay the outstanding balance of $150.0 million under our Term Loan, and repay outstanding indebtedness under our Revolving Credit Facility.</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Dividend</w:t>
      </w:r>
    </w:p>
    <w:p>
      <w:pPr>
        <w:spacing w:after="0" w:line="234"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On April 15, 2019, the board of directors of the Company declared a common stock dividend in a ratio of two shares of common stock for every one share of common stock presently held by the Company’s stockholder (the “Stock Dividend”). The record date of this common Stock Dividend, which the Company refers to as the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w:t>
      </w:r>
    </w:p>
    <w:p>
      <w:pPr>
        <w:spacing w:after="0" w:line="181"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34" w:lineRule="exact"/>
        <w:rPr>
          <w:sz w:val="20"/>
          <w:szCs w:val="20"/>
          <w:color w:val="auto"/>
        </w:rPr>
      </w:pPr>
    </w:p>
    <w:p>
      <w:pPr>
        <w:ind w:right="100" w:firstLine="647"/>
        <w:spacing w:after="0" w:line="238"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Form S-1/A filed on April 29, 2019.</w:t>
      </w:r>
    </w:p>
    <w:p>
      <w:pPr>
        <w:spacing w:after="0" w:line="203" w:lineRule="exact"/>
        <w:rPr>
          <w:sz w:val="20"/>
          <w:szCs w:val="20"/>
          <w:color w:val="auto"/>
        </w:rPr>
      </w:pPr>
    </w:p>
    <w:p>
      <w:pPr>
        <w:ind w:right="220" w:firstLine="647"/>
        <w:spacing w:after="0"/>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203" w:lineRule="exact"/>
        <w:rPr>
          <w:sz w:val="20"/>
          <w:szCs w:val="20"/>
          <w:color w:val="auto"/>
        </w:rPr>
      </w:pPr>
    </w:p>
    <w:p>
      <w:pPr>
        <w:ind w:right="320" w:firstLine="647"/>
        <w:spacing w:after="0"/>
        <w:rPr>
          <w:sz w:val="20"/>
          <w:szCs w:val="20"/>
          <w:color w:val="auto"/>
        </w:rPr>
      </w:pPr>
      <w:r>
        <w:rPr>
          <w:rFonts w:ascii="Arial" w:cs="Arial" w:eastAsia="Arial" w:hAnsi="Arial"/>
          <w:sz w:val="18"/>
          <w:szCs w:val="18"/>
          <w:color w:val="auto"/>
        </w:rPr>
        <w:t>This Quarterly Report on Form 10-Q includes the accounts of our wholly-owned subsidiaries, and joint ventures of which we are the primary beneficiary. The equity method of accounting is applied for the joint ventures in which the Company does not have a controlling interest, but exerts a significant influence (see “Note 15 – Investments in and Advances to Joint Ventures" for further discussion).</w:t>
      </w:r>
    </w:p>
    <w:p>
      <w:pPr>
        <w:spacing w:after="0" w:line="203" w:lineRule="exact"/>
        <w:rPr>
          <w:sz w:val="20"/>
          <w:szCs w:val="20"/>
          <w:color w:val="auto"/>
        </w:rPr>
      </w:pPr>
    </w:p>
    <w:p>
      <w:pPr>
        <w:ind w:right="160" w:firstLine="647"/>
        <w:spacing w:after="0" w:line="238" w:lineRule="auto"/>
        <w:rPr>
          <w:sz w:val="20"/>
          <w:szCs w:val="20"/>
          <w:color w:val="auto"/>
        </w:rPr>
      </w:pPr>
      <w:r>
        <w:rPr>
          <w:rFonts w:ascii="Arial" w:cs="Arial" w:eastAsia="Arial" w:hAnsi="Arial"/>
          <w:sz w:val="18"/>
          <w:szCs w:val="18"/>
          <w:color w:val="auto"/>
        </w:rPr>
        <w:t>In the first quarter of 2019 the Company adopted Accounting Standards Update (‘ASU”) 2016-02, “Leases” (“Topic 842”), using the modified retrospective method. The new guidance was applied to leases that existed or were entered into on or after January 1, 2019. The Company’s results for the reporting period beginning January 1, 2019 have been presented under Topic 842, while prior period amounts have not been adjusted and continue to be reported in accordance with previous guidance. See “Note 6 – Leases” for further discussion of the adoption and the impact on the Company’s financial statements.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color w:val="auto"/>
        </w:rPr>
        <w:t>Accumulated Deficit</w:t>
      </w:r>
    </w:p>
    <w:p>
      <w:pPr>
        <w:spacing w:after="0" w:line="234" w:lineRule="exact"/>
        <w:rPr>
          <w:sz w:val="20"/>
          <w:szCs w:val="20"/>
          <w:color w:val="auto"/>
        </w:rPr>
      </w:pPr>
    </w:p>
    <w:p>
      <w:pPr>
        <w:ind w:right="40" w:firstLine="647"/>
        <w:spacing w:after="0" w:line="237" w:lineRule="auto"/>
        <w:rPr>
          <w:sz w:val="20"/>
          <w:szCs w:val="20"/>
          <w:color w:val="auto"/>
        </w:rPr>
      </w:pPr>
      <w:r>
        <w:rPr>
          <w:rFonts w:ascii="Arial" w:cs="Arial" w:eastAsia="Arial" w:hAnsi="Arial"/>
          <w:sz w:val="18"/>
          <w:szCs w:val="18"/>
          <w:color w:val="auto"/>
        </w:rPr>
        <w:t xml:space="preserve">The Company's accounting policy is to record dividends and accretion of redeemable stock as a reduction of retained earnings. In the absence of retained earnings, the Company will charge the dividends and/or accretion of redeemable stock to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until depleted and will then charge the remainder to accumulated deficit. As a result of the change in tax status from "S" Corporation to "C" Corporation in the second quarter of 2019, the Company reclassified historical retained earnings for the "S" Corporation from retained earnings to Additional Paid in Capital as of the date of conversion. Subsequent changes in accumulated deficit are related to increases or decreases in the maximum redemption value of redeemable common stock.</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Fiscal Periods</w:t>
      </w:r>
    </w:p>
    <w:p>
      <w:pPr>
        <w:spacing w:after="0" w:line="234" w:lineRule="exact"/>
        <w:rPr>
          <w:sz w:val="20"/>
          <w:szCs w:val="20"/>
          <w:color w:val="auto"/>
        </w:rPr>
      </w:pPr>
    </w:p>
    <w:p>
      <w:pPr>
        <w:ind w:right="60" w:firstLine="647"/>
        <w:spacing w:after="0" w:line="238" w:lineRule="auto"/>
        <w:rPr>
          <w:sz w:val="20"/>
          <w:szCs w:val="20"/>
          <w:color w:val="auto"/>
        </w:rPr>
      </w:pPr>
      <w:r>
        <w:rPr>
          <w:rFonts w:ascii="Arial" w:cs="Arial" w:eastAsia="Arial" w:hAnsi="Arial"/>
          <w:sz w:val="18"/>
          <w:szCs w:val="18"/>
          <w:color w:val="auto"/>
        </w:rPr>
        <w:t>In October 2018, our board of directors approved a change in our annual and quarterly fiscal period ends from the last Friday on or before the calendar year or quarterly month-end to the last day of the calendar year or quarterly month-end. Accordingly, the period end for the first, second, and third quarters of fiscal 2018 and fiscal 2019 are March 30, 2018, June 29, 2018, and September 28, 2018, respectively, and March 31, 2019, June 30, 2019, and September 30, 2019, respectively. The number of days in the three- and nine-month periods ended September 28, 2018 and September 30, 2019 were 91 and 273, respectively, and 92 and 273, respectively.</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valuation of the Company’s fair value of common stock (for periods prior to the IPO); useful lives of property and equipment and intangible assets; calculation of allowance for doubtful accounts; valuation of deferred income tax assets and uncertain tax positions, among others. Please see “Note 2 – Summary of Significant Accounting Policies” of Notes to Consolidated Financial Statements included in the Company’s Form S-1/A filed April 29, 2019,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adjustment to the consolidated statement of income.</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108" w:lineRule="exact"/>
        <w:rPr>
          <w:sz w:val="20"/>
          <w:szCs w:val="20"/>
          <w:color w:val="auto"/>
        </w:rPr>
      </w:pPr>
    </w:p>
    <w:p>
      <w:pPr>
        <w:ind w:firstLine="647"/>
        <w:spacing w:after="0" w:line="242"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in the Company’s consolidated balances sheets is inventory. Inventory consists of uninstalled materials received by the Company awaiting installation at our project sites and raw materials, work-in-process, and finished goods related to the manufacture of advance technology equipment. Uninstalled materials inventory and the inventory related to advance technology equipment is carried on the Company’s consolidated balance sheets at the lower of cost (which approximates average cost) or net realizable value.</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Redeemable Common Stock</w:t>
      </w:r>
    </w:p>
    <w:p>
      <w:pPr>
        <w:spacing w:after="0" w:line="126" w:lineRule="exact"/>
        <w:rPr>
          <w:sz w:val="20"/>
          <w:szCs w:val="20"/>
          <w:color w:val="auto"/>
        </w:rPr>
      </w:pPr>
    </w:p>
    <w:p>
      <w:pPr>
        <w:ind w:right="20" w:firstLine="647"/>
        <w:spacing w:after="0" w:line="236" w:lineRule="auto"/>
        <w:rPr>
          <w:sz w:val="20"/>
          <w:szCs w:val="20"/>
          <w:color w:val="auto"/>
        </w:rPr>
      </w:pPr>
      <w:r>
        <w:rPr>
          <w:rFonts w:ascii="Arial" w:cs="Arial" w:eastAsia="Arial" w:hAnsi="Arial"/>
          <w:sz w:val="18"/>
          <w:szCs w:val="18"/>
          <w:color w:val="auto"/>
        </w:rPr>
        <w:t xml:space="preserve">In connection with the Company’s IPO on May 8, 2019, all Employee Stock Ownership Plan (“ESOP”) shares were contingently redeemable for cash during the 180-day lock-up period which ended on November 3, 2019. During the 180-day lock-up period, the Company presented all shares held by the ESOP as temporary equity on the consolidated balance sheets as </w:t>
      </w:r>
      <w:r>
        <w:rPr>
          <w:rFonts w:ascii="Arial" w:cs="Arial" w:eastAsia="Arial" w:hAnsi="Arial"/>
          <w:sz w:val="18"/>
          <w:szCs w:val="18"/>
          <w:i w:val="1"/>
          <w:iCs w:val="1"/>
          <w:color w:val="auto"/>
        </w:rPr>
        <w:t>Redeemable common stock held by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Stock Ownership Plan (ESOP) </w:t>
      </w:r>
      <w:r>
        <w:rPr>
          <w:rFonts w:ascii="Arial" w:cs="Arial" w:eastAsia="Arial" w:hAnsi="Arial"/>
          <w:sz w:val="18"/>
          <w:szCs w:val="18"/>
          <w:color w:val="auto"/>
        </w:rPr>
        <w:t>at their redemption value. The consolidated balance sheet, to be presented in the Company’s 2019</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at December 31, 2019 will reflect the reclassification of redeemable common stock held by the ESOP from temporary equity to permanent equity as the lock-up period expires in the fourth quarter. At the conclusion of the lock-up period all shares held by the ESOP will be redeemable by participants in shares of the Company’s common stock once vesting and eligibility requirements have been met.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0" w:name="page11"/>
    <w:bookmarkEnd w:id="10"/>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Adopted Accounting Pronouncements</w:t>
      </w:r>
    </w:p>
    <w:p>
      <w:pPr>
        <w:spacing w:after="0" w:line="126" w:lineRule="exact"/>
        <w:rPr>
          <w:sz w:val="20"/>
          <w:szCs w:val="20"/>
          <w:color w:val="auto"/>
        </w:rPr>
      </w:pPr>
    </w:p>
    <w:p>
      <w:pPr>
        <w:ind w:right="460" w:firstLine="647"/>
        <w:spacing w:after="0" w:line="246" w:lineRule="auto"/>
        <w:rPr>
          <w:sz w:val="20"/>
          <w:szCs w:val="20"/>
          <w:color w:val="auto"/>
        </w:rPr>
      </w:pPr>
      <w:r>
        <w:rPr>
          <w:rFonts w:ascii="Arial" w:cs="Arial" w:eastAsia="Arial" w:hAnsi="Arial"/>
          <w:sz w:val="18"/>
          <w:szCs w:val="18"/>
          <w:color w:val="auto"/>
        </w:rPr>
        <w:t>In the first quarter of 2019, the Company adopted Topic 842. See “Note 6 – Leases” for further discussion of the adoption and the impact on the Company’s financial statements.</w:t>
      </w:r>
    </w:p>
    <w:p>
      <w:pPr>
        <w:spacing w:after="0" w:line="89" w:lineRule="exact"/>
        <w:rPr>
          <w:sz w:val="20"/>
          <w:szCs w:val="20"/>
          <w:color w:val="auto"/>
        </w:rPr>
      </w:pPr>
    </w:p>
    <w:p>
      <w:pPr>
        <w:ind w:right="380" w:firstLine="647"/>
        <w:spacing w:after="0" w:line="239" w:lineRule="auto"/>
        <w:rPr>
          <w:sz w:val="20"/>
          <w:szCs w:val="20"/>
          <w:color w:val="auto"/>
        </w:rPr>
      </w:pPr>
      <w:r>
        <w:rPr>
          <w:rFonts w:ascii="Arial" w:cs="Arial" w:eastAsia="Arial" w:hAnsi="Arial"/>
          <w:sz w:val="18"/>
          <w:szCs w:val="18"/>
          <w:color w:val="auto"/>
        </w:rPr>
        <w:t>In the first quarter of 2019, the Company adopted ASU 2018-02, “Reclassification of Certain Tax Effects from Accumulated Other Comprehensive Income” under which the Company did not elect to reclassify the income tax effects stranded in accumulated other comprehensive income to retained earnings as a result of the enactment of comprehensive tax legislation, commonly referred to as the Tax Cuts and Jobs Act. As a result, there was no impact on the Company’s financial position, results of operations or cash flows.</w:t>
      </w:r>
    </w:p>
    <w:p>
      <w:pPr>
        <w:spacing w:after="0" w:line="94" w:lineRule="exact"/>
        <w:rPr>
          <w:sz w:val="20"/>
          <w:szCs w:val="20"/>
          <w:color w:val="auto"/>
        </w:rPr>
      </w:pPr>
    </w:p>
    <w:p>
      <w:pPr>
        <w:ind w:right="160" w:firstLine="647"/>
        <w:spacing w:after="0" w:line="238" w:lineRule="auto"/>
        <w:rPr>
          <w:sz w:val="20"/>
          <w:szCs w:val="20"/>
          <w:color w:val="auto"/>
        </w:rPr>
      </w:pPr>
      <w:r>
        <w:rPr>
          <w:rFonts w:ascii="Arial" w:cs="Arial" w:eastAsia="Arial" w:hAnsi="Arial"/>
          <w:sz w:val="18"/>
          <w:szCs w:val="18"/>
          <w:color w:val="auto"/>
        </w:rPr>
        <w:t>On December 30, 2017, the Company adopted ASC 606, “Revenue from Contracts with Customers,” using the modified retrospective method, which provides for a cumulative effect adjustment to retained earnings beginning in fiscal 2018 for those uncompleted contracts impacted by the adoption of the new standard. The difference between the recognition criteria under ASC 606 and our previous recognition practices under ASC 605-35 was recognized through a cumulative adjustment of $4.7 million that was made to the opening balance of accumulated deficit as of December 30, 2017.</w:t>
      </w:r>
    </w:p>
    <w:p>
      <w:pPr>
        <w:spacing w:after="0" w:line="95" w:lineRule="exact"/>
        <w:rPr>
          <w:sz w:val="20"/>
          <w:szCs w:val="20"/>
          <w:color w:val="auto"/>
        </w:rPr>
      </w:pPr>
    </w:p>
    <w:p>
      <w:pPr>
        <w:ind w:right="300" w:firstLine="647"/>
        <w:spacing w:after="0" w:line="237" w:lineRule="auto"/>
        <w:rPr>
          <w:sz w:val="20"/>
          <w:szCs w:val="20"/>
          <w:color w:val="auto"/>
        </w:rPr>
      </w:pPr>
      <w:r>
        <w:rPr>
          <w:rFonts w:ascii="Arial" w:cs="Arial" w:eastAsia="Arial" w:hAnsi="Arial"/>
          <w:sz w:val="18"/>
          <w:szCs w:val="18"/>
          <w:color w:val="auto"/>
        </w:rPr>
        <w:t>In January 2017, the Financial Accounting Standards Board (“FASB”) issued ASU 2017-04, Simplifying the Test for Goodwill Impairment. ASU 2017-04 simplifies the test for goodwill impairment by removing the second step of the goodwill impairment test, which requires a hypothetical purchase price allocation. A goodwill impairment will now be the amount by which a reporting unit’s carrying value exceeds its fair value, not to exceed the carrying amount of goodwill. The guidance is effective for interim and annual reporting periods beginning after December 15, 2019 and should be applied prospectively with early adoption permitted. The Company early adopted the new standard as of the beginning of fiscal 2018 and its adoption did not have a material impact on the consolidated financial statements.</w:t>
      </w:r>
    </w:p>
    <w:p>
      <w:pPr>
        <w:spacing w:after="0" w:line="291" w:lineRule="exact"/>
        <w:rPr>
          <w:sz w:val="20"/>
          <w:szCs w:val="20"/>
          <w:color w:val="auto"/>
        </w:rPr>
      </w:pPr>
    </w:p>
    <w:p>
      <w:pPr>
        <w:ind w:left="660" w:right="9640" w:hanging="652"/>
        <w:spacing w:after="0" w:line="394" w:lineRule="auto"/>
        <w:tabs>
          <w:tab w:leader="none" w:pos="648"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Polaris Alpha</w:t>
      </w:r>
    </w:p>
    <w:p>
      <w:pPr>
        <w:spacing w:after="0" w:line="1" w:lineRule="exact"/>
        <w:rPr>
          <w:sz w:val="20"/>
          <w:szCs w:val="20"/>
          <w:color w:val="auto"/>
        </w:rPr>
      </w:pPr>
    </w:p>
    <w:p>
      <w:pPr>
        <w:ind w:right="20" w:firstLine="647"/>
        <w:spacing w:after="0" w:line="236" w:lineRule="auto"/>
        <w:rPr>
          <w:sz w:val="20"/>
          <w:szCs w:val="20"/>
          <w:color w:val="auto"/>
        </w:rPr>
      </w:pPr>
      <w:r>
        <w:rPr>
          <w:rFonts w:ascii="Arial" w:cs="Arial" w:eastAsia="Arial" w:hAnsi="Arial"/>
          <w:sz w:val="18"/>
          <w:szCs w:val="18"/>
          <w:color w:val="auto"/>
        </w:rPr>
        <w:t>On May 31, 2018, the Company acquired a 100% ownership interest in Polaris Alpha, a privately owned, advanced technology-focused provider of innovative mission solutions for complex defense, intelligence, and security customers, as well as other U.S. federal government customers, for $489.1 million paid in cash. The Company borrowed $260 million under the credit agreement, as described in “Note 11 – Debt and Credit Facilities,” to partially fund the acquisition. In connection with this acquisition, the Company recognized $ 6.2 million of acquisition-related expenses in “Indirect, general and administrative expense” in the consolidated statements of income for the fiscal year ended December 31, 2018, including legal fees, consulting fees, and other miscellaneous direct expenses associated with the acquisition. Polaris Alpha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360" w:type="dxa"/>
            <w:vAlign w:val="bottom"/>
            <w:tcBorders>
              <w:bottom w:val="single" w:sz="8" w:color="CFF0FC"/>
            </w:tcBorders>
          </w:tcPr>
          <w:p>
            <w:pPr>
              <w:spacing w:after="0"/>
              <w:rPr>
                <w:sz w:val="15"/>
                <w:szCs w:val="15"/>
                <w:color w:val="auto"/>
              </w:rPr>
            </w:pPr>
          </w:p>
        </w:tc>
        <w:tc>
          <w:tcPr>
            <w:tcW w:w="40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Accounts receivable</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29,688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35,229</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Prepaid expenses and other current assets</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9,295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9,024</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Goodwill</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243,471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199,520</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Other noncurrent assets</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(13,942)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Accrued expenses and other current liabilities</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(26,419)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(3,529)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Deferred tax liabilities</w:t>
            </w:r>
          </w:p>
        </w:tc>
        <w:tc>
          <w:tcPr>
            <w:tcW w:w="4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(2,231)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4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40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489,077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80" w:type="dxa"/>
            <w:vAlign w:val="bottom"/>
            <w:vMerge w:val="restart"/>
          </w:tcPr>
          <w:p>
            <w:pPr>
              <w:jc w:val="right"/>
              <w:ind w:right="317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36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Gross</w:t>
            </w:r>
          </w:p>
        </w:tc>
        <w:tc>
          <w:tcPr>
            <w:tcW w:w="154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Carrying</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44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10"/>
        </w:trPr>
        <w:tc>
          <w:tcPr>
            <w:tcW w:w="4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76,000</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2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Trade name</w:t>
            </w: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3,600</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2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bl>
    <w:p>
      <w:pPr>
        <w:spacing w:after="0" w:line="215" w:lineRule="exact"/>
        <w:rPr>
          <w:sz w:val="20"/>
          <w:szCs w:val="20"/>
          <w:color w:val="auto"/>
        </w:rPr>
      </w:pPr>
    </w:p>
    <w:p>
      <w:pPr>
        <w:ind w:right="20" w:firstLine="647"/>
        <w:spacing w:after="0" w:line="259" w:lineRule="auto"/>
        <w:rPr>
          <w:sz w:val="20"/>
          <w:szCs w:val="20"/>
          <w:color w:val="auto"/>
        </w:rPr>
      </w:pPr>
      <w:r>
        <w:rPr>
          <w:rFonts w:ascii="Arial" w:cs="Arial" w:eastAsia="Arial" w:hAnsi="Arial"/>
          <w:sz w:val="17"/>
          <w:szCs w:val="17"/>
          <w:color w:val="auto"/>
        </w:rPr>
        <w:t>Amortization expense of $13.0 million and $13.2 million related to these intangible assets was recorded for the three months ended September 28, 2018 and September 30, 2019, respectively, and $17.3 million and $41.2 million for the nine months ended September 28, 2018 and September 30, 2019, respectively. The entire value of goodwill of $243.5 million was assigned to the Parsons Federal reporting unit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represents synergies expected to be realized from this business combination. Goodwill of $50.1 million is deductible for tax purposes.</w:t>
      </w:r>
    </w:p>
    <w:p>
      <w:pPr>
        <w:spacing w:after="0" w:line="225" w:lineRule="exact"/>
        <w:rPr>
          <w:sz w:val="20"/>
          <w:szCs w:val="20"/>
          <w:color w:val="auto"/>
        </w:rPr>
      </w:pPr>
    </w:p>
    <w:p>
      <w:pPr>
        <w:ind w:right="40" w:firstLine="647"/>
        <w:spacing w:after="0" w:line="239" w:lineRule="auto"/>
        <w:rPr>
          <w:sz w:val="20"/>
          <w:szCs w:val="20"/>
          <w:color w:val="auto"/>
        </w:rPr>
      </w:pPr>
      <w:r>
        <w:rPr>
          <w:rFonts w:ascii="Arial" w:cs="Arial" w:eastAsia="Arial" w:hAnsi="Arial"/>
          <w:sz w:val="18"/>
          <w:szCs w:val="18"/>
          <w:color w:val="auto"/>
        </w:rPr>
        <w:t>The amount of revenue generated by Polaris Alpha and included within consolidated revenues is $94.8 million and $96.9 million for the three months ended September 28, 2018 and September 30, 2019, respectively, and $124.7 million and $293.0 million for the nine months ended September 28, 2018 and September 30, 2019, respectively. The Company has determined that the presentation of net income from the date of acquisition is impracticable due to the integration of general corporate functions upon acquisition.</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Supplemental Pro Forma Information</w:t>
      </w:r>
    </w:p>
    <w:p>
      <w:pPr>
        <w:spacing w:after="0" w:line="126" w:lineRule="exact"/>
        <w:rPr>
          <w:sz w:val="20"/>
          <w:szCs w:val="20"/>
          <w:color w:val="auto"/>
        </w:rPr>
      </w:pPr>
    </w:p>
    <w:p>
      <w:pPr>
        <w:ind w:right="60" w:firstLine="647"/>
        <w:spacing w:after="0" w:line="246" w:lineRule="auto"/>
        <w:rPr>
          <w:sz w:val="20"/>
          <w:szCs w:val="20"/>
          <w:color w:val="auto"/>
        </w:rPr>
      </w:pPr>
      <w:r>
        <w:rPr>
          <w:rFonts w:ascii="Arial" w:cs="Arial" w:eastAsia="Arial" w:hAnsi="Arial"/>
          <w:sz w:val="18"/>
          <w:szCs w:val="18"/>
          <w:color w:val="auto"/>
        </w:rPr>
        <w:t>Supplemental information on an unaudited pro forma operating results assuming the Polaris Alpha acquisition had been consummated as of the beginning of fiscal year 2018 (December 31, 2017) (in thousands) is as follows: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660" w:type="dxa"/>
            <w:vAlign w:val="bottom"/>
            <w:tcBorders>
              <w:bottom w:val="single" w:sz="8" w:color="CFF0FC"/>
            </w:tcBorders>
          </w:tcPr>
          <w:p>
            <w:pPr>
              <w:spacing w:after="0"/>
              <w:rPr>
                <w:sz w:val="17"/>
                <w:szCs w:val="17"/>
                <w:color w:val="auto"/>
              </w:rPr>
            </w:pPr>
          </w:p>
        </w:tc>
        <w:tc>
          <w:tcPr>
            <w:tcW w:w="1300" w:type="dxa"/>
            <w:vAlign w:val="bottom"/>
            <w:tcBorders>
              <w:bottom w:val="single" w:sz="8" w:color="CFF0FC"/>
            </w:tcBorders>
          </w:tcPr>
          <w:p>
            <w:pPr>
              <w:spacing w:after="0"/>
              <w:rPr>
                <w:sz w:val="17"/>
                <w:szCs w:val="17"/>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28, 2018</w:t>
            </w:r>
          </w:p>
        </w:tc>
        <w:tc>
          <w:tcPr>
            <w:tcW w:w="160" w:type="dxa"/>
            <w:vAlign w:val="bottom"/>
            <w:tcBorders>
              <w:bottom w:val="single" w:sz="8" w:color="CFF0FC"/>
            </w:tcBorders>
          </w:tcPr>
          <w:p>
            <w:pPr>
              <w:spacing w:after="0"/>
              <w:rPr>
                <w:sz w:val="17"/>
                <w:szCs w:val="17"/>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28, 2018</w:t>
            </w: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174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976,157</w:t>
            </w:r>
          </w:p>
        </w:tc>
        <w:tc>
          <w:tcPr>
            <w:tcW w:w="54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2,784,864</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174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46,848</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179,071</w:t>
            </w:r>
          </w:p>
        </w:tc>
      </w:tr>
    </w:tbl>
    <w:p>
      <w:pPr>
        <w:spacing w:after="0" w:line="229" w:lineRule="exact"/>
        <w:rPr>
          <w:sz w:val="20"/>
          <w:szCs w:val="20"/>
          <w:color w:val="auto"/>
        </w:rPr>
      </w:pPr>
    </w:p>
    <w:p>
      <w:pPr>
        <w:ind w:firstLine="647"/>
        <w:spacing w:after="0" w:line="237"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OGSystems</w:t>
      </w:r>
    </w:p>
    <w:p>
      <w:pPr>
        <w:spacing w:after="0" w:line="126" w:lineRule="exact"/>
        <w:rPr>
          <w:sz w:val="20"/>
          <w:szCs w:val="20"/>
          <w:color w:val="auto"/>
        </w:rPr>
      </w:pPr>
    </w:p>
    <w:p>
      <w:pPr>
        <w:ind w:right="60" w:firstLine="647"/>
        <w:spacing w:after="0" w:line="236" w:lineRule="auto"/>
        <w:rPr>
          <w:sz w:val="20"/>
          <w:szCs w:val="20"/>
          <w:color w:val="auto"/>
        </w:rPr>
      </w:pPr>
      <w:r>
        <w:rPr>
          <w:rFonts w:ascii="Arial" w:cs="Arial" w:eastAsia="Arial" w:hAnsi="Arial"/>
          <w:sz w:val="18"/>
          <w:szCs w:val="18"/>
          <w:color w:val="auto"/>
        </w:rPr>
        <w:t>On January 7, 2019, the Company acquired a 100% ownership interest in OGSystems, a privately owned company, for $292.4 million paid in cash. OGSystems provides geospatial intelligence, big data analytics and threat mitigation for defense and intelligence customers. The Company borrowed $ 110 million under the credit agreement and $150 million on a short-term loan, as described in “Note 11 – Debt and Credit Facilities,” to partially fund the acquisition. In connection with this acquisition, the Company recognized $0.6 million and $5.5 million of acquisition-related expenses in “Indirect, general and administrative expense” in the consolidated statements of income for the three and nine months ended September 30, 2019, respectively, including legal fees, consulting fees, and other miscellaneous direct expenses associated with the acquisition. OGSystems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2" w:name="page13"/>
    <w:bookmarkEnd w:id="12"/>
    <w:p>
      <w:pPr>
        <w:ind w:right="460" w:firstLine="647"/>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9,904</w:t>
            </w:r>
          </w:p>
        </w:tc>
        <w:tc>
          <w:tcPr>
            <w:tcW w:w="120" w:type="dxa"/>
            <w:vAlign w:val="bottom"/>
          </w:tcPr>
          <w:p>
            <w:pPr>
              <w:spacing w:after="0"/>
              <w:rPr>
                <w:sz w:val="18"/>
                <w:szCs w:val="18"/>
                <w:color w:val="auto"/>
              </w:rPr>
            </w:pP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FF0F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18"/>
                <w:szCs w:val="18"/>
                <w:color w:val="auto"/>
              </w:rPr>
            </w:pP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w:t>
            </w:r>
          </w:p>
        </w:tc>
        <w:tc>
          <w:tcPr>
            <w:tcW w:w="120" w:type="dxa"/>
            <w:vAlign w:val="bottom"/>
            <w:shd w:val="clear" w:color="auto" w:fill="CFF0F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8,826</w:t>
            </w:r>
          </w:p>
        </w:tc>
        <w:tc>
          <w:tcPr>
            <w:tcW w:w="120" w:type="dxa"/>
            <w:vAlign w:val="bottom"/>
          </w:tcPr>
          <w:p>
            <w:pPr>
              <w:spacing w:after="0"/>
              <w:rPr>
                <w:sz w:val="18"/>
                <w:szCs w:val="18"/>
                <w:color w:val="auto"/>
              </w:rPr>
            </w:pP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183,540</w:t>
            </w:r>
          </w:p>
        </w:tc>
        <w:tc>
          <w:tcPr>
            <w:tcW w:w="120" w:type="dxa"/>
            <w:vAlign w:val="bottom"/>
            <w:shd w:val="clear" w:color="auto" w:fill="CFF0F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92,300</w:t>
            </w:r>
          </w:p>
        </w:tc>
        <w:tc>
          <w:tcPr>
            <w:tcW w:w="120" w:type="dxa"/>
            <w:vAlign w:val="bottom"/>
          </w:tcPr>
          <w:p>
            <w:pPr>
              <w:spacing w:after="0"/>
              <w:rPr>
                <w:sz w:val="18"/>
                <w:szCs w:val="18"/>
                <w:color w:val="auto"/>
              </w:rPr>
            </w:pP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(5,450)</w:t>
            </w: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(7,147)</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 operating leases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(805)</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Income tax payable</w:t>
            </w: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(1,469)</w:t>
            </w: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Long-term lease liabilities, operating leases</w:t>
            </w: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(8,021)</w:t>
            </w:r>
          </w:p>
        </w:tc>
      </w:tr>
      <w:tr>
        <w:trPr>
          <w:trHeight w:val="216"/>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(1,015)</w:t>
            </w:r>
          </w:p>
        </w:tc>
      </w:tr>
      <w:tr>
        <w:trPr>
          <w:trHeight w:val="210"/>
        </w:trPr>
        <w:tc>
          <w:tcPr>
            <w:tcW w:w="8440" w:type="dxa"/>
            <w:vAlign w:val="bottom"/>
          </w:tcPr>
          <w:p>
            <w:pPr>
              <w:ind w:left="240"/>
              <w:spacing w:after="0"/>
              <w:rPr>
                <w:sz w:val="20"/>
                <w:szCs w:val="20"/>
                <w:color w:val="auto"/>
              </w:rPr>
            </w:pPr>
            <w:r>
              <w:rPr>
                <w:rFonts w:ascii="Arial" w:cs="Arial" w:eastAsia="Arial" w:hAnsi="Arial"/>
                <w:sz w:val="18"/>
                <w:szCs w:val="18"/>
                <w:color w:val="auto"/>
              </w:rPr>
              <w:t>Net assets acquired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292,380</w:t>
            </w:r>
          </w:p>
        </w:tc>
        <w:tc>
          <w:tcPr>
            <w:tcW w:w="12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Gross</w:t>
            </w:r>
          </w:p>
        </w:tc>
        <w:tc>
          <w:tcPr>
            <w:tcW w:w="1540" w:type="dxa"/>
            <w:vAlign w:val="bottom"/>
          </w:tcPr>
          <w:p>
            <w:pPr>
              <w:spacing w:after="0"/>
              <w:rPr>
                <w:sz w:val="14"/>
                <w:szCs w:val="14"/>
                <w:color w:val="auto"/>
              </w:rPr>
            </w:pPr>
          </w:p>
        </w:tc>
      </w:tr>
      <w:tr>
        <w:trPr>
          <w:trHeight w:val="162"/>
        </w:trPr>
        <w:tc>
          <w:tcPr>
            <w:tcW w:w="4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Carrying</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45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10"/>
        </w:trPr>
        <w:tc>
          <w:tcPr>
            <w:tcW w:w="45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Backlog</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27,700</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Non-compete agreements</w:t>
            </w: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2,400</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2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still in the process of finalizing its valuation of developed technology acquired.</w:t>
      </w:r>
    </w:p>
    <w:p>
      <w:pPr>
        <w:spacing w:after="0" w:line="212" w:lineRule="exact"/>
        <w:rPr>
          <w:sz w:val="20"/>
          <w:szCs w:val="20"/>
          <w:color w:val="auto"/>
        </w:rPr>
      </w:pPr>
    </w:p>
    <w:p>
      <w:pPr>
        <w:ind w:firstLine="647"/>
        <w:spacing w:after="0"/>
        <w:rPr>
          <w:sz w:val="20"/>
          <w:szCs w:val="20"/>
          <w:color w:val="auto"/>
        </w:rPr>
      </w:pPr>
      <w:r>
        <w:rPr>
          <w:rFonts w:ascii="Arial" w:cs="Arial" w:eastAsia="Arial" w:hAnsi="Arial"/>
          <w:sz w:val="18"/>
          <w:szCs w:val="18"/>
          <w:color w:val="auto"/>
        </w:rPr>
        <w:t>Amortization expense of $5.9 million and $17.8 million related to these intangible assets was recorded for the three and nine months ended September 30, 2019, respectively. The entire value of goodwill of $183.5 million was assigned to the Parsons Federal reporting unit and represents synergies expected to be realized from this business combination. Goodwill of $16.0 million is deductible for tax purposes.</w:t>
      </w:r>
    </w:p>
    <w:p>
      <w:pPr>
        <w:spacing w:after="0" w:line="95" w:lineRule="exact"/>
        <w:rPr>
          <w:sz w:val="20"/>
          <w:szCs w:val="20"/>
          <w:color w:val="auto"/>
        </w:rPr>
      </w:pPr>
    </w:p>
    <w:p>
      <w:pPr>
        <w:ind w:right="120" w:firstLine="647"/>
        <w:spacing w:after="0" w:line="265" w:lineRule="auto"/>
        <w:rPr>
          <w:sz w:val="20"/>
          <w:szCs w:val="20"/>
          <w:color w:val="auto"/>
        </w:rPr>
      </w:pPr>
      <w:r>
        <w:rPr>
          <w:rFonts w:ascii="Arial" w:cs="Arial" w:eastAsia="Arial" w:hAnsi="Arial"/>
          <w:sz w:val="17"/>
          <w:szCs w:val="17"/>
          <w:color w:val="auto"/>
        </w:rPr>
        <w:t>The amount of revenue generated by OGSystems since the acquisition and included within consolidated revenues for the three and nine months ended September 30, 2019 is $33.7 million and $108.7 million, respectively. The Company has determined that the presentation</w:t>
      </w:r>
    </w:p>
    <w:p>
      <w:pPr>
        <w:spacing w:after="0"/>
        <w:rPr>
          <w:sz w:val="20"/>
          <w:szCs w:val="20"/>
          <w:color w:val="auto"/>
        </w:rPr>
      </w:pPr>
      <w:r>
        <w:rPr>
          <w:rFonts w:ascii="Arial" w:cs="Arial" w:eastAsia="Arial" w:hAnsi="Arial"/>
          <w:sz w:val="18"/>
          <w:szCs w:val="18"/>
          <w:color w:val="auto"/>
        </w:rPr>
        <w:t>of net income from the date of acquisition is impracticable due to the integration of general corporate functions upon acquisition.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b w:val="1"/>
          <w:bCs w:val="1"/>
          <w:color w:val="auto"/>
        </w:rPr>
        <w:t>Supplemental Pro Forma Information</w:t>
      </w:r>
    </w:p>
    <w:p>
      <w:pPr>
        <w:spacing w:after="0" w:line="126" w:lineRule="exact"/>
        <w:rPr>
          <w:sz w:val="20"/>
          <w:szCs w:val="20"/>
          <w:color w:val="auto"/>
        </w:rPr>
      </w:pPr>
    </w:p>
    <w:p>
      <w:pPr>
        <w:ind w:right="180" w:firstLine="647"/>
        <w:spacing w:after="0" w:line="246" w:lineRule="auto"/>
        <w:rPr>
          <w:sz w:val="20"/>
          <w:szCs w:val="20"/>
          <w:color w:val="auto"/>
        </w:rPr>
      </w:pPr>
      <w:r>
        <w:rPr>
          <w:rFonts w:ascii="Arial" w:cs="Arial" w:eastAsia="Arial" w:hAnsi="Arial"/>
          <w:sz w:val="18"/>
          <w:szCs w:val="18"/>
          <w:color w:val="auto"/>
        </w:rPr>
        <w:t>Supplemental information on an unaudited pro forma operating results assuming the OGSystems acquisition had been consummated as of the beginning of fiscal year 2018 (December 31, 2017) (in thousands)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5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gridSpan w:val="2"/>
          </w:tcPr>
          <w:p>
            <w:pPr>
              <w:jc w:val="right"/>
              <w:ind w:right="139"/>
              <w:spacing w:after="0" w:line="156" w:lineRule="exact"/>
              <w:rPr>
                <w:sz w:val="20"/>
                <w:szCs w:val="20"/>
                <w:color w:val="auto"/>
              </w:rPr>
            </w:pPr>
            <w:r>
              <w:rPr>
                <w:rFonts w:ascii="Arial" w:cs="Arial" w:eastAsia="Arial" w:hAnsi="Arial"/>
                <w:sz w:val="14"/>
                <w:szCs w:val="14"/>
                <w:b w:val="1"/>
                <w:bCs w:val="1"/>
                <w:color w:val="auto"/>
              </w:rPr>
              <w:t>September 28,</w:t>
            </w:r>
          </w:p>
        </w:tc>
        <w:tc>
          <w:tcPr>
            <w:tcW w:w="120" w:type="dxa"/>
            <w:vAlign w:val="bottom"/>
          </w:tcPr>
          <w:p>
            <w:pPr>
              <w:spacing w:after="0"/>
              <w:rPr>
                <w:sz w:val="13"/>
                <w:szCs w:val="13"/>
                <w:color w:val="auto"/>
              </w:rPr>
            </w:pPr>
          </w:p>
        </w:tc>
        <w:tc>
          <w:tcPr>
            <w:tcW w:w="1300" w:type="dxa"/>
            <w:vAlign w:val="bottom"/>
            <w:gridSpan w:val="2"/>
          </w:tcPr>
          <w:p>
            <w:pPr>
              <w:jc w:val="right"/>
              <w:ind w:right="136"/>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161"/>
              <w:spacing w:after="0" w:line="156" w:lineRule="exact"/>
              <w:rPr>
                <w:sz w:val="20"/>
                <w:szCs w:val="20"/>
                <w:color w:val="auto"/>
              </w:rPr>
            </w:pPr>
            <w:r>
              <w:rPr>
                <w:rFonts w:ascii="Arial" w:cs="Arial" w:eastAsia="Arial" w:hAnsi="Arial"/>
                <w:sz w:val="14"/>
                <w:szCs w:val="14"/>
                <w:b w:val="1"/>
                <w:bCs w:val="1"/>
                <w:color w:val="auto"/>
              </w:rPr>
              <w:t>September 28,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179"/>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06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9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1,007,793</w:t>
            </w:r>
          </w:p>
        </w:tc>
        <w:tc>
          <w:tcPr>
            <w:tcW w:w="3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1,023,277</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2,715,572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2,919,379</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39,224</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61,293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1"/>
              <w:spacing w:after="0"/>
              <w:rPr>
                <w:sz w:val="20"/>
                <w:szCs w:val="20"/>
                <w:color w:val="auto"/>
              </w:rPr>
            </w:pPr>
            <w:r>
              <w:rPr>
                <w:rFonts w:ascii="Arial" w:cs="Arial" w:eastAsia="Arial" w:hAnsi="Arial"/>
                <w:sz w:val="18"/>
                <w:szCs w:val="18"/>
                <w:color w:val="auto"/>
              </w:rPr>
              <w:t>196,905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
              <w:spacing w:after="0"/>
              <w:rPr>
                <w:sz w:val="20"/>
                <w:szCs w:val="20"/>
                <w:color w:val="auto"/>
              </w:rPr>
            </w:pPr>
            <w:r>
              <w:rPr>
                <w:rFonts w:ascii="Arial" w:cs="Arial" w:eastAsia="Arial" w:hAnsi="Arial"/>
                <w:sz w:val="18"/>
                <w:szCs w:val="18"/>
                <w:color w:val="auto"/>
              </w:rPr>
              <w:t>118,896</w:t>
            </w:r>
          </w:p>
        </w:tc>
      </w:tr>
    </w:tbl>
    <w:p>
      <w:pPr>
        <w:spacing w:after="0" w:line="202" w:lineRule="exact"/>
        <w:rPr>
          <w:sz w:val="20"/>
          <w:szCs w:val="20"/>
          <w:color w:val="auto"/>
        </w:rPr>
      </w:pPr>
    </w:p>
    <w:p>
      <w:pPr>
        <w:ind w:right="20" w:firstLine="647"/>
        <w:spacing w:after="0" w:line="237"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QRC Technologies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31, 2019 the Company acquired a 100% ownership interest in QRC Technologies (“QRC”), a privately owned company, for</w:t>
      </w:r>
    </w:p>
    <w:p>
      <w:pPr>
        <w:spacing w:after="0" w:line="234" w:lineRule="auto"/>
        <w:rPr>
          <w:sz w:val="20"/>
          <w:szCs w:val="20"/>
          <w:color w:val="auto"/>
        </w:rPr>
      </w:pPr>
      <w:r>
        <w:rPr>
          <w:rFonts w:ascii="Arial" w:cs="Arial" w:eastAsia="Arial" w:hAnsi="Arial"/>
          <w:sz w:val="18"/>
          <w:szCs w:val="18"/>
          <w:color w:val="auto"/>
        </w:rPr>
        <w:t>$214.1 million in cash. QRC provides design and development of open-architecture radio-frequency products. The company borrowed $140.0</w:t>
      </w:r>
    </w:p>
    <w:p>
      <w:pPr>
        <w:spacing w:after="0" w:line="235" w:lineRule="auto"/>
        <w:rPr>
          <w:sz w:val="20"/>
          <w:szCs w:val="20"/>
          <w:color w:val="auto"/>
        </w:rPr>
      </w:pPr>
      <w:r>
        <w:rPr>
          <w:rFonts w:ascii="Arial" w:cs="Arial" w:eastAsia="Arial" w:hAnsi="Arial"/>
          <w:sz w:val="18"/>
          <w:szCs w:val="18"/>
          <w:color w:val="auto"/>
        </w:rPr>
        <w:t>million under the Revolving Credit Facility to partially fund the transaction. In connection with this acquisition, the Company recognized $4.7</w:t>
      </w:r>
    </w:p>
    <w:p>
      <w:pPr>
        <w:spacing w:after="0" w:line="235" w:lineRule="auto"/>
        <w:rPr>
          <w:sz w:val="20"/>
          <w:szCs w:val="20"/>
          <w:color w:val="auto"/>
        </w:rPr>
      </w:pPr>
      <w:r>
        <w:rPr>
          <w:rFonts w:ascii="Arial" w:cs="Arial" w:eastAsia="Arial" w:hAnsi="Arial"/>
          <w:sz w:val="18"/>
          <w:szCs w:val="18"/>
          <w:color w:val="auto"/>
        </w:rPr>
        <w:t>million of acquisition-related expenses in “Indirect, general and administrative expense” in the consolidated statements of income for the three</w:t>
      </w:r>
    </w:p>
    <w:p>
      <w:pPr>
        <w:spacing w:after="0" w:line="235" w:lineRule="auto"/>
        <w:rPr>
          <w:sz w:val="20"/>
          <w:szCs w:val="20"/>
          <w:color w:val="auto"/>
        </w:rPr>
      </w:pPr>
      <w:r>
        <w:rPr>
          <w:rFonts w:ascii="Arial" w:cs="Arial" w:eastAsia="Arial" w:hAnsi="Arial"/>
          <w:sz w:val="18"/>
          <w:szCs w:val="18"/>
          <w:color w:val="auto"/>
        </w:rPr>
        <w:t>and nine months ended September 30, 2019 including legal fees, consulting fees, and other miscellaneous direct expenses associated with the</w:t>
      </w:r>
    </w:p>
    <w:p>
      <w:pPr>
        <w:spacing w:after="0" w:line="235" w:lineRule="auto"/>
        <w:rPr>
          <w:sz w:val="20"/>
          <w:szCs w:val="20"/>
          <w:color w:val="auto"/>
        </w:rPr>
      </w:pPr>
      <w:r>
        <w:rPr>
          <w:rFonts w:ascii="Arial" w:cs="Arial" w:eastAsia="Arial" w:hAnsi="Arial"/>
          <w:sz w:val="18"/>
          <w:szCs w:val="18"/>
          <w:color w:val="auto"/>
        </w:rPr>
        <w:t>acquisition. QRC is an agile, disruptive product company that specializes in radio frequency spectrum survey, record and playback; signals</w:t>
      </w:r>
    </w:p>
    <w:p>
      <w:pPr>
        <w:spacing w:after="0" w:line="235" w:lineRule="auto"/>
        <w:rPr>
          <w:sz w:val="20"/>
          <w:szCs w:val="20"/>
          <w:color w:val="auto"/>
        </w:rPr>
      </w:pPr>
      <w:r>
        <w:rPr>
          <w:rFonts w:ascii="Arial" w:cs="Arial" w:eastAsia="Arial" w:hAnsi="Arial"/>
          <w:sz w:val="18"/>
          <w:szCs w:val="18"/>
          <w:color w:val="auto"/>
        </w:rPr>
        <w:t>intelligence; and electronic warfare missions. QRC complements our existing portfolio, increases our presence in the high-growth markets of</w:t>
      </w:r>
    </w:p>
    <w:p>
      <w:pPr>
        <w:spacing w:after="0" w:line="235" w:lineRule="auto"/>
        <w:rPr>
          <w:sz w:val="20"/>
          <w:szCs w:val="20"/>
          <w:color w:val="auto"/>
        </w:rPr>
      </w:pPr>
      <w:r>
        <w:rPr>
          <w:rFonts w:ascii="Arial" w:cs="Arial" w:eastAsia="Arial" w:hAnsi="Arial"/>
          <w:sz w:val="18"/>
          <w:szCs w:val="18"/>
          <w:color w:val="auto"/>
        </w:rPr>
        <w:t>spectrum awareness and surveillance, adds critical intellectual property that complements and expands our available capabilities for the</w:t>
      </w:r>
    </w:p>
    <w:p>
      <w:pPr>
        <w:spacing w:after="0"/>
        <w:rPr>
          <w:sz w:val="20"/>
          <w:szCs w:val="20"/>
          <w:color w:val="auto"/>
        </w:rPr>
      </w:pPr>
      <w:r>
        <w:rPr>
          <w:rFonts w:ascii="Arial" w:cs="Arial" w:eastAsia="Arial" w:hAnsi="Arial"/>
          <w:sz w:val="18"/>
          <w:szCs w:val="18"/>
          <w:color w:val="auto"/>
        </w:rPr>
        <w:t>Special Operations and Intelligence Communities.</w:t>
      </w:r>
    </w:p>
    <w:p>
      <w:pPr>
        <w:spacing w:after="0" w:line="212" w:lineRule="exact"/>
        <w:rPr>
          <w:sz w:val="20"/>
          <w:szCs w:val="20"/>
          <w:color w:val="auto"/>
        </w:rPr>
      </w:pPr>
    </w:p>
    <w:p>
      <w:pPr>
        <w:ind w:right="560" w:firstLine="647"/>
        <w:spacing w:after="0" w:line="246"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Borders>
              <w:bottom w:val="single" w:sz="8" w:color="CFF0FC"/>
            </w:tcBorders>
          </w:tcPr>
          <w:p>
            <w:pPr>
              <w:spacing w:after="0"/>
              <w:rPr>
                <w:sz w:val="15"/>
                <w:szCs w:val="15"/>
                <w:color w:val="auto"/>
              </w:rPr>
            </w:pPr>
          </w:p>
        </w:tc>
        <w:tc>
          <w:tcPr>
            <w:tcW w:w="468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5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Accounts receivable</w:t>
            </w: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4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 operating leases</w:t>
            </w:r>
          </w:p>
        </w:tc>
        <w:tc>
          <w:tcPr>
            <w:tcW w:w="4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Goodwill</w:t>
            </w: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128,387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4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72,900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Accounts payable</w:t>
            </w: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4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4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46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5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214,133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680" w:type="dxa"/>
            <w:vAlign w:val="bottom"/>
            <w:vMerge w:val="restart"/>
          </w:tcPr>
          <w:p>
            <w:pPr>
              <w:jc w:val="right"/>
              <w:ind w:right="3390"/>
              <w:spacing w:after="0"/>
              <w:rPr>
                <w:sz w:val="20"/>
                <w:szCs w:val="20"/>
                <w:color w:val="auto"/>
              </w:rPr>
            </w:pPr>
            <w:r>
              <w:rPr>
                <w:rFonts w:ascii="Arial" w:cs="Arial" w:eastAsia="Arial" w:hAnsi="Arial"/>
                <w:sz w:val="18"/>
                <w:szCs w:val="18"/>
                <w:color w:val="auto"/>
              </w:rPr>
              <w:t>12</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20" w:type="dxa"/>
            <w:vAlign w:val="bottom"/>
            <w:tcBorders>
              <w:bottom w:val="single" w:sz="8" w:color="9A9A9A"/>
            </w:tcBorders>
          </w:tcPr>
          <w:p>
            <w:pPr>
              <w:spacing w:after="0"/>
              <w:rPr>
                <w:sz w:val="8"/>
                <w:szCs w:val="8"/>
                <w:color w:val="auto"/>
              </w:rPr>
            </w:pPr>
          </w:p>
        </w:tc>
        <w:tc>
          <w:tcPr>
            <w:tcW w:w="46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Gross</w:t>
            </w:r>
          </w:p>
        </w:tc>
        <w:tc>
          <w:tcPr>
            <w:tcW w:w="1760" w:type="dxa"/>
            <w:vAlign w:val="bottom"/>
          </w:tcPr>
          <w:p>
            <w:pPr>
              <w:spacing w:after="0"/>
              <w:rPr>
                <w:sz w:val="14"/>
                <w:szCs w:val="14"/>
                <w:color w:val="auto"/>
              </w:rPr>
            </w:pPr>
          </w:p>
        </w:tc>
      </w:tr>
      <w:tr>
        <w:trPr>
          <w:trHeight w:val="162"/>
        </w:trPr>
        <w:tc>
          <w:tcPr>
            <w:tcW w:w="7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Carrying</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7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Amount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10"/>
        </w:trPr>
        <w:tc>
          <w:tcPr>
            <w:tcW w:w="77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(in years)</w:t>
            </w:r>
          </w:p>
        </w:tc>
      </w:tr>
      <w:tr>
        <w:trPr>
          <w:trHeight w:val="21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47,600</w:t>
            </w: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22,600</w:t>
            </w: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212" w:lineRule="exact"/>
        <w:rPr>
          <w:sz w:val="20"/>
          <w:szCs w:val="20"/>
          <w:color w:val="auto"/>
        </w:rPr>
      </w:pPr>
    </w:p>
    <w:p>
      <w:pPr>
        <w:ind w:right="180" w:firstLine="647"/>
        <w:spacing w:after="0"/>
        <w:rPr>
          <w:sz w:val="20"/>
          <w:szCs w:val="20"/>
          <w:color w:val="auto"/>
        </w:rPr>
      </w:pPr>
      <w:r>
        <w:rPr>
          <w:rFonts w:ascii="Arial" w:cs="Arial" w:eastAsia="Arial" w:hAnsi="Arial"/>
          <w:sz w:val="18"/>
          <w:szCs w:val="18"/>
          <w:color w:val="auto"/>
        </w:rPr>
        <w:t>Amortization expense of $1.9 million related to these intangible assets was recorded for the three and nine months ended September 30, 2019, respectively. The entire value of goodwill of $128.4 million was assigned to the Parsons Federal reporting unit and represents synergies expected to be realized from this business combination. Goodwill in it’s entirety is deductible for tax purposes.</w:t>
      </w:r>
    </w:p>
    <w:p>
      <w:pPr>
        <w:spacing w:after="0" w:line="203" w:lineRule="exact"/>
        <w:rPr>
          <w:sz w:val="20"/>
          <w:szCs w:val="20"/>
          <w:color w:val="auto"/>
        </w:rPr>
      </w:pPr>
    </w:p>
    <w:p>
      <w:pPr>
        <w:ind w:right="80" w:firstLine="647"/>
        <w:spacing w:after="0"/>
        <w:rPr>
          <w:sz w:val="20"/>
          <w:szCs w:val="20"/>
          <w:color w:val="auto"/>
        </w:rPr>
      </w:pPr>
      <w:r>
        <w:rPr>
          <w:rFonts w:ascii="Arial" w:cs="Arial" w:eastAsia="Arial" w:hAnsi="Arial"/>
          <w:sz w:val="18"/>
          <w:szCs w:val="18"/>
          <w:color w:val="auto"/>
        </w:rPr>
        <w:t>The amount of revenue generated by QRC since the acquisition and included within consolidated revenues for both the three and nine months ended September 30, 2019 is $5.6 million. The Company has determined that the presentation of net income from the date of acquisition is impracticable due to the integration of general corporate functions upon acquisition.</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Supplemental Pro Forma Information</w:t>
      </w:r>
    </w:p>
    <w:p>
      <w:pPr>
        <w:spacing w:after="0" w:line="126" w:lineRule="exact"/>
        <w:rPr>
          <w:sz w:val="20"/>
          <w:szCs w:val="20"/>
          <w:color w:val="auto"/>
        </w:rPr>
      </w:pPr>
    </w:p>
    <w:p>
      <w:pPr>
        <w:ind w:right="800" w:firstLine="647"/>
        <w:spacing w:after="0" w:line="246" w:lineRule="auto"/>
        <w:rPr>
          <w:sz w:val="20"/>
          <w:szCs w:val="20"/>
          <w:color w:val="auto"/>
        </w:rPr>
      </w:pPr>
      <w:r>
        <w:rPr>
          <w:rFonts w:ascii="Arial" w:cs="Arial" w:eastAsia="Arial" w:hAnsi="Arial"/>
          <w:sz w:val="18"/>
          <w:szCs w:val="18"/>
          <w:color w:val="auto"/>
        </w:rPr>
        <w:t>Supplemental information on an unaudited pro forma operating results assuming the QRC Technologies acquisition had been consummated as of the beginning of fiscal year 2018 (December 31, 2017) (in thousands)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gridSpan w:val="2"/>
          </w:tcPr>
          <w:p>
            <w:pPr>
              <w:jc w:val="right"/>
              <w:ind w:right="19"/>
              <w:spacing w:after="0" w:line="156" w:lineRule="exact"/>
              <w:rPr>
                <w:sz w:val="20"/>
                <w:szCs w:val="20"/>
                <w:color w:val="auto"/>
              </w:rPr>
            </w:pPr>
            <w:r>
              <w:rPr>
                <w:rFonts w:ascii="Arial" w:cs="Arial" w:eastAsia="Arial" w:hAnsi="Arial"/>
                <w:sz w:val="14"/>
                <w:szCs w:val="14"/>
                <w:b w:val="1"/>
                <w:bCs w:val="1"/>
                <w:color w:val="auto"/>
              </w:rPr>
              <w:t>September 28,</w:t>
            </w:r>
          </w:p>
        </w:tc>
        <w:tc>
          <w:tcPr>
            <w:tcW w:w="240" w:type="dxa"/>
            <w:vAlign w:val="bottom"/>
          </w:tcPr>
          <w:p>
            <w:pPr>
              <w:spacing w:after="0"/>
              <w:rPr>
                <w:sz w:val="13"/>
                <w:szCs w:val="13"/>
                <w:color w:val="auto"/>
              </w:rPr>
            </w:pPr>
          </w:p>
        </w:tc>
        <w:tc>
          <w:tcPr>
            <w:tcW w:w="1180" w:type="dxa"/>
            <w:vAlign w:val="bottom"/>
            <w:gridSpan w:val="2"/>
          </w:tcPr>
          <w:p>
            <w:pPr>
              <w:jc w:val="right"/>
              <w:ind w:right="16"/>
              <w:spacing w:after="0" w:line="156"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61"/>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06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Pro forma revenue</w:t>
            </w:r>
          </w:p>
        </w:tc>
        <w:tc>
          <w:tcPr>
            <w:tcW w:w="9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987,343</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1,026,831</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2,657,105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2,938,973</w:t>
            </w:r>
          </w:p>
        </w:tc>
        <w:tc>
          <w:tcPr>
            <w:tcW w:w="120" w:type="dxa"/>
            <w:vAlign w:val="bottom"/>
            <w:shd w:val="clear" w:color="auto" w:fill="CFF0FC"/>
          </w:tcPr>
          <w:p>
            <w:pPr>
              <w:spacing w:after="0"/>
              <w:rPr>
                <w:sz w:val="18"/>
                <w:szCs w:val="18"/>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9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44,944</w:t>
            </w:r>
          </w:p>
        </w:tc>
        <w:tc>
          <w:tcPr>
            <w:tcW w:w="4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65,782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212,728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117,399</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8440" w:hanging="652"/>
        <w:spacing w:after="0" w:line="394" w:lineRule="auto"/>
        <w:tabs>
          <w:tab w:leader="none" w:pos="64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Contracts with Customers </w:t>
      </w:r>
      <w:r>
        <w:rPr>
          <w:rFonts w:ascii="Arial" w:cs="Arial" w:eastAsia="Arial" w:hAnsi="Arial"/>
          <w:sz w:val="17"/>
          <w:szCs w:val="17"/>
          <w:b w:val="1"/>
          <w:bCs w:val="1"/>
          <w:i w:val="1"/>
          <w:iCs w:val="1"/>
          <w:color w:val="auto"/>
        </w:rPr>
        <w:t>Disaggregation of Revenue</w:t>
      </w:r>
    </w:p>
    <w:p>
      <w:pPr>
        <w:spacing w:after="0" w:line="1" w:lineRule="exact"/>
        <w:rPr>
          <w:sz w:val="20"/>
          <w:szCs w:val="20"/>
          <w:color w:val="auto"/>
        </w:rPr>
      </w:pPr>
    </w:p>
    <w:p>
      <w:pPr>
        <w:ind w:right="20" w:firstLine="647"/>
        <w:spacing w:after="0" w:line="246" w:lineRule="auto"/>
        <w:rPr>
          <w:sz w:val="20"/>
          <w:szCs w:val="20"/>
          <w:color w:val="auto"/>
        </w:rPr>
      </w:pPr>
      <w:r>
        <w:rPr>
          <w:rFonts w:ascii="Arial" w:cs="Arial" w:eastAsia="Arial" w:hAnsi="Arial"/>
          <w:sz w:val="18"/>
          <w:szCs w:val="18"/>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3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58"/>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120" w:type="dxa"/>
            <w:vAlign w:val="bottom"/>
          </w:tcPr>
          <w:p>
            <w:pPr>
              <w:spacing w:after="0"/>
              <w:rPr>
                <w:sz w:val="13"/>
                <w:szCs w:val="13"/>
                <w:color w:val="auto"/>
              </w:rPr>
            </w:pPr>
          </w:p>
        </w:tc>
        <w:tc>
          <w:tcPr>
            <w:tcW w:w="12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3020" w:type="dxa"/>
            <w:vAlign w:val="bottom"/>
            <w:tcBorders>
              <w:bottom w:val="single" w:sz="8" w:color="CFF0FC"/>
            </w:tcBorders>
          </w:tcPr>
          <w:p>
            <w:pPr>
              <w:spacing w:after="0"/>
              <w:rPr>
                <w:sz w:val="15"/>
                <w:szCs w:val="15"/>
                <w:color w:val="auto"/>
              </w:rPr>
            </w:pPr>
          </w:p>
        </w:tc>
        <w:tc>
          <w:tcPr>
            <w:tcW w:w="14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1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300,225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288,316</w:t>
            </w: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833,224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850,658</w:t>
            </w:r>
          </w:p>
        </w:tc>
        <w:tc>
          <w:tcPr>
            <w:tcW w:w="100" w:type="dxa"/>
            <w:vAlign w:val="bottom"/>
            <w:shd w:val="clear" w:color="auto" w:fill="CFF0FC"/>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Time-and-Materials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254,435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285,586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732,555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810,656</w:t>
            </w:r>
          </w:p>
        </w:tc>
        <w:tc>
          <w:tcPr>
            <w:tcW w:w="100" w:type="dxa"/>
            <w:vAlign w:val="bottom"/>
          </w:tcPr>
          <w:p>
            <w:pPr>
              <w:spacing w:after="0"/>
              <w:rPr>
                <w:sz w:val="18"/>
                <w:szCs w:val="18"/>
                <w:color w:val="auto"/>
              </w:rPr>
            </w:pPr>
          </w:p>
        </w:tc>
      </w:tr>
      <w:tr>
        <w:trPr>
          <w:trHeight w:val="216"/>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4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421,497</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449,375</w:t>
            </w: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1,065,789</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1,256,110</w:t>
            </w:r>
          </w:p>
        </w:tc>
        <w:tc>
          <w:tcPr>
            <w:tcW w:w="100" w:type="dxa"/>
            <w:vAlign w:val="bottom"/>
            <w:shd w:val="clear" w:color="auto" w:fill="CFF0FC"/>
          </w:tcPr>
          <w:p>
            <w:pPr>
              <w:spacing w:after="0"/>
              <w:rPr>
                <w:sz w:val="18"/>
                <w:szCs w:val="18"/>
                <w:color w:val="auto"/>
              </w:rPr>
            </w:pPr>
          </w:p>
        </w:tc>
      </w:tr>
      <w:tr>
        <w:trPr>
          <w:trHeight w:val="210"/>
        </w:trPr>
        <w:tc>
          <w:tcPr>
            <w:tcW w:w="3020" w:type="dxa"/>
            <w:vAlign w:val="bottom"/>
          </w:tcPr>
          <w:p>
            <w:pPr>
              <w:ind w:left="24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976,157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1,023,277</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2,631,568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2,917,424</w:t>
            </w:r>
          </w:p>
        </w:tc>
        <w:tc>
          <w:tcPr>
            <w:tcW w:w="100" w:type="dxa"/>
            <w:vAlign w:val="bottom"/>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19 – Segments Information” for the Company’s revenues by business lines.</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assets and contract liabilities balances at December 31, 2018 and September 30, 2019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Borders>
              <w:bottom w:val="single" w:sz="8" w:color="CFF0FC"/>
            </w:tcBorders>
          </w:tcPr>
          <w:p>
            <w:pPr>
              <w:spacing w:after="0"/>
              <w:rPr>
                <w:sz w:val="15"/>
                <w:szCs w:val="15"/>
                <w:color w:val="auto"/>
              </w:rPr>
            </w:pPr>
          </w:p>
        </w:tc>
        <w:tc>
          <w:tcPr>
            <w:tcW w:w="118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5"/>
                <w:szCs w:val="15"/>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5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515,319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583,670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68,351</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Contract liabilities</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208,576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231,032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22,456</w:t>
            </w:r>
          </w:p>
        </w:tc>
        <w:tc>
          <w:tcPr>
            <w:tcW w:w="2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r>
      <w:tr>
        <w:trPr>
          <w:trHeight w:val="20"/>
        </w:trPr>
        <w:tc>
          <w:tcPr>
            <w:tcW w:w="384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15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306,743</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352,638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45,895</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w:t>
            </w: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640" w:right="80" w:hanging="632"/>
        <w:spacing w:after="0" w:line="24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$89.6 million as of December 31, 2018. Total contract retentions included in net contract assets (liabilities) were $87.1 million as of September 30, 2019, of which $39.7 million are not expected to be paid in the next 12 months. Contract assets at December 31, 2018 and September 30, 2019 include $47.1 million and $58.9 million, respectively, related to unapproved change orders, claims, and requests for equitable adjustment. For the three and nine months ended September 28, 2018 and September 30, 2019, there were no material losses recognized related to the collectability of claims, unapproved change orders, and requests for equitable adjustment.</w:t>
      </w:r>
    </w:p>
    <w:p>
      <w:pPr>
        <w:spacing w:after="0" w:line="197" w:lineRule="exact"/>
        <w:rPr>
          <w:sz w:val="20"/>
          <w:szCs w:val="20"/>
          <w:color w:val="auto"/>
        </w:rPr>
      </w:pPr>
    </w:p>
    <w:p>
      <w:pPr>
        <w:ind w:right="60" w:firstLine="647"/>
        <w:spacing w:after="0" w:line="249" w:lineRule="auto"/>
        <w:rPr>
          <w:sz w:val="20"/>
          <w:szCs w:val="20"/>
          <w:color w:val="auto"/>
        </w:rPr>
      </w:pPr>
      <w:r>
        <w:rPr>
          <w:rFonts w:ascii="Arial" w:cs="Arial" w:eastAsia="Arial" w:hAnsi="Arial"/>
          <w:sz w:val="18"/>
          <w:szCs w:val="18"/>
          <w:color w:val="auto"/>
        </w:rPr>
        <w:t>During the three months ended September 28, 2018 and September 30, 2019, the Company recognized revenue of $0.8 million and $ 2.1 million, respectively, and $100.4 million and $115.1 million during the nine months ended September 28, 2018 and September 30, 2019, respectively, that was included in the corresponding contract liability balance at December 30, 2017 and December 31, 2018, respectively. The changes in contract assets and contract liabilities were the result of normal business activity and not significantly impacted by other factors, except as follows:</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08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FF0FC"/>
            </w:tcBorders>
          </w:tcPr>
          <w:p>
            <w:pPr>
              <w:spacing w:after="0"/>
              <w:rPr>
                <w:sz w:val="17"/>
                <w:szCs w:val="17"/>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35,229</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Change in the estimate of variable consideration</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14,506</w:t>
            </w:r>
          </w:p>
        </w:tc>
        <w:tc>
          <w:tcPr>
            <w:tcW w:w="120" w:type="dxa"/>
            <w:vAlign w:val="bottom"/>
            <w:shd w:val="clear" w:color="auto" w:fill="CFF0FC"/>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Reversal of provision for contract losses (1)</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133,180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bl>
    <w:p>
      <w:pPr>
        <w:spacing w:after="0" w:line="229" w:lineRule="exact"/>
        <w:rPr>
          <w:sz w:val="20"/>
          <w:szCs w:val="20"/>
          <w:color w:val="auto"/>
        </w:rPr>
      </w:pPr>
    </w:p>
    <w:p>
      <w:pPr>
        <w:ind w:left="640" w:right="500" w:hanging="632"/>
        <w:spacing w:after="0" w:line="24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Reversal of provision for contract losses of $133.2 million, of which $55.1 million was recorded as an increase in revenue with the remainder recorded as other income.</w:t>
      </w:r>
    </w:p>
    <w:p>
      <w:pPr>
        <w:spacing w:after="0" w:line="197" w:lineRule="exact"/>
        <w:rPr>
          <w:sz w:val="20"/>
          <w:szCs w:val="20"/>
          <w:color w:val="auto"/>
        </w:rPr>
      </w:pPr>
    </w:p>
    <w:p>
      <w:pPr>
        <w:ind w:right="220" w:firstLine="647"/>
        <w:spacing w:after="0" w:line="246" w:lineRule="auto"/>
        <w:rPr>
          <w:sz w:val="20"/>
          <w:szCs w:val="20"/>
          <w:color w:val="auto"/>
        </w:rPr>
      </w:pPr>
      <w:r>
        <w:rPr>
          <w:rFonts w:ascii="Arial" w:cs="Arial" w:eastAsia="Arial" w:hAnsi="Arial"/>
          <w:sz w:val="18"/>
          <w:szCs w:val="18"/>
          <w:color w:val="auto"/>
        </w:rPr>
        <w:t>There was no significant impairment of contract assets recognized during the three and nine months ended September 28, 2018 and September 30, 2019.</w:t>
      </w:r>
    </w:p>
    <w:p>
      <w:pPr>
        <w:spacing w:after="0" w:line="197" w:lineRule="exact"/>
        <w:rPr>
          <w:sz w:val="20"/>
          <w:szCs w:val="20"/>
          <w:color w:val="auto"/>
        </w:rPr>
      </w:pPr>
    </w:p>
    <w:p>
      <w:pPr>
        <w:ind w:right="60" w:firstLine="647"/>
        <w:spacing w:after="0"/>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an increase in revenue of $9.1 million for the three and nine months ended September 30, 2019, and no amounts for the three and nine months ended September 28,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consisted of the following as of December 31, 2018 and September 30, 2019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FF0FC"/>
            </w:tcBorders>
          </w:tcPr>
          <w:p>
            <w:pPr>
              <w:spacing w:after="0"/>
              <w:rPr>
                <w:sz w:val="17"/>
                <w:szCs w:val="17"/>
                <w:color w:val="auto"/>
              </w:rPr>
            </w:pPr>
          </w:p>
        </w:tc>
      </w:tr>
      <w:tr>
        <w:trPr>
          <w:trHeight w:val="216"/>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Billed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538,808</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516,099</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135,180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200,477</w:t>
            </w:r>
          </w:p>
        </w:tc>
        <w:tc>
          <w:tcPr>
            <w:tcW w:w="120" w:type="dxa"/>
            <w:vAlign w:val="bottom"/>
            <w:tcBorders>
              <w:bottom w:val="single" w:sz="8" w:color="CFF0FC"/>
            </w:tcBorders>
          </w:tcPr>
          <w:p>
            <w:pPr>
              <w:spacing w:after="0"/>
              <w:rPr>
                <w:sz w:val="18"/>
                <w:szCs w:val="18"/>
                <w:color w:val="auto"/>
              </w:rPr>
            </w:pPr>
          </w:p>
        </w:tc>
      </w:tr>
      <w:tr>
        <w:trPr>
          <w:trHeight w:val="210"/>
        </w:trPr>
        <w:tc>
          <w:tcPr>
            <w:tcW w:w="74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673,988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716,576</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(50,702)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(42,902)</w:t>
            </w:r>
          </w:p>
        </w:tc>
      </w:tr>
      <w:tr>
        <w:trPr>
          <w:trHeight w:val="210"/>
        </w:trPr>
        <w:tc>
          <w:tcPr>
            <w:tcW w:w="74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623,286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673,674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647"/>
        <w:spacing w:after="0" w:line="246"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6" w:name="page17"/>
    <w:bookmarkEnd w:id="16"/>
    <w:p>
      <w:pPr>
        <w:ind w:right="60" w:firstLine="647"/>
        <w:spacing w:after="0" w:line="246"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conditions and particular industry conditions that may affect a client’s ability to pay.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22" w:lineRule="exact"/>
        <w:rPr>
          <w:sz w:val="20"/>
          <w:szCs w:val="20"/>
          <w:color w:val="auto"/>
        </w:rPr>
      </w:pPr>
    </w:p>
    <w:p>
      <w:pPr>
        <w:ind w:right="60" w:firstLine="647"/>
        <w:spacing w:after="0" w:line="246" w:lineRule="auto"/>
        <w:rPr>
          <w:sz w:val="20"/>
          <w:szCs w:val="20"/>
          <w:color w:val="auto"/>
        </w:rPr>
      </w:pPr>
      <w:r>
        <w:rPr>
          <w:rFonts w:ascii="Arial" w:cs="Arial" w:eastAsia="Arial" w:hAnsi="Arial"/>
          <w:sz w:val="18"/>
          <w:szCs w:val="18"/>
          <w:color w:val="auto"/>
        </w:rPr>
        <w:t>The Company’s remaining unsatisfied performance obligations (“RUPO”) as of September 30, 2019 represent a measure of the total dollar value of work to be performed on contracts awarded and in progress. The Company had $5.1 billion in RUPO as of September 30, 2019.</w:t>
      </w:r>
    </w:p>
    <w:p>
      <w:pPr>
        <w:spacing w:after="0" w:line="197" w:lineRule="exact"/>
        <w:rPr>
          <w:sz w:val="20"/>
          <w:szCs w:val="20"/>
          <w:color w:val="auto"/>
        </w:rPr>
      </w:pPr>
    </w:p>
    <w:p>
      <w:pPr>
        <w:ind w:right="280" w:firstLine="647"/>
        <w:spacing w:after="0" w:line="239"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202" w:lineRule="exact"/>
        <w:rPr>
          <w:sz w:val="20"/>
          <w:szCs w:val="20"/>
          <w:color w:val="auto"/>
        </w:rPr>
      </w:pPr>
    </w:p>
    <w:p>
      <w:pPr>
        <w:ind w:right="140" w:firstLine="647"/>
        <w:spacing w:after="0" w:line="239"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expects to satisfy its RUPO as of September 30, 2019 over the following periods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One to</w:t>
            </w: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39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Period RUPO Will Be Satisfied</w:t>
            </w:r>
          </w:p>
        </w:tc>
        <w:tc>
          <w:tcPr>
            <w:tcW w:w="19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Within One Year</w:t>
            </w:r>
          </w:p>
        </w:tc>
        <w:tc>
          <w:tcPr>
            <w:tcW w:w="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Two Years</w:t>
            </w:r>
          </w:p>
        </w:tc>
        <w:tc>
          <w:tcPr>
            <w:tcW w:w="26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Thereafter</w:t>
            </w:r>
          </w:p>
        </w:tc>
        <w:tc>
          <w:tcPr>
            <w:tcW w:w="120" w:type="dxa"/>
            <w:vAlign w:val="bottom"/>
            <w:tcBorders>
              <w:bottom w:val="single" w:sz="8" w:color="CFF0FC"/>
            </w:tcBorders>
          </w:tcPr>
          <w:p>
            <w:pPr>
              <w:spacing w:after="0"/>
              <w:rPr>
                <w:sz w:val="15"/>
                <w:szCs w:val="15"/>
                <w:color w:val="auto"/>
              </w:rPr>
            </w:pPr>
          </w:p>
        </w:tc>
      </w:tr>
      <w:tr>
        <w:trPr>
          <w:trHeight w:val="21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1,198,634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436,620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208,734</w:t>
            </w:r>
          </w:p>
        </w:tc>
        <w:tc>
          <w:tcPr>
            <w:tcW w:w="120" w:type="dxa"/>
            <w:vAlign w:val="bottom"/>
            <w:shd w:val="clear" w:color="auto" w:fill="CFF0FC"/>
          </w:tcPr>
          <w:p>
            <w:pPr>
              <w:spacing w:after="0"/>
              <w:rPr>
                <w:sz w:val="18"/>
                <w:szCs w:val="18"/>
                <w:color w:val="auto"/>
              </w:rPr>
            </w:pPr>
          </w:p>
        </w:tc>
      </w:tr>
      <w:tr>
        <w:trPr>
          <w:trHeight w:val="216"/>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1,636,525</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960,469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643,170</w:t>
            </w:r>
          </w:p>
        </w:tc>
        <w:tc>
          <w:tcPr>
            <w:tcW w:w="120" w:type="dxa"/>
            <w:vAlign w:val="bottom"/>
            <w:tcBorders>
              <w:bottom w:val="single" w:sz="8" w:color="CFF0FC"/>
            </w:tcBorders>
          </w:tcPr>
          <w:p>
            <w:pPr>
              <w:spacing w:after="0"/>
              <w:rPr>
                <w:sz w:val="18"/>
                <w:szCs w:val="18"/>
                <w:color w:val="auto"/>
              </w:rPr>
            </w:pPr>
          </w:p>
        </w:tc>
      </w:tr>
      <w:tr>
        <w:trPr>
          <w:trHeight w:val="21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2,835,159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1,397,089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851,904</w:t>
            </w:r>
          </w:p>
        </w:tc>
        <w:tc>
          <w:tcPr>
            <w:tcW w:w="120" w:type="dxa"/>
            <w:vAlign w:val="bottom"/>
            <w:shd w:val="clear" w:color="auto" w:fill="CFF0FC"/>
          </w:tcPr>
          <w:p>
            <w:pPr>
              <w:spacing w:after="0"/>
              <w:rPr>
                <w:sz w:val="18"/>
                <w:szCs w:val="18"/>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6" w:lineRule="exact"/>
        <w:rPr>
          <w:sz w:val="20"/>
          <w:szCs w:val="20"/>
          <w:color w:val="auto"/>
        </w:rPr>
      </w:pPr>
    </w:p>
    <w:p>
      <w:pPr>
        <w:ind w:right="40" w:firstLine="647"/>
        <w:spacing w:after="0" w:line="238" w:lineRule="auto"/>
        <w:rPr>
          <w:sz w:val="20"/>
          <w:szCs w:val="20"/>
          <w:color w:val="auto"/>
        </w:rPr>
      </w:pPr>
      <w:r>
        <w:rPr>
          <w:rFonts w:ascii="Arial" w:cs="Arial" w:eastAsia="Arial" w:hAnsi="Arial"/>
          <w:sz w:val="18"/>
          <w:szCs w:val="18"/>
          <w:color w:val="auto"/>
        </w:rPr>
        <w:t>In February 2016, the FASB issued ASU 2016-02 “Leases (Topic 842)”, which is a new standard related to leases to increase transparency and comparability among organizations by requiring the recognition of right-of-use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w:t>
      </w:r>
    </w:p>
    <w:p>
      <w:pPr>
        <w:spacing w:after="0" w:line="203"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The Company elected to adopt the standard, and available practical expedients, effective January 1, 2019. These practical expedients allowed the Company to keep the lease classification assessed under the previous lease accounting standard (ASC 840) without reassessment under the new standard, and allowed all separate lease components, including non-lease components, to be accounted for as a single lease component for all existing leases prior to adoption of the new standard. Furthermore, the Company made an accounting policy election to not recognize a lease liability and ROU asset for leases with lease terms of twelve months or less.</w:t>
      </w:r>
    </w:p>
    <w:p>
      <w:pPr>
        <w:spacing w:after="0" w:line="203" w:lineRule="exact"/>
        <w:rPr>
          <w:sz w:val="20"/>
          <w:szCs w:val="20"/>
          <w:color w:val="auto"/>
        </w:rPr>
      </w:pPr>
    </w:p>
    <w:p>
      <w:pPr>
        <w:jc w:val="both"/>
        <w:ind w:right="20" w:firstLine="647"/>
        <w:spacing w:after="0"/>
        <w:rPr>
          <w:sz w:val="20"/>
          <w:szCs w:val="20"/>
          <w:color w:val="auto"/>
        </w:rPr>
      </w:pPr>
      <w:r>
        <w:rPr>
          <w:rFonts w:ascii="Arial" w:cs="Arial" w:eastAsia="Arial" w:hAnsi="Arial"/>
          <w:sz w:val="18"/>
          <w:szCs w:val="18"/>
          <w:color w:val="auto"/>
        </w:rPr>
        <w:t>The Company adopted this new standard under the modified retrospective transition approach without adjusting comparative periods in the financial statements, as allowed under Topic 842, and implemented internal controls and key system functionality to enable the preparation of financial information on adoption.</w:t>
      </w:r>
    </w:p>
    <w:p>
      <w:pPr>
        <w:spacing w:after="0" w:line="203" w:lineRule="exact"/>
        <w:rPr>
          <w:sz w:val="20"/>
          <w:szCs w:val="20"/>
          <w:color w:val="auto"/>
        </w:rPr>
      </w:pPr>
    </w:p>
    <w:p>
      <w:pPr>
        <w:ind w:right="180" w:firstLine="647"/>
        <w:spacing w:after="0"/>
        <w:rPr>
          <w:sz w:val="20"/>
          <w:szCs w:val="20"/>
          <w:color w:val="auto"/>
        </w:rPr>
      </w:pPr>
      <w:r>
        <w:rPr>
          <w:rFonts w:ascii="Arial" w:cs="Arial" w:eastAsia="Arial" w:hAnsi="Arial"/>
          <w:sz w:val="18"/>
          <w:szCs w:val="18"/>
          <w:color w:val="auto"/>
        </w:rPr>
        <w:t>The standard had a material impact on the Company’s consolidated balance sheets but did not have an impact on the consolidated income statements. The most significant impact was the recognition of ROU assets and lease liabilities for operating leases, while accounting for finance leases remained substantially unchanged.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7" w:name="page18"/>
    <w:bookmarkEnd w:id="17"/>
    <w:p>
      <w:pPr>
        <w:ind w:right="20" w:firstLine="647"/>
        <w:spacing w:after="0" w:line="238" w:lineRule="auto"/>
        <w:rPr>
          <w:sz w:val="20"/>
          <w:szCs w:val="20"/>
          <w:color w:val="auto"/>
        </w:rPr>
      </w:pPr>
      <w:r>
        <w:rPr>
          <w:rFonts w:ascii="Arial" w:cs="Arial" w:eastAsia="Arial" w:hAnsi="Arial"/>
          <w:sz w:val="18"/>
          <w:szCs w:val="18"/>
          <w:color w:val="auto"/>
        </w:rPr>
        <w:t>As a result of the adoption, the Company recorded a cumulative-effect adjustment to retained earnings of $52.6 million net of deferred tax asset adjustment of $0.7 million, representing the unamortized portion of a deferred gain previously recorded as a sale-leaseback transaction associated with the sale of an office building in 2011. The Company concluded the transaction resulted in the transfer of control of the office building to the buyer-lessor at market terms and would have qualified as a sale under Topic 842 with gain recognition in the period the sale was recognized.</w:t>
      </w:r>
    </w:p>
    <w:p>
      <w:pPr>
        <w:spacing w:after="0" w:line="203" w:lineRule="exact"/>
        <w:rPr>
          <w:sz w:val="20"/>
          <w:szCs w:val="20"/>
          <w:color w:val="auto"/>
        </w:rPr>
      </w:pPr>
    </w:p>
    <w:p>
      <w:pPr>
        <w:ind w:right="140" w:firstLine="647"/>
        <w:spacing w:after="0"/>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203" w:lineRule="exact"/>
        <w:rPr>
          <w:sz w:val="20"/>
          <w:szCs w:val="20"/>
          <w:color w:val="auto"/>
        </w:rPr>
      </w:pPr>
    </w:p>
    <w:p>
      <w:pPr>
        <w:ind w:right="60" w:firstLine="647"/>
        <w:spacing w:after="0" w:line="237" w:lineRule="auto"/>
        <w:rPr>
          <w:sz w:val="20"/>
          <w:szCs w:val="20"/>
          <w:color w:val="auto"/>
        </w:rPr>
      </w:pPr>
      <w:r>
        <w:rPr>
          <w:rFonts w:ascii="Arial" w:cs="Arial" w:eastAsia="Arial" w:hAnsi="Arial"/>
          <w:sz w:val="18"/>
          <w:szCs w:val="18"/>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203" w:lineRule="exact"/>
        <w:rPr>
          <w:sz w:val="20"/>
          <w:szCs w:val="20"/>
          <w:color w:val="auto"/>
        </w:rPr>
      </w:pPr>
    </w:p>
    <w:p>
      <w:pPr>
        <w:ind w:right="80" w:firstLine="647"/>
        <w:spacing w:after="0"/>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95" w:lineRule="exact"/>
        <w:rPr>
          <w:sz w:val="20"/>
          <w:szCs w:val="20"/>
          <w:color w:val="auto"/>
        </w:rPr>
      </w:pPr>
    </w:p>
    <w:p>
      <w:pPr>
        <w:ind w:right="160" w:firstLine="647"/>
        <w:spacing w:after="0" w:line="259" w:lineRule="auto"/>
        <w:rPr>
          <w:sz w:val="20"/>
          <w:szCs w:val="20"/>
          <w:color w:val="auto"/>
        </w:rPr>
      </w:pPr>
      <w:r>
        <w:rPr>
          <w:rFonts w:ascii="Arial" w:cs="Arial" w:eastAsia="Arial" w:hAnsi="Arial"/>
          <w:sz w:val="17"/>
          <w:szCs w:val="17"/>
          <w:color w:val="auto"/>
        </w:rPr>
        <w:t>The Company has operating and finance leases for corporate and project office spaces, vehicles, heavy machinery and office equipment. Our leases have remaining lease terms of one year to 10 years, some of which may include options to extend the leases for up to five years, and some of which may include options to terminate the leases up to the seventh year. As of September 30, 2019, assets recorded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under finance leases were $1.8 million and accumulated depreciation associated with finance leases was $0.5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costs for the three and nine months ended September 30, 2019 are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69"/>
        </w:trPr>
        <w:tc>
          <w:tcPr>
            <w:tcW w:w="4880" w:type="dxa"/>
            <w:vAlign w:val="bottom"/>
            <w:tcBorders>
              <w:bottom w:val="single" w:sz="8" w:color="CFF0FC"/>
            </w:tcBorders>
          </w:tcPr>
          <w:p>
            <w:pPr>
              <w:spacing w:after="0"/>
              <w:rPr>
                <w:sz w:val="14"/>
                <w:szCs w:val="14"/>
                <w:color w:val="auto"/>
              </w:rPr>
            </w:pPr>
          </w:p>
        </w:tc>
        <w:tc>
          <w:tcPr>
            <w:tcW w:w="192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4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CFF0FC"/>
            </w:tcBorders>
          </w:tcPr>
          <w:p>
            <w:pPr>
              <w:spacing w:after="0"/>
              <w:rPr>
                <w:sz w:val="14"/>
                <w:szCs w:val="14"/>
                <w:color w:val="auto"/>
              </w:rPr>
            </w:pPr>
          </w:p>
        </w:tc>
      </w:tr>
      <w:tr>
        <w:trPr>
          <w:trHeight w:val="210"/>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242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17,969</w:t>
            </w:r>
          </w:p>
        </w:tc>
        <w:tc>
          <w:tcPr>
            <w:tcW w:w="4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53,835</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19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19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(712)</w:t>
            </w: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(2,727)</w:t>
            </w:r>
          </w:p>
        </w:tc>
      </w:tr>
      <w:tr>
        <w:trPr>
          <w:trHeight w:val="20"/>
        </w:trPr>
        <w:tc>
          <w:tcPr>
            <w:tcW w:w="4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Total lease cost</w:t>
            </w:r>
          </w:p>
        </w:tc>
        <w:tc>
          <w:tcPr>
            <w:tcW w:w="24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22,821</w:t>
            </w:r>
          </w:p>
        </w:tc>
        <w:tc>
          <w:tcPr>
            <w:tcW w:w="400" w:type="dxa"/>
            <w:vAlign w:val="bottom"/>
          </w:tcPr>
          <w:p>
            <w:pPr>
              <w:spacing w:after="0"/>
              <w:rPr>
                <w:sz w:val="18"/>
                <w:szCs w:val="18"/>
                <w:color w:val="auto"/>
              </w:rPr>
            </w:pPr>
          </w:p>
        </w:tc>
        <w:tc>
          <w:tcPr>
            <w:tcW w:w="520" w:type="dxa"/>
            <w:vAlign w:val="bottom"/>
            <w:gridSpan w:val="2"/>
          </w:tcPr>
          <w:p>
            <w:pPr>
              <w:jc w:val="right"/>
              <w:ind w:right="348"/>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62,534</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for the nine months ended September 30, 2019 is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716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52,056</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740" w:type="dxa"/>
            <w:vAlign w:val="bottom"/>
            <w:gridSpan w:val="2"/>
          </w:tcPr>
          <w:p>
            <w:pPr>
              <w:ind w:left="580"/>
              <w:spacing w:after="0"/>
              <w:rPr>
                <w:sz w:val="20"/>
                <w:szCs w:val="20"/>
                <w:color w:val="auto"/>
              </w:rPr>
            </w:pPr>
            <w:r>
              <w:rPr>
                <w:rFonts w:ascii="Arial" w:cs="Arial" w:eastAsia="Arial" w:hAnsi="Arial"/>
                <w:sz w:val="18"/>
                <w:szCs w:val="18"/>
                <w:color w:val="auto"/>
              </w:rPr>
              <w:t>Operating cash flows for financing activities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274,212</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7740" w:type="dxa"/>
            <w:vAlign w:val="bottom"/>
            <w:gridSpan w:val="2"/>
          </w:tcPr>
          <w:p>
            <w:pPr>
              <w:ind w:left="58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662"/>
        </w:trPr>
        <w:tc>
          <w:tcPr>
            <w:tcW w:w="7740" w:type="dxa"/>
            <w:vAlign w:val="bottom"/>
            <w:gridSpan w:val="2"/>
          </w:tcPr>
          <w:p>
            <w:pPr>
              <w:jc w:val="right"/>
              <w:ind w:right="1830"/>
              <w:spacing w:after="0"/>
              <w:rPr>
                <w:sz w:val="20"/>
                <w:szCs w:val="20"/>
                <w:color w:val="auto"/>
              </w:rPr>
            </w:pPr>
            <w:r>
              <w:rPr>
                <w:rFonts w:ascii="Arial" w:cs="Arial" w:eastAsia="Arial" w:hAnsi="Arial"/>
                <w:sz w:val="18"/>
                <w:szCs w:val="18"/>
                <w:color w:val="auto"/>
              </w:rPr>
              <w:t>16</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71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Supplemental balance sheet and other information related to leases as of September 30, 2019 is as follows (in thousands):</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219,207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Long-term</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188,571</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237,645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Finance Leases:</w:t>
            </w: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Total finance lease liabilities</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 w:firstLine="647"/>
        <w:spacing w:after="0" w:line="246" w:lineRule="auto"/>
        <w:rPr>
          <w:sz w:val="20"/>
          <w:szCs w:val="20"/>
          <w:color w:val="auto"/>
        </w:rPr>
      </w:pPr>
      <w:r>
        <w:rPr>
          <w:rFonts w:ascii="Arial" w:cs="Arial" w:eastAsia="Arial" w:hAnsi="Arial"/>
          <w:sz w:val="18"/>
          <w:szCs w:val="18"/>
          <w:color w:val="auto"/>
        </w:rPr>
        <w:t>As of September 30, 2019, the Company has additional operating leases, primarily for office spaces, that have not yet commenced of $37.0 million. These operating leases will commence in 2019 with lease terms of 2 years to 11 years.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rPr>
          <w:sz w:val="20"/>
          <w:szCs w:val="20"/>
          <w:color w:val="auto"/>
        </w:rPr>
      </w:pPr>
      <w:r>
        <w:rPr>
          <w:rFonts w:ascii="Arial" w:cs="Arial" w:eastAsia="Arial" w:hAnsi="Arial"/>
          <w:sz w:val="18"/>
          <w:szCs w:val="18"/>
          <w:color w:val="auto"/>
        </w:rPr>
        <w:t>September 30, 2019 is as follows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Borders>
              <w:bottom w:val="single" w:sz="8" w:color="CFF0FC"/>
            </w:tcBorders>
          </w:tcPr>
          <w:p>
            <w:pPr>
              <w:spacing w:after="0"/>
              <w:rPr>
                <w:sz w:val="15"/>
                <w:szCs w:val="15"/>
                <w:color w:val="auto"/>
              </w:rPr>
            </w:pPr>
          </w:p>
        </w:tc>
        <w:tc>
          <w:tcPr>
            <w:tcW w:w="20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Finance Leases</w:t>
            </w:r>
          </w:p>
        </w:tc>
        <w:tc>
          <w:tcPr>
            <w:tcW w:w="12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15,409</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2020</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54,561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50,333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44,160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64,423</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265,882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0"/>
        </w:trPr>
        <w:tc>
          <w:tcPr>
            <w:tcW w:w="4980" w:type="dxa"/>
            <w:vAlign w:val="bottom"/>
            <w:shd w:val="clear" w:color="auto" w:fill="CFF0FC"/>
          </w:tcPr>
          <w:p>
            <w:pPr>
              <w:spacing w:after="0" w:line="20" w:lineRule="exact"/>
              <w:rPr>
                <w:sz w:val="1"/>
                <w:szCs w:val="1"/>
                <w:color w:val="auto"/>
              </w:rPr>
            </w:pPr>
          </w:p>
        </w:tc>
        <w:tc>
          <w:tcPr>
            <w:tcW w:w="2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237,645</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FF0FC"/>
          </w:tcPr>
          <w:p>
            <w:pPr>
              <w:spacing w:after="0"/>
              <w:rPr>
                <w:sz w:val="18"/>
                <w:szCs w:val="18"/>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7"/>
        <w:spacing w:after="0"/>
        <w:rPr>
          <w:sz w:val="20"/>
          <w:szCs w:val="20"/>
          <w:color w:val="auto"/>
        </w:rPr>
      </w:pPr>
      <w:r>
        <w:rPr>
          <w:rFonts w:ascii="Arial" w:cs="Arial" w:eastAsia="Arial" w:hAnsi="Arial"/>
          <w:sz w:val="18"/>
          <w:szCs w:val="18"/>
          <w:color w:val="auto"/>
        </w:rPr>
        <w:t>As of December 31, 2018, $276.7 million of minimum rental commitments on operating leases was payable as follows: $67.9 million in 2019, $51.0 million in 2020, $42.5 million in 2021, $35.9 million in 2022, $29.4 million in 2023, and $50.0 million thereafter. Rental expense for the three and nine months ended September 28, 2018 was $21.7 million and $59.7 million, respectively.</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55" w:right="339" w:bottom="1440" w:gutter="0" w:footer="0" w:header="0"/>
        </w:sectPr>
      </w:pPr>
    </w:p>
    <w:bookmarkStart w:id="19" w:name="page20"/>
    <w:bookmarkEnd w:id="19"/>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at December 31, 2018 and</w:t>
      </w:r>
    </w:p>
    <w:p>
      <w:pPr>
        <w:spacing w:after="0"/>
        <w:rPr>
          <w:sz w:val="20"/>
          <w:szCs w:val="20"/>
          <w:color w:val="auto"/>
        </w:rPr>
      </w:pPr>
      <w:r>
        <w:rPr>
          <w:rFonts w:ascii="Arial" w:cs="Arial" w:eastAsia="Arial" w:hAnsi="Arial"/>
          <w:sz w:val="18"/>
          <w:szCs w:val="18"/>
          <w:color w:val="auto"/>
        </w:rPr>
        <w:t>September 30, 2019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17"/>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574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Acquisitions</w:t>
            </w:r>
          </w:p>
        </w:tc>
        <w:tc>
          <w:tcPr>
            <w:tcW w:w="2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Exchange</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666,841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311,860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978,701</w:t>
            </w:r>
          </w:p>
        </w:tc>
        <w:tc>
          <w:tcPr>
            <w:tcW w:w="120" w:type="dxa"/>
            <w:vAlign w:val="bottom"/>
            <w:shd w:val="clear" w:color="auto" w:fill="CFF0FC"/>
          </w:tcPr>
          <w:p>
            <w:pPr>
              <w:spacing w:after="0"/>
              <w:rPr>
                <w:sz w:val="18"/>
                <w:szCs w:val="18"/>
                <w:color w:val="auto"/>
              </w:rPr>
            </w:pPr>
          </w:p>
        </w:tc>
      </w:tr>
      <w:tr>
        <w:trPr>
          <w:trHeight w:val="216"/>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70,097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71,376</w:t>
            </w:r>
          </w:p>
        </w:tc>
        <w:tc>
          <w:tcPr>
            <w:tcW w:w="120" w:type="dxa"/>
            <w:vAlign w:val="bottom"/>
            <w:tcBorders>
              <w:bottom w:val="single" w:sz="8" w:color="CFF0FC"/>
            </w:tcBorders>
          </w:tcPr>
          <w:p>
            <w:pPr>
              <w:spacing w:after="0"/>
              <w:rPr>
                <w:sz w:val="18"/>
                <w:szCs w:val="18"/>
                <w:color w:val="auto"/>
              </w:rPr>
            </w:pPr>
          </w:p>
        </w:tc>
      </w:tr>
      <w:tr>
        <w:trPr>
          <w:trHeight w:val="210"/>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736,938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311,860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1,050,077</w:t>
            </w:r>
          </w:p>
        </w:tc>
        <w:tc>
          <w:tcPr>
            <w:tcW w:w="120" w:type="dxa"/>
            <w:vAlign w:val="bottom"/>
            <w:shd w:val="clear" w:color="auto" w:fill="CFF0FC"/>
          </w:tcPr>
          <w:p>
            <w:pPr>
              <w:spacing w:after="0"/>
              <w:rPr>
                <w:sz w:val="18"/>
                <w:szCs w:val="18"/>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ind w:right="220" w:firstLine="647"/>
        <w:spacing w:after="0" w:line="246"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3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r>
      <w:tr>
        <w:trPr>
          <w:trHeight w:val="156"/>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75"/>
              <w:spacing w:after="0" w:line="156"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3"/>
                <w:szCs w:val="13"/>
                <w:color w:val="auto"/>
              </w:rPr>
            </w:pPr>
          </w:p>
        </w:tc>
        <w:tc>
          <w:tcPr>
            <w:tcW w:w="800" w:type="dxa"/>
            <w:vAlign w:val="bottom"/>
          </w:tcPr>
          <w:p>
            <w:pPr>
              <w:jc w:val="center"/>
              <w:ind w:right="76"/>
              <w:spacing w:after="0" w:line="156"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34"/>
              <w:spacing w:after="0" w:line="156" w:lineRule="exact"/>
              <w:rPr>
                <w:sz w:val="20"/>
                <w:szCs w:val="20"/>
                <w:color w:val="auto"/>
              </w:rPr>
            </w:pPr>
            <w:r>
              <w:rPr>
                <w:rFonts w:ascii="Arial" w:cs="Arial" w:eastAsia="Arial" w:hAnsi="Arial"/>
                <w:sz w:val="14"/>
                <w:szCs w:val="14"/>
                <w:b w:val="1"/>
                <w:bCs w:val="1"/>
                <w:color w:val="auto"/>
              </w:rPr>
              <w:t>Net</w:t>
            </w:r>
          </w:p>
        </w:tc>
        <w:tc>
          <w:tcPr>
            <w:tcW w:w="1180" w:type="dxa"/>
            <w:vAlign w:val="bottom"/>
            <w:gridSpan w:val="3"/>
          </w:tcPr>
          <w:p>
            <w:pPr>
              <w:jc w:val="center"/>
              <w:ind w:left="52"/>
              <w:spacing w:after="0" w:line="156"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800" w:type="dxa"/>
            <w:vAlign w:val="bottom"/>
          </w:tcPr>
          <w:p>
            <w:pPr>
              <w:jc w:val="center"/>
              <w:ind w:right="76"/>
              <w:spacing w:after="0"/>
              <w:rPr>
                <w:sz w:val="20"/>
                <w:szCs w:val="20"/>
                <w:color w:val="auto"/>
              </w:rPr>
            </w:pPr>
            <w:r>
              <w:rPr>
                <w:rFonts w:ascii="Arial" w:cs="Arial" w:eastAsia="Arial" w:hAnsi="Arial"/>
                <w:sz w:val="14"/>
                <w:szCs w:val="14"/>
                <w:b w:val="1"/>
                <w:bCs w:val="1"/>
                <w:color w:val="auto"/>
              </w:rPr>
              <w:t>Carrying</w:t>
            </w:r>
          </w:p>
        </w:tc>
        <w:tc>
          <w:tcPr>
            <w:tcW w:w="1320" w:type="dxa"/>
            <w:vAlign w:val="bottom"/>
            <w:gridSpan w:val="4"/>
          </w:tcPr>
          <w:p>
            <w:pPr>
              <w:ind w:left="200"/>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Period</w:t>
            </w:r>
          </w:p>
        </w:tc>
      </w:tr>
      <w:tr>
        <w:trPr>
          <w:trHeight w:val="175"/>
        </w:trPr>
        <w:tc>
          <w:tcPr>
            <w:tcW w:w="37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(in years)</w:t>
            </w:r>
          </w:p>
        </w:tc>
        <w:tc>
          <w:tcPr>
            <w:tcW w:w="60" w:type="dxa"/>
            <w:vAlign w:val="bottom"/>
            <w:tcBorders>
              <w:bottom w:val="single" w:sz="8" w:color="CFF0FC"/>
            </w:tcBorders>
          </w:tcPr>
          <w:p>
            <w:pPr>
              <w:spacing w:after="0"/>
              <w:rPr>
                <w:sz w:val="15"/>
                <w:szCs w:val="15"/>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80,754</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(58,295)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109,155</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(80,321)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121,629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(38,974)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82,655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226,329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(60,266)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166,063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87,839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(15,174)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111,739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(32,545)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79,194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(5,092)</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00" w:type="dxa"/>
            <w:vAlign w:val="bottom"/>
          </w:tcPr>
          <w:p>
            <w:pPr>
              <w:ind w:left="260"/>
              <w:spacing w:after="0"/>
              <w:rPr>
                <w:sz w:val="20"/>
                <w:szCs w:val="20"/>
                <w:color w:val="auto"/>
              </w:rPr>
            </w:pPr>
            <w:r>
              <w:rPr>
                <w:rFonts w:ascii="Arial" w:cs="Arial" w:eastAsia="Arial" w:hAnsi="Arial"/>
                <w:sz w:val="18"/>
                <w:szCs w:val="18"/>
                <w:color w:val="auto"/>
              </w:rPr>
              <w:t>Total intangible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294,767</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(115,249)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179,518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460,769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(179,612)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281,157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340" w:firstLine="647"/>
        <w:spacing w:after="0"/>
        <w:rPr>
          <w:sz w:val="20"/>
          <w:szCs w:val="20"/>
          <w:color w:val="auto"/>
        </w:rPr>
      </w:pPr>
      <w:r>
        <w:rPr>
          <w:rFonts w:ascii="Arial" w:cs="Arial" w:eastAsia="Arial" w:hAnsi="Arial"/>
          <w:sz w:val="18"/>
          <w:szCs w:val="18"/>
          <w:color w:val="auto"/>
        </w:rPr>
        <w:t>The aggregate amortization expense of intangible assets for the three months ended September 28, 2018 and September 30, 2019 was $14.8 million and $22.1 million, respectively, and for the nine months ended September 30, 2018 and September 30, 2019 was $22.7 million and $64.5 million, respectively.</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in each of the next five years and beyond is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3200" w:type="dxa"/>
            <w:vAlign w:val="bottom"/>
            <w:tcBorders>
              <w:bottom w:val="single" w:sz="8" w:color="CFF0FC"/>
            </w:tcBorders>
          </w:tcPr>
          <w:p>
            <w:pPr>
              <w:spacing w:after="0"/>
              <w:rPr>
                <w:sz w:val="17"/>
                <w:szCs w:val="17"/>
                <w:color w:val="auto"/>
              </w:rPr>
            </w:pPr>
          </w:p>
        </w:tc>
        <w:tc>
          <w:tcPr>
            <w:tcW w:w="48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FF0FC"/>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2019 (remaining)</w:t>
            </w:r>
          </w:p>
        </w:tc>
        <w:tc>
          <w:tcPr>
            <w:tcW w:w="5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23,049</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580"/>
              <w:spacing w:after="0"/>
              <w:rPr>
                <w:sz w:val="20"/>
                <w:szCs w:val="20"/>
                <w:color w:val="auto"/>
              </w:rPr>
            </w:pPr>
            <w:r>
              <w:rPr>
                <w:rFonts w:ascii="Arial" w:cs="Arial" w:eastAsia="Arial" w:hAnsi="Arial"/>
                <w:sz w:val="18"/>
                <w:szCs w:val="18"/>
                <w:color w:val="auto"/>
              </w:rPr>
              <w:t>2020</w:t>
            </w:r>
          </w:p>
        </w:tc>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83,511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78,778</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580"/>
              <w:spacing w:after="0"/>
              <w:rPr>
                <w:sz w:val="20"/>
                <w:szCs w:val="20"/>
                <w:color w:val="auto"/>
              </w:rPr>
            </w:pPr>
            <w:r>
              <w:rPr>
                <w:rFonts w:ascii="Arial" w:cs="Arial" w:eastAsia="Arial" w:hAnsi="Arial"/>
                <w:sz w:val="18"/>
                <w:szCs w:val="18"/>
                <w:color w:val="auto"/>
              </w:rPr>
              <w:t>2022</w:t>
            </w:r>
          </w:p>
        </w:tc>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34,517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22,599</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8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38,703</w:t>
            </w:r>
          </w:p>
        </w:tc>
        <w:tc>
          <w:tcPr>
            <w:tcW w:w="12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5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281,157</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4840" w:type="dxa"/>
            <w:vAlign w:val="bottom"/>
            <w:tcBorders>
              <w:top w:val="single" w:sz="8" w:color="CFF0FC"/>
              <w:bottom w:val="single" w:sz="8" w:color="CFF0FC"/>
            </w:tcBorders>
            <w:vMerge w:val="restart"/>
          </w:tcPr>
          <w:p>
            <w:pPr>
              <w:jc w:val="right"/>
              <w:ind w:right="271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20" w:name="page21"/>
    <w:bookmarkEnd w:id="20"/>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December 31, 2018 and September 30, 2019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376"/>
              <w:spacing w:after="0"/>
              <w:rPr>
                <w:sz w:val="20"/>
                <w:szCs w:val="20"/>
                <w:color w:val="auto"/>
              </w:rPr>
            </w:pPr>
            <w:r>
              <w:rPr>
                <w:rFonts w:ascii="Arial" w:cs="Arial" w:eastAsia="Arial" w:hAnsi="Arial"/>
                <w:sz w:val="14"/>
                <w:szCs w:val="14"/>
                <w:b w:val="1"/>
                <w:bCs w:val="1"/>
                <w:color w:val="auto"/>
              </w:rPr>
              <w:t>Useful lives</w:t>
            </w:r>
          </w:p>
        </w:tc>
      </w:tr>
      <w:tr>
        <w:trPr>
          <w:trHeight w:val="175"/>
        </w:trPr>
        <w:tc>
          <w:tcPr>
            <w:tcW w:w="4620" w:type="dxa"/>
            <w:vAlign w:val="bottom"/>
            <w:tcBorders>
              <w:bottom w:val="single" w:sz="8" w:color="CFF0FC"/>
            </w:tcBorders>
          </w:tcPr>
          <w:p>
            <w:pPr>
              <w:spacing w:after="0"/>
              <w:rPr>
                <w:sz w:val="15"/>
                <w:szCs w:val="15"/>
                <w:color w:val="auto"/>
              </w:rPr>
            </w:pPr>
          </w:p>
        </w:tc>
        <w:tc>
          <w:tcPr>
            <w:tcW w:w="15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Borders>
              <w:bottom w:val="single" w:sz="8" w:color="CFF0FC"/>
            </w:tcBorders>
          </w:tcPr>
          <w:p>
            <w:pPr>
              <w:spacing w:after="0"/>
              <w:rPr>
                <w:sz w:val="15"/>
                <w:szCs w:val="15"/>
                <w:color w:val="auto"/>
              </w:rPr>
            </w:pPr>
          </w:p>
        </w:tc>
        <w:tc>
          <w:tcPr>
            <w:tcW w:w="16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(years)</w:t>
            </w: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54,348</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71,698</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81,705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85,322</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148,255</w:t>
            </w: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168,241</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Construction equipment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12,074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11,753</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(204,533)</w:t>
            </w:r>
          </w:p>
        </w:tc>
        <w:tc>
          <w:tcPr>
            <w:tcW w:w="4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(227,776)</w:t>
            </w:r>
          </w:p>
        </w:tc>
        <w:tc>
          <w:tcPr>
            <w:tcW w:w="1680" w:type="dxa"/>
            <w:vAlign w:val="bottom"/>
            <w:shd w:val="clear" w:color="auto" w:fill="CFF0FC"/>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46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91,849</w:t>
            </w:r>
          </w:p>
        </w:tc>
        <w:tc>
          <w:tcPr>
            <w:tcW w:w="240" w:type="dxa"/>
            <w:vAlign w:val="bottom"/>
          </w:tcPr>
          <w:p>
            <w:pPr>
              <w:spacing w:after="0"/>
              <w:rPr>
                <w:sz w:val="18"/>
                <w:szCs w:val="18"/>
                <w:color w:val="auto"/>
              </w:rPr>
            </w:pPr>
          </w:p>
        </w:tc>
        <w:tc>
          <w:tcPr>
            <w:tcW w:w="460" w:type="dxa"/>
            <w:vAlign w:val="bottom"/>
          </w:tcPr>
          <w:p>
            <w:pPr>
              <w:jc w:val="right"/>
              <w:ind w:right="276"/>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109,238</w:t>
            </w: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0" w:firstLine="647"/>
        <w:spacing w:after="0" w:line="262" w:lineRule="auto"/>
        <w:rPr>
          <w:sz w:val="20"/>
          <w:szCs w:val="20"/>
          <w:color w:val="auto"/>
        </w:rPr>
      </w:pPr>
      <w:r>
        <w:rPr>
          <w:rFonts w:ascii="Arial" w:cs="Arial" w:eastAsia="Arial" w:hAnsi="Arial"/>
          <w:sz w:val="18"/>
          <w:szCs w:val="18"/>
          <w:color w:val="auto"/>
        </w:rPr>
        <w:t>Depreciation expense for the three months ended September 28, 2018 and September 30, 2019 was $8.8 million and $8.9 million, respectively, and $24.0 million and $28.2 million, respectively, for the nine months ended September 28, 2018 and September 30, 2019.</w:t>
      </w:r>
    </w:p>
    <w:p>
      <w:pPr>
        <w:spacing w:after="0" w:line="269"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Sale-Leasebacks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fiscal 2011, the Company consummated two sale-leaseback transactions associated with the sale of two office buildings from</w:t>
      </w:r>
    </w:p>
    <w:p>
      <w:pPr>
        <w:spacing w:after="0" w:line="234" w:lineRule="auto"/>
        <w:rPr>
          <w:sz w:val="20"/>
          <w:szCs w:val="20"/>
          <w:color w:val="auto"/>
        </w:rPr>
      </w:pPr>
      <w:r>
        <w:rPr>
          <w:rFonts w:ascii="Arial" w:cs="Arial" w:eastAsia="Arial" w:hAnsi="Arial"/>
          <w:sz w:val="18"/>
          <w:szCs w:val="18"/>
          <w:color w:val="auto"/>
        </w:rPr>
        <w:t>which the Company recognized a total gain in the consolidated statements of income (loss) of $106.7 million and a total deferred gain of</w:t>
      </w:r>
    </w:p>
    <w:p>
      <w:pPr>
        <w:spacing w:after="0" w:line="235" w:lineRule="auto"/>
        <w:rPr>
          <w:sz w:val="20"/>
          <w:szCs w:val="20"/>
          <w:color w:val="auto"/>
        </w:rPr>
      </w:pPr>
      <w:r>
        <w:rPr>
          <w:rFonts w:ascii="Arial" w:cs="Arial" w:eastAsia="Arial" w:hAnsi="Arial"/>
          <w:sz w:val="18"/>
          <w:szCs w:val="18"/>
          <w:color w:val="auto"/>
        </w:rPr>
        <w:t>$107.8 million. The current and long-term portion of the deferred gain had been recorded in “Accrued expenses and other current liabilities” and</w:t>
      </w:r>
    </w:p>
    <w:p>
      <w:pPr>
        <w:spacing w:after="0" w:line="235" w:lineRule="auto"/>
        <w:rPr>
          <w:sz w:val="20"/>
          <w:szCs w:val="20"/>
          <w:color w:val="auto"/>
        </w:rPr>
      </w:pPr>
      <w:r>
        <w:rPr>
          <w:rFonts w:ascii="Arial" w:cs="Arial" w:eastAsia="Arial" w:hAnsi="Arial"/>
          <w:sz w:val="18"/>
          <w:szCs w:val="18"/>
          <w:color w:val="auto"/>
        </w:rPr>
        <w:t>“Deferred gain resulting from sale-leaseback transactions” on the consolidated balance sheet at December 31, 2018, respectively, and was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being recognized ratably over the minimum lease terms to which they relate, as an offset to rental expense in “Indirect, general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in the consolidated statements of income. Amortization of the deferred gain was $1.8 million for the three months</w:t>
      </w:r>
    </w:p>
    <w:p>
      <w:pPr>
        <w:spacing w:after="0" w:line="36"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ended September 28, 2018 and $5.4 million for the nine months ended September 28, 2018. The deferred gain balance of $ 53.3 million as of December 31, 2018 was recognized as an adjustment to beginning retained earnings net of a deferred tax asset adjustment of $0.7 million during January 2019 in connection with the adoption of the new leasing standard. See “Note 6 – Leases”.</w:t>
      </w:r>
    </w:p>
    <w:p>
      <w:pPr>
        <w:spacing w:after="0" w:line="28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w:t>
            </w:r>
          </w:p>
        </w:tc>
        <w:tc>
          <w:tcPr>
            <w:tcW w:w="2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CFF0FC"/>
            </w:tcBorders>
          </w:tcPr>
          <w:p>
            <w:pPr>
              <w:spacing w:after="0"/>
              <w:rPr>
                <w:sz w:val="18"/>
                <w:szCs w:val="18"/>
                <w:color w:val="auto"/>
              </w:rPr>
            </w:pPr>
          </w:p>
        </w:tc>
      </w:tr>
      <w:tr>
        <w:trPr>
          <w:trHeight w:val="210"/>
        </w:trPr>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Revolving credit facility</w:t>
            </w:r>
          </w:p>
        </w:tc>
        <w:tc>
          <w:tcPr>
            <w:tcW w:w="2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r>
      <w:tr>
        <w:trPr>
          <w:trHeight w:val="216"/>
        </w:trPr>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issuance costs</w:t>
            </w:r>
          </w:p>
        </w:tc>
        <w:tc>
          <w:tcPr>
            <w:tcW w:w="2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(694)</w:t>
            </w:r>
          </w:p>
        </w:tc>
      </w:tr>
      <w:tr>
        <w:trPr>
          <w:trHeight w:val="20"/>
        </w:trPr>
        <w:tc>
          <w:tcPr>
            <w:tcW w:w="4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Total long-term</w:t>
            </w:r>
          </w:p>
        </w:tc>
        <w:tc>
          <w:tcPr>
            <w:tcW w:w="2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429,164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249,306</w:t>
            </w:r>
          </w:p>
        </w:tc>
        <w:tc>
          <w:tcPr>
            <w:tcW w:w="10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November 2017, the Company entered into an amended and restated Credit Agreement. The Company incurred $2.0 million of</w:t>
      </w:r>
    </w:p>
    <w:p>
      <w:pPr>
        <w:spacing w:after="0" w:line="234" w:lineRule="auto"/>
        <w:rPr>
          <w:sz w:val="20"/>
          <w:szCs w:val="20"/>
          <w:color w:val="auto"/>
        </w:rPr>
      </w:pPr>
      <w:r>
        <w:rPr>
          <w:rFonts w:ascii="Arial" w:cs="Arial" w:eastAsia="Arial" w:hAnsi="Arial"/>
          <w:sz w:val="18"/>
          <w:szCs w:val="18"/>
          <w:color w:val="auto"/>
        </w:rPr>
        <w:t>costs in connection with this amendment. Under the agreement, the Company’s revolving credit facility was increased from $500 million to</w:t>
      </w:r>
    </w:p>
    <w:p>
      <w:pPr>
        <w:spacing w:after="0" w:line="235" w:lineRule="auto"/>
        <w:rPr>
          <w:sz w:val="20"/>
          <w:szCs w:val="20"/>
          <w:color w:val="auto"/>
        </w:rPr>
      </w:pPr>
      <w:r>
        <w:rPr>
          <w:rFonts w:ascii="Arial" w:cs="Arial" w:eastAsia="Arial" w:hAnsi="Arial"/>
          <w:sz w:val="18"/>
          <w:szCs w:val="18"/>
          <w:color w:val="auto"/>
        </w:rPr>
        <w:t>$550 million and the term of the agreement was extended through November 2022. The borrowings under the Credit Agreement bear interest,</w:t>
      </w:r>
    </w:p>
    <w:p>
      <w:pPr>
        <w:spacing w:after="0" w:line="235" w:lineRule="auto"/>
        <w:rPr>
          <w:sz w:val="20"/>
          <w:szCs w:val="20"/>
          <w:color w:val="auto"/>
        </w:rPr>
      </w:pPr>
      <w:r>
        <w:rPr>
          <w:rFonts w:ascii="Arial" w:cs="Arial" w:eastAsia="Arial" w:hAnsi="Arial"/>
          <w:sz w:val="18"/>
          <w:szCs w:val="18"/>
          <w:color w:val="auto"/>
        </w:rPr>
        <w:t>at the Company’s option, at either the Base Rate (as defined in the Credit Agreement), plus an applicable margin, or LIBOR plus an applicable</w:t>
      </w:r>
    </w:p>
    <w:p>
      <w:pPr>
        <w:spacing w:after="0" w:line="235" w:lineRule="auto"/>
        <w:rPr>
          <w:sz w:val="20"/>
          <w:szCs w:val="20"/>
          <w:color w:val="auto"/>
        </w:rPr>
      </w:pPr>
      <w:r>
        <w:rPr>
          <w:rFonts w:ascii="Arial" w:cs="Arial" w:eastAsia="Arial" w:hAnsi="Arial"/>
          <w:sz w:val="18"/>
          <w:szCs w:val="18"/>
          <w:color w:val="auto"/>
        </w:rPr>
        <w:t>margin. The applicable margin for Base Rate loans is a range of 0.125% to 1.00% and the applicable margin for LIBOR loans is a range of</w:t>
      </w:r>
    </w:p>
    <w:p>
      <w:pPr>
        <w:spacing w:after="0" w:line="235" w:lineRule="auto"/>
        <w:rPr>
          <w:sz w:val="20"/>
          <w:szCs w:val="20"/>
          <w:color w:val="auto"/>
        </w:rPr>
      </w:pPr>
      <w:r>
        <w:rPr>
          <w:rFonts w:ascii="Arial" w:cs="Arial" w:eastAsia="Arial" w:hAnsi="Arial"/>
          <w:sz w:val="18"/>
          <w:szCs w:val="18"/>
          <w:color w:val="auto"/>
        </w:rPr>
        <w:t>1.125% to 2.00%, both based on the leverage ratio of the Company at the end of each fiscal quarter. The rates at December 31, 2018 and</w:t>
      </w:r>
    </w:p>
    <w:p>
      <w:pPr>
        <w:spacing w:after="0" w:line="235" w:lineRule="auto"/>
        <w:rPr>
          <w:sz w:val="20"/>
          <w:szCs w:val="20"/>
          <w:color w:val="auto"/>
        </w:rPr>
      </w:pPr>
      <w:r>
        <w:rPr>
          <w:rFonts w:ascii="Arial" w:cs="Arial" w:eastAsia="Arial" w:hAnsi="Arial"/>
          <w:sz w:val="18"/>
          <w:szCs w:val="18"/>
          <w:color w:val="auto"/>
        </w:rPr>
        <w:t>September 30, 2019 were 4.253% and 3.350%, respectively. Borrowings under this Credit Agreement are guaranteed by certain of the</w:t>
      </w:r>
    </w:p>
    <w:p>
      <w:pPr>
        <w:spacing w:after="0" w:line="235" w:lineRule="auto"/>
        <w:rPr>
          <w:sz w:val="20"/>
          <w:szCs w:val="20"/>
          <w:color w:val="auto"/>
        </w:rPr>
      </w:pPr>
      <w:r>
        <w:rPr>
          <w:rFonts w:ascii="Arial" w:cs="Arial" w:eastAsia="Arial" w:hAnsi="Arial"/>
          <w:sz w:val="18"/>
          <w:szCs w:val="18"/>
          <w:color w:val="auto"/>
        </w:rPr>
        <w:t>Company’s operating subsidiaries. Letters of credit commitments outstanding under this agreement aggregated to $49.8 million and $45.2</w:t>
      </w:r>
    </w:p>
    <w:p>
      <w:pPr>
        <w:spacing w:after="0" w:line="235" w:lineRule="auto"/>
        <w:rPr>
          <w:sz w:val="20"/>
          <w:szCs w:val="20"/>
          <w:color w:val="auto"/>
        </w:rPr>
      </w:pPr>
      <w:r>
        <w:rPr>
          <w:rFonts w:ascii="Arial" w:cs="Arial" w:eastAsia="Arial" w:hAnsi="Arial"/>
          <w:sz w:val="18"/>
          <w:szCs w:val="18"/>
          <w:color w:val="auto"/>
        </w:rPr>
        <w:t>million at December 31, 2018 and September 30, 2019, respectively, which reduced borrowing limits available to the Company. Interest</w:t>
      </w:r>
    </w:p>
    <w:p>
      <w:pPr>
        <w:spacing w:after="0"/>
        <w:rPr>
          <w:sz w:val="20"/>
          <w:szCs w:val="20"/>
          <w:color w:val="auto"/>
        </w:rPr>
      </w:pPr>
      <w:r>
        <w:rPr>
          <w:rFonts w:ascii="Arial" w:cs="Arial" w:eastAsia="Arial" w:hAnsi="Arial"/>
          <w:sz w:val="18"/>
          <w:szCs w:val="18"/>
          <w:color w:val="auto"/>
        </w:rPr>
        <w:t>expense related to the credit agreement was $1.1 million and $6.4 million for the three and nine months ended September 30,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respectively, and for the three and nine months ended September 28, 2018 was $2.5 million and $3.5 million,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1" w:name="page22"/>
    <w:bookmarkEnd w:id="21"/>
    <w:p>
      <w:pPr>
        <w:ind w:right="300" w:firstLine="647"/>
        <w:spacing w:after="0" w:line="246"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repayable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3360" w:type="dxa"/>
            <w:vAlign w:val="bottom"/>
            <w:tcBorders>
              <w:bottom w:val="single" w:sz="8" w:color="CFF0FC"/>
            </w:tcBorders>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Debt Amount</w:t>
            </w:r>
          </w:p>
        </w:tc>
        <w:tc>
          <w:tcPr>
            <w:tcW w:w="26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Interest Rates</w:t>
            </w:r>
          </w:p>
        </w:tc>
        <w:tc>
          <w:tcPr>
            <w:tcW w:w="180" w:type="dxa"/>
            <w:vAlign w:val="bottom"/>
            <w:tcBorders>
              <w:bottom w:val="single" w:sz="8" w:color="CFF0FC"/>
            </w:tcBorders>
          </w:tcPr>
          <w:p>
            <w:pPr>
              <w:spacing w:after="0"/>
              <w:rPr>
                <w:sz w:val="14"/>
                <w:szCs w:val="14"/>
                <w:color w:val="auto"/>
              </w:rPr>
            </w:pPr>
          </w:p>
        </w:tc>
      </w:tr>
      <w:tr>
        <w:trPr>
          <w:trHeight w:val="216"/>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July 15, 2021</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4.44%</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80" w:type="dxa"/>
            <w:vAlign w:val="bottom"/>
            <w:gridSpan w:val="2"/>
          </w:tcPr>
          <w:p>
            <w:pPr>
              <w:ind w:left="640"/>
              <w:spacing w:after="0"/>
              <w:rPr>
                <w:sz w:val="20"/>
                <w:szCs w:val="20"/>
                <w:color w:val="auto"/>
              </w:rPr>
            </w:pPr>
            <w:r>
              <w:rPr>
                <w:rFonts w:ascii="Arial" w:cs="Arial" w:eastAsia="Arial" w:hAnsi="Arial"/>
                <w:sz w:val="18"/>
                <w:szCs w:val="18"/>
                <w:color w:val="auto"/>
              </w:rPr>
              <w:t>July 15, 2024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r>
      <w:tr>
        <w:trPr>
          <w:trHeight w:val="216"/>
        </w:trPr>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July 15, 2026</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9"/>
                <w:szCs w:val="19"/>
                <w:color w:val="auto"/>
              </w:rPr>
            </w:pPr>
          </w:p>
        </w:tc>
        <w:tc>
          <w:tcPr>
            <w:tcW w:w="1880" w:type="dxa"/>
            <w:vAlign w:val="bottom"/>
            <w:gridSpan w:val="2"/>
          </w:tcPr>
          <w:p>
            <w:pPr>
              <w:ind w:left="640"/>
              <w:spacing w:after="0"/>
              <w:rPr>
                <w:sz w:val="20"/>
                <w:szCs w:val="20"/>
                <w:color w:val="auto"/>
              </w:rPr>
            </w:pPr>
            <w:r>
              <w:rPr>
                <w:rFonts w:ascii="Arial" w:cs="Arial" w:eastAsia="Arial" w:hAnsi="Arial"/>
                <w:sz w:val="18"/>
                <w:szCs w:val="18"/>
                <w:color w:val="auto"/>
              </w:rPr>
              <w:t>July 15, 2029</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r>
    </w:tbl>
    <w:p>
      <w:pPr>
        <w:spacing w:after="0" w:line="229"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The Company incurred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$0.5 million of additional issuance costs. These costs are presented as a direct deduction from the debt on the face of the consolidated balance sheets. Interest expense related to the Senior Notes for both the three and nine months ended September 28, 2018 and September 30, 2019 was $3.1 million and $9.3 million, respectively. The amortization of debt issuance costs and interest expense are recorded in “Interest expense” on the consolidated statements of income. The Company made interest payments related to the Senior Notes for both the three and nine months ended September 28, 2018 and September 30, 2019 of $6.2 million and $12.4 million, respectively. Interest payable of $5.7 million and $2.6 million is recorded in “Accrued expenses and other current liabilities” on the consolidated balance sheets at December 31, 2018 and September 30, 2019, respectively, related to the Senior Notes.</w:t>
      </w:r>
    </w:p>
    <w:p>
      <w:pPr>
        <w:spacing w:after="0" w:line="207" w:lineRule="exact"/>
        <w:rPr>
          <w:sz w:val="20"/>
          <w:szCs w:val="20"/>
          <w:color w:val="auto"/>
        </w:rPr>
      </w:pPr>
    </w:p>
    <w:p>
      <w:pPr>
        <w:ind w:right="60" w:firstLine="647"/>
        <w:spacing w:after="0"/>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December 31, 2018 and September 30, 2019.</w:t>
      </w:r>
    </w:p>
    <w:p>
      <w:pPr>
        <w:spacing w:after="0" w:line="203" w:lineRule="exact"/>
        <w:rPr>
          <w:sz w:val="20"/>
          <w:szCs w:val="20"/>
          <w:color w:val="auto"/>
        </w:rPr>
      </w:pPr>
    </w:p>
    <w:p>
      <w:pPr>
        <w:ind w:right="100" w:firstLine="647"/>
        <w:spacing w:after="0"/>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$223.0 million and $220.6 million at December 31, 2018 and September 30, 2019, respectively.</w:t>
      </w:r>
    </w:p>
    <w:p>
      <w:pPr>
        <w:spacing w:after="0" w:line="203" w:lineRule="exact"/>
        <w:rPr>
          <w:sz w:val="20"/>
          <w:szCs w:val="20"/>
          <w:color w:val="auto"/>
        </w:rPr>
      </w:pPr>
    </w:p>
    <w:p>
      <w:pPr>
        <w:ind w:right="20" w:firstLine="647"/>
        <w:spacing w:after="0"/>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estimated the fair value (level 2) of its senior notes at September 30, 2019 approximates $269.3 million. See “Note 17 – Fair Value of Financial Instruments” for the definition of level 2 of the fair value hierarchy.</w:t>
      </w:r>
    </w:p>
    <w:p>
      <w:pPr>
        <w:spacing w:after="0" w:line="203" w:lineRule="exact"/>
        <w:rPr>
          <w:sz w:val="20"/>
          <w:szCs w:val="20"/>
          <w:color w:val="auto"/>
        </w:rPr>
      </w:pPr>
    </w:p>
    <w:p>
      <w:pPr>
        <w:ind w:right="260" w:firstLine="647"/>
        <w:spacing w:after="0"/>
        <w:rPr>
          <w:sz w:val="20"/>
          <w:szCs w:val="20"/>
          <w:color w:val="auto"/>
        </w:rPr>
      </w:pPr>
      <w:r>
        <w:rPr>
          <w:rFonts w:ascii="Arial" w:cs="Arial" w:eastAsia="Arial" w:hAnsi="Arial"/>
          <w:sz w:val="18"/>
          <w:szCs w:val="18"/>
          <w:color w:val="auto"/>
        </w:rPr>
        <w:t>In January 2019, the Company borrowed $150.0 million under our Term Loan Agreement to partially finance the OGSystems acquisition. On May 10, 2019, the Company used proceeds from its May 8, 2019 IPO to repay the $150.0 million outstanding balance under the Term Loan and this loan is now closed. Interest expense related to the term loan was $0 and $2.3 million for the three and nine months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2019, respectively.</w:t>
      </w:r>
    </w:p>
    <w:p>
      <w:pPr>
        <w:spacing w:after="0" w:line="225" w:lineRule="exact"/>
        <w:rPr>
          <w:sz w:val="20"/>
          <w:szCs w:val="20"/>
          <w:color w:val="auto"/>
        </w:rPr>
      </w:pPr>
    </w:p>
    <w:p>
      <w:pPr>
        <w:jc w:val="both"/>
        <w:ind w:right="20" w:firstLine="647"/>
        <w:spacing w:after="0"/>
        <w:rPr>
          <w:sz w:val="20"/>
          <w:szCs w:val="20"/>
          <w:color w:val="auto"/>
        </w:rPr>
      </w:pPr>
      <w:r>
        <w:rPr>
          <w:rFonts w:ascii="Arial" w:cs="Arial" w:eastAsia="Arial" w:hAnsi="Arial"/>
          <w:sz w:val="18"/>
          <w:szCs w:val="18"/>
          <w:color w:val="auto"/>
        </w:rPr>
        <w:t>Amortization of debt issuance costs for all the Company’s debt and credit facilities for the three months ended September 28, 2018 and September 30, 2019 was $0.2 million and $0.2 million, respectively and $0.5 million and $0.8 million for the nine months ended September 28, 2018 and September 30, 2019, respectively.</w:t>
      </w:r>
    </w:p>
    <w:p>
      <w:pPr>
        <w:spacing w:after="0" w:line="289"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jc w:val="both"/>
        <w:ind w:firstLine="690"/>
        <w:spacing w:after="0" w:line="239" w:lineRule="auto"/>
        <w:rPr>
          <w:sz w:val="20"/>
          <w:szCs w:val="20"/>
          <w:color w:val="auto"/>
        </w:rPr>
      </w:pPr>
      <w:r>
        <w:rPr>
          <w:rFonts w:ascii="Arial" w:cs="Arial" w:eastAsia="Arial" w:hAnsi="Arial"/>
          <w:sz w:val="18"/>
          <w:szCs w:val="18"/>
          <w:color w:val="auto"/>
        </w:rPr>
        <w:t>Historically, the Company had elected to be taxed under the provisions of Subchapter “S” of the Internal Revenue Code for federal tax purposes. As a result, income had not been subject to U.S. federal income taxes or state income taxes in those states where the “S” Corporation status is recognized. Therefore, previously, no provision or liability for federal or state income tax had been provided in the consolidated financial statements except for those states where the “S” Corporation status was not recognized, or where states imposed a tax</w:t>
      </w:r>
    </w:p>
    <w:p>
      <w:pPr>
        <w:spacing w:after="0" w:line="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 Corporations. The provision for income tax in the historical periods prior to the IPO consists of these state taxes and taxes from certain foreign taxes where the Company is subject to tax.</w:t>
      </w:r>
    </w:p>
    <w:p>
      <w:pPr>
        <w:spacing w:after="0" w:line="75" w:lineRule="exact"/>
        <w:rPr>
          <w:sz w:val="20"/>
          <w:szCs w:val="20"/>
          <w:color w:val="auto"/>
        </w:rPr>
      </w:pPr>
    </w:p>
    <w:p>
      <w:pPr>
        <w:jc w:val="both"/>
        <w:ind w:firstLine="690"/>
        <w:spacing w:after="0" w:line="238" w:lineRule="auto"/>
        <w:rPr>
          <w:sz w:val="20"/>
          <w:szCs w:val="20"/>
          <w:color w:val="auto"/>
        </w:rPr>
      </w:pPr>
      <w:r>
        <w:rPr>
          <w:rFonts w:ascii="Arial" w:cs="Arial" w:eastAsia="Arial" w:hAnsi="Arial"/>
          <w:sz w:val="18"/>
          <w:szCs w:val="18"/>
          <w:color w:val="auto"/>
        </w:rPr>
        <w:t>In connection with the Company’s IPO on May 8, 2019, the “S” Corporation status was terminated, and the Company is now treated as a “C” Corporation under the Code. The termination of the “S” Corporation election has had a material impact on the Company’s results of operations, financial condition, and cash flows as reflected in the June 30 and September 30, 2019 consolidated financial statements. The effective income tax rate has increased and net income has decreased as compared to the Company’s “S” Corporation tax years, since the Company is now subject to both U.S. federal and state corporate income taxes on its earnings.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2" w:name="page23"/>
    <w:bookmarkEnd w:id="22"/>
    <w:p>
      <w:pPr>
        <w:jc w:val="both"/>
        <w:ind w:firstLine="690"/>
        <w:spacing w:after="0" w:line="237" w:lineRule="auto"/>
        <w:rPr>
          <w:sz w:val="20"/>
          <w:szCs w:val="20"/>
          <w:color w:val="auto"/>
        </w:rPr>
      </w:pPr>
      <w:r>
        <w:rPr>
          <w:rFonts w:ascii="Arial" w:cs="Arial" w:eastAsia="Arial" w:hAnsi="Arial"/>
          <w:sz w:val="18"/>
          <w:szCs w:val="18"/>
          <w:color w:val="auto"/>
        </w:rPr>
        <w:t>For US corporate income tax purposes, the Company will apportion its 2019 taxable income ratably between the “S” Corporation and “C” Corporation periods, as allowed by law. This allocation of income will effectively result in a blended income tax rate for the 2019 year, as only the C corporation earnings will be subject to both U.S. federal and state corporate income tax while the “S” Corporation earnings will be subject to tax in those states that tax “S” Corporations or do not recognize “S” Corporation status. The Company has estimated our 2019 effective tax benefit rate to be (69.69)%. The most significant item contributing to the difference between the effective rate and the statutory U.S. Federal income tax rate of 21.0% for the quarter ended September 30, 2019 is the tax impact of updating the revaluation of deferred tax assets and liabilities, resulting from the conversion from an “S” to a “C” Corporation.</w:t>
      </w:r>
    </w:p>
    <w:p>
      <w:pPr>
        <w:spacing w:after="0" w:line="122" w:lineRule="exact"/>
        <w:rPr>
          <w:sz w:val="20"/>
          <w:szCs w:val="20"/>
          <w:color w:val="auto"/>
        </w:rPr>
      </w:pPr>
    </w:p>
    <w:p>
      <w:pPr>
        <w:jc w:val="both"/>
        <w:ind w:firstLine="866"/>
        <w:spacing w:after="0" w:line="239" w:lineRule="auto"/>
        <w:rPr>
          <w:sz w:val="20"/>
          <w:szCs w:val="20"/>
          <w:color w:val="auto"/>
        </w:rPr>
      </w:pPr>
      <w:r>
        <w:rPr>
          <w:rFonts w:ascii="Arial" w:cs="Arial" w:eastAsia="Arial" w:hAnsi="Arial"/>
          <w:sz w:val="18"/>
          <w:szCs w:val="18"/>
          <w:color w:val="auto"/>
        </w:rPr>
        <w:t>The termination for the “S” Corporation status has been treated as a change in tax status under Accounting Standards Codification 740, “Income Taxes”. These rules require that the deferred tax effects of a change in tax status be recorded to income from continuing operations on the date the “S” Corporation status terminates. During the quarter ended June 30, 2019 the Company recorded a discrete deferred tax benefit of $ 56 million for the estimated effect of the change in tax status, relating to the recognition of net deferred tax assets for temporary differences in existence on the date of conversion to a “C” Corporation. During the quarter ended September 30, 2019, the Company has updated the estimate to $85 million, representing an increase in expected benefit of $29 million. The update primarily relates to a change in the forecasted temporary differences as of the conversion, changes in deferred tax assets resulting from 2018 tax return-to-provision adjustments, and changes in tax accounting methods that were made with the 2018 tax return during the third quarter. This amount is subject to additional revision based upon actual results for the current year. The $29 million increase was recorded as a discrete tax benefit in the three months ended September 30, 2019.</w:t>
      </w:r>
    </w:p>
    <w:p>
      <w:pPr>
        <w:spacing w:after="0" w:line="113" w:lineRule="exact"/>
        <w:rPr>
          <w:sz w:val="20"/>
          <w:szCs w:val="20"/>
          <w:color w:val="auto"/>
        </w:rPr>
      </w:pPr>
    </w:p>
    <w:p>
      <w:pPr>
        <w:jc w:val="both"/>
        <w:ind w:firstLine="690"/>
        <w:spacing w:after="0" w:line="236" w:lineRule="auto"/>
        <w:rPr>
          <w:sz w:val="20"/>
          <w:szCs w:val="20"/>
          <w:color w:val="auto"/>
        </w:rPr>
      </w:pPr>
      <w:r>
        <w:rPr>
          <w:rFonts w:ascii="Arial" w:cs="Arial" w:eastAsia="Arial" w:hAnsi="Arial"/>
          <w:sz w:val="18"/>
          <w:szCs w:val="18"/>
          <w:color w:val="auto"/>
        </w:rPr>
        <w:t>The US government enacted comprehensive tax legislation on December 22, 2017, which is commonly referred to as the Tax Cuts and Jobs Act ("TCJA"). The TCJA significantly revised the U.S. corporate income tax regime by, among other things, lowering the U.S. corporate tax rate from 35% to 21% effective January 1, 2018. The TCJA also repealed the deduction for domestic production activities, limited the deductibility of certain executive compensation, and implemented a modified territorial tax system with the introduction of the Global Intangible Low-Taxed Income (“GILTI”) tax rules. The TCJA also imposes a one-time transition tax on deemed repatriation of historical earnings of foreign subsidiaries. As a Subchapter “S” corporation the TCJA had a limited effect on the Company’s 2018 effective tax rate. The Company calculated that as a “C” corporation in 2019, the provisions of TCJA, except for the statutory rate, will not have a material impact on the income tax provision. Under GAAP, the Company is allowed to make an accounting policy election of either: (i) treating taxes due on future U.S. inclusions in taxable income related to GILTI as a current-period expense when incurred (the “period cost ” method); or (ii) factoring such amounts into the Company’s measurement of its deferred taxes (the “deferred” method). For taxable income inclusions due to the GILTI tax rules, the Company has elected the period cost method and has included the impact in the estimated annual effective tax rate as of September 30, 2019.</w:t>
      </w:r>
    </w:p>
    <w:p>
      <w:pPr>
        <w:spacing w:after="0" w:line="97" w:lineRule="exact"/>
        <w:rPr>
          <w:sz w:val="20"/>
          <w:szCs w:val="20"/>
          <w:color w:val="auto"/>
        </w:rPr>
      </w:pPr>
    </w:p>
    <w:p>
      <w:pPr>
        <w:jc w:val="both"/>
        <w:ind w:firstLine="690"/>
        <w:spacing w:after="0" w:line="237" w:lineRule="auto"/>
        <w:rPr>
          <w:sz w:val="20"/>
          <w:szCs w:val="20"/>
          <w:color w:val="auto"/>
        </w:rPr>
      </w:pPr>
      <w:r>
        <w:rPr>
          <w:rFonts w:ascii="Arial" w:cs="Arial" w:eastAsia="Arial" w:hAnsi="Arial"/>
          <w:sz w:val="18"/>
          <w:szCs w:val="18"/>
          <w:color w:val="auto"/>
        </w:rPr>
        <w:t>As of September 30, 2019, the Company’s deferred tax assets included a valuation allowance of $18.1 million primarily related to foreign net operating loss carryforwards, foreign tax credit carryforwards, and capital losses that the Company determined are not more likely than not to be realized. The factors used to assess the likelihood of realization were the past performance of the related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200" w:lineRule="exact"/>
        <w:rPr>
          <w:sz w:val="20"/>
          <w:szCs w:val="20"/>
          <w:color w:val="auto"/>
        </w:rPr>
      </w:pPr>
    </w:p>
    <w:p>
      <w:pPr>
        <w:spacing w:after="0" w:line="248" w:lineRule="exact"/>
        <w:rPr>
          <w:sz w:val="20"/>
          <w:szCs w:val="20"/>
          <w:color w:val="auto"/>
        </w:rPr>
      </w:pPr>
    </w:p>
    <w:p>
      <w:pPr>
        <w:jc w:val="both"/>
        <w:ind w:firstLine="690"/>
        <w:spacing w:after="0" w:line="239" w:lineRule="auto"/>
        <w:rPr>
          <w:sz w:val="20"/>
          <w:szCs w:val="20"/>
          <w:color w:val="auto"/>
        </w:rPr>
      </w:pPr>
      <w:r>
        <w:rPr>
          <w:rFonts w:ascii="Arial" w:cs="Arial" w:eastAsia="Arial" w:hAnsi="Arial"/>
          <w:sz w:val="18"/>
          <w:szCs w:val="18"/>
          <w:color w:val="auto"/>
        </w:rPr>
        <w:t>As of December 31,2018 and September 30, 2019, the liability for income taxes associated with uncertain tax positions was $9.9 million and $14.6 million, respectively. Management believes it is unlikely that the liability for unrecognized tax benefits related to existing matters would increase or decrease within the next 12 months by a material amount. The Company is routinely subject to tax audit in several jurisdictions. Although adjustments could result from these audits, the Company is not aware of any issue that would materially change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liability for uncertain tax positions.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3" w:name="page24"/>
    <w:bookmarkEnd w:id="23"/>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6"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25" w:lineRule="exact"/>
        <w:rPr>
          <w:sz w:val="20"/>
          <w:szCs w:val="20"/>
          <w:color w:val="auto"/>
        </w:rPr>
      </w:pPr>
    </w:p>
    <w:p>
      <w:pPr>
        <w:ind w:right="140" w:firstLine="701"/>
        <w:spacing w:after="0" w:line="238" w:lineRule="auto"/>
        <w:rPr>
          <w:sz w:val="20"/>
          <w:szCs w:val="20"/>
          <w:color w:val="auto"/>
        </w:rPr>
      </w:pPr>
      <w:r>
        <w:rPr>
          <w:rFonts w:ascii="Arial" w:cs="Arial" w:eastAsia="Arial" w:hAnsi="Arial"/>
          <w:sz w:val="18"/>
          <w:szCs w:val="18"/>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the Company is currently disputing. In addition to filing a complaint for breach of contract and wrongful termination, the Company has denied the allegations raised by the JPB and, accordingly, filed affirmative defenses. The Company is currently defending against the JPB’s claims and the parties are still engaged in discovery. The Company also has a professional liability insurance policy to the extent the JPB proves any errors or omissions occurred. At this time, we are unable to determine the probability of the outcome of the litigation or determine a potential range of loss, if any. The Company has also filed a third-party claim against a subcontractor for indemnification in connection with this matter.</w:t>
      </w:r>
    </w:p>
    <w:p>
      <w:pPr>
        <w:spacing w:after="0" w:line="205"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United States government did not intervene in this matter as it is allowed to do so under the statute. The Company filed a motion to dismiss the lawsuit on the grounds that the Relator did not meet the applicable statute of limitations. The District Court granted the motion to dismiss. The Relator’s attorney appealed the decision to the United States Court of Appeals of the Eleventh Circuit, which ultimately ruled in favor of the Relator, and the Company petitioned the United States Supreme Court to review the decision. The Supreme Court reviewed the decision and accepted the position of the Relator. The case was thus remanded to the United States District Court for the Northern District of Alabama. The defendants, including Parsons, will file appropriate pleadings opposing the allegations. At this time, we are unable to determine the probability of the outcome of the litigation or determine a potential range of loss, if any.</w:t>
      </w:r>
    </w:p>
    <w:p>
      <w:pPr>
        <w:spacing w:after="0" w:line="207" w:lineRule="exact"/>
        <w:rPr>
          <w:sz w:val="20"/>
          <w:szCs w:val="20"/>
          <w:color w:val="auto"/>
        </w:rPr>
      </w:pPr>
    </w:p>
    <w:p>
      <w:pPr>
        <w:ind w:right="60" w:firstLine="647"/>
        <w:spacing w:after="0" w:line="236"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2010 have been closed, and years thereafter remain open.</w:t>
      </w:r>
    </w:p>
    <w:p>
      <w:pPr>
        <w:spacing w:after="0" w:line="208" w:lineRule="exact"/>
        <w:rPr>
          <w:sz w:val="20"/>
          <w:szCs w:val="20"/>
          <w:color w:val="auto"/>
        </w:rPr>
      </w:pPr>
    </w:p>
    <w:p>
      <w:pPr>
        <w:ind w:right="180" w:firstLine="647"/>
        <w:spacing w:after="0" w:line="246"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83"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Other Benefit Plans</w:t>
      </w:r>
    </w:p>
    <w:p>
      <w:pPr>
        <w:spacing w:after="0" w:line="126" w:lineRule="exact"/>
        <w:rPr>
          <w:sz w:val="20"/>
          <w:szCs w:val="20"/>
          <w:color w:val="auto"/>
        </w:rPr>
      </w:pPr>
    </w:p>
    <w:p>
      <w:pPr>
        <w:ind w:right="120" w:firstLine="647"/>
        <w:spacing w:after="0" w:line="238" w:lineRule="auto"/>
        <w:rPr>
          <w:sz w:val="20"/>
          <w:szCs w:val="20"/>
          <w:color w:val="auto"/>
        </w:rPr>
      </w:pPr>
      <w:r>
        <w:rPr>
          <w:rFonts w:ascii="Arial" w:cs="Arial" w:eastAsia="Arial" w:hAnsi="Arial"/>
          <w:sz w:val="18"/>
          <w:szCs w:val="18"/>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six years of credited service, or in the event(s) of reaching age 65, death or disability while an active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24" w:name="page25"/>
    <w:bookmarkEnd w:id="24"/>
    <w:p>
      <w:pPr>
        <w:ind w:right="60"/>
        <w:spacing w:after="0" w:line="246" w:lineRule="auto"/>
        <w:rPr>
          <w:sz w:val="20"/>
          <w:szCs w:val="20"/>
          <w:color w:val="auto"/>
        </w:rPr>
      </w:pPr>
      <w:r>
        <w:rPr>
          <w:rFonts w:ascii="Arial" w:cs="Arial" w:eastAsia="Arial" w:hAnsi="Arial"/>
          <w:sz w:val="18"/>
          <w:szCs w:val="18"/>
          <w:color w:val="auto"/>
        </w:rPr>
        <w:t>employee of the Company. All of the Company’s common stock was acquired by the ESOP in conjunction with a reorganization in 1984, which was financed by the Company.</w:t>
      </w:r>
    </w:p>
    <w:p>
      <w:pPr>
        <w:spacing w:after="0" w:line="197" w:lineRule="exact"/>
        <w:rPr>
          <w:sz w:val="20"/>
          <w:szCs w:val="20"/>
          <w:color w:val="auto"/>
        </w:rPr>
      </w:pPr>
    </w:p>
    <w:p>
      <w:pPr>
        <w:ind w:right="540" w:firstLine="647"/>
        <w:spacing w:after="0" w:line="246" w:lineRule="auto"/>
        <w:rPr>
          <w:sz w:val="20"/>
          <w:szCs w:val="20"/>
          <w:color w:val="auto"/>
        </w:rPr>
      </w:pPr>
      <w:r>
        <w:rPr>
          <w:rFonts w:ascii="Arial" w:cs="Arial" w:eastAsia="Arial" w:hAnsi="Arial"/>
          <w:sz w:val="18"/>
          <w:szCs w:val="18"/>
          <w:color w:val="auto"/>
        </w:rPr>
        <w:t>Upon retirement, death, termination due to permanent disability, a severe financial hardship, conflict of interest or the exercise of diversification rights, participants’ interests in their ESOP accounts are redeemable at the current price per share of the stock.</w:t>
      </w:r>
    </w:p>
    <w:p>
      <w:pPr>
        <w:spacing w:after="0" w:line="197" w:lineRule="exact"/>
        <w:rPr>
          <w:sz w:val="20"/>
          <w:szCs w:val="20"/>
          <w:color w:val="auto"/>
        </w:rPr>
      </w:pPr>
    </w:p>
    <w:p>
      <w:pPr>
        <w:ind w:right="40" w:firstLine="647"/>
        <w:spacing w:after="0" w:line="236" w:lineRule="auto"/>
        <w:rPr>
          <w:sz w:val="20"/>
          <w:szCs w:val="20"/>
          <w:color w:val="auto"/>
        </w:rPr>
      </w:pPr>
      <w:r>
        <w:rPr>
          <w:rFonts w:ascii="Arial" w:cs="Arial" w:eastAsia="Arial" w:hAnsi="Arial"/>
          <w:sz w:val="18"/>
          <w:szCs w:val="18"/>
          <w:color w:val="auto"/>
        </w:rPr>
        <w:t>There is a lock-up agreement in place through November 3, 2019 affecting the ability of the ESOP Trustee to trade shares of the Company’s stock. During the lock-up period, the Trustee will redeem eligible participants’ interests in their ESOP accounts for cash, funded by the May 10, 2019 IPO Dividend described below. If that cash is exhausted before the end of the lock-up period, participants will put their shares to the Company which will redeem them for cash. Upon the expiration of the lock-up period, all shares held by the ESOP will be redeemable by participants in shares of the Company’s stock once vesting and eligibility requirements have been met. The Company presents all shares held by the ESOP as temporary equity on the consolidated balance sheets at their redemption value. The Company elected the policy to adjust the temporary equity balance to the maximum redemption amount at each balance sheet date for units that are not currently redeemable. Accordingly, at each balance sheet date, the Company will adjust the temporary equity balance to its maximum redemption amount with a corresponding offset to retained earnings.</w:t>
      </w:r>
    </w:p>
    <w:p>
      <w:pPr>
        <w:spacing w:after="0" w:line="207" w:lineRule="exact"/>
        <w:rPr>
          <w:sz w:val="20"/>
          <w:szCs w:val="20"/>
          <w:color w:val="auto"/>
        </w:rPr>
      </w:pPr>
    </w:p>
    <w:p>
      <w:pPr>
        <w:ind w:right="60" w:firstLine="647"/>
        <w:spacing w:after="0" w:line="257" w:lineRule="auto"/>
        <w:rPr>
          <w:sz w:val="20"/>
          <w:szCs w:val="20"/>
          <w:color w:val="auto"/>
        </w:rPr>
      </w:pPr>
      <w:r>
        <w:rPr>
          <w:rFonts w:ascii="Arial" w:cs="Arial" w:eastAsia="Arial" w:hAnsi="Arial"/>
          <w:sz w:val="17"/>
          <w:szCs w:val="17"/>
          <w:color w:val="auto"/>
        </w:rPr>
        <w:t>Total ESOP contribution expense was $11.4 million and $ 12.3 million for the three months ended September 28, 2018 and September 30, 2019, respectively, and $ 34.1 million and $36.8 million for the nine months ended September 28, 2018 and September 30, 2019, respectively. The expense is recorded in “Direct costs of contracts” and “Indirect, general and administrative expense” in the consolidated statements of income. The fiscal 2019 ESOP contribution has not yet been made. The amount is currently included in accrued liabilities.</w:t>
      </w:r>
    </w:p>
    <w:p>
      <w:pPr>
        <w:spacing w:after="0" w:line="189"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At December 31, 2018 and September 30, 2019, 78,172,809 shares and 78,138,602 shares of the Company’s stock were held by the ESOP which the Company recorded at their aggregate redemption value of $1.9 billion and $2.6 billion, respectively. 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a common stock dividend in a ratio of two shares of common stock for every one share of common stock then held by the Company’s shareholder (the “Stock Dividend”). The record date of the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 During the year ended December 31, 2018, the Company did not declare any dividends. Please see the Company’s Form S-1/A, filed April 29, 2019, for a further discussion of the Company’s ESOP.</w:t>
      </w:r>
    </w:p>
    <w:p>
      <w:pPr>
        <w:spacing w:after="0" w:line="207" w:lineRule="exact"/>
        <w:rPr>
          <w:sz w:val="20"/>
          <w:szCs w:val="20"/>
          <w:color w:val="auto"/>
        </w:rPr>
      </w:pPr>
    </w:p>
    <w:p>
      <w:pPr>
        <w:ind w:right="240" w:firstLine="647"/>
        <w:spacing w:after="0" w:line="239" w:lineRule="auto"/>
        <w:rPr>
          <w:sz w:val="20"/>
          <w:szCs w:val="20"/>
          <w:color w:val="auto"/>
        </w:rPr>
      </w:pPr>
      <w:r>
        <w:rPr>
          <w:rFonts w:ascii="Arial" w:cs="Arial" w:eastAsia="Arial" w:hAnsi="Arial"/>
          <w:sz w:val="18"/>
          <w:szCs w:val="18"/>
          <w:color w:val="auto"/>
        </w:rPr>
        <w:t>As part of an acquisition in 2014, the Company acquired a defined contribution pension plan, a defined benefit pension plan, and supplemental retirement plan. For the defined contribution pension plan, the Company contributes a base amount plus an additional amount based upon a predetermined formula. At December 31, 2018 and September 30, 2019, the defined benefit pension plan was in a net asset position of $1.7 million and $1.7 million, respectively, which is recorded in “Other noncurrent assets” on the consolidated balance sheets.</w:t>
      </w:r>
    </w:p>
    <w:p>
      <w:pPr>
        <w:spacing w:after="0" w:line="288"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26" w:lineRule="exact"/>
        <w:rPr>
          <w:sz w:val="20"/>
          <w:szCs w:val="20"/>
          <w:color w:val="auto"/>
        </w:rPr>
      </w:pPr>
    </w:p>
    <w:p>
      <w:pPr>
        <w:ind w:right="240" w:firstLine="647"/>
        <w:spacing w:after="0"/>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203" w:lineRule="exact"/>
        <w:rPr>
          <w:sz w:val="20"/>
          <w:szCs w:val="20"/>
          <w:color w:val="auto"/>
        </w:rPr>
      </w:pPr>
    </w:p>
    <w:p>
      <w:pPr>
        <w:ind w:right="20" w:firstLine="647"/>
        <w:spacing w:after="0" w:line="239"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202" w:lineRule="exact"/>
        <w:rPr>
          <w:sz w:val="20"/>
          <w:szCs w:val="20"/>
          <w:color w:val="auto"/>
        </w:rPr>
      </w:pPr>
    </w:p>
    <w:p>
      <w:pPr>
        <w:jc w:val="both"/>
        <w:ind w:right="580" w:firstLine="647"/>
        <w:spacing w:after="0"/>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25" w:name="page26"/>
    <w:bookmarkEnd w:id="25"/>
    <w:p>
      <w:pPr>
        <w:ind w:right="940"/>
        <w:spacing w:after="0" w:line="246" w:lineRule="auto"/>
        <w:rPr>
          <w:sz w:val="20"/>
          <w:szCs w:val="20"/>
          <w:color w:val="auto"/>
        </w:rPr>
      </w:pPr>
      <w:r>
        <w:rPr>
          <w:rFonts w:ascii="Arial" w:cs="Arial" w:eastAsia="Arial" w:hAnsi="Arial"/>
          <w:sz w:val="18"/>
          <w:szCs w:val="18"/>
          <w:color w:val="auto"/>
        </w:rPr>
        <w:t>are either not VIEs and the Company holds a minority voting interest, or because they are VIEs and the Company is not the primary beneficiary.</w:t>
      </w:r>
    </w:p>
    <w:p>
      <w:pPr>
        <w:spacing w:after="0" w:line="197" w:lineRule="exact"/>
        <w:rPr>
          <w:sz w:val="20"/>
          <w:szCs w:val="20"/>
          <w:color w:val="auto"/>
        </w:rPr>
      </w:pPr>
    </w:p>
    <w:p>
      <w:pPr>
        <w:ind w:right="240" w:firstLine="647"/>
        <w:spacing w:after="0" w:line="246"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97" w:lineRule="exact"/>
        <w:rPr>
          <w:sz w:val="20"/>
          <w:szCs w:val="20"/>
          <w:color w:val="auto"/>
        </w:rPr>
      </w:pPr>
    </w:p>
    <w:p>
      <w:pPr>
        <w:ind w:right="400" w:firstLine="647"/>
        <w:spacing w:after="0" w:line="246" w:lineRule="auto"/>
        <w:rPr>
          <w:sz w:val="20"/>
          <w:szCs w:val="20"/>
          <w:color w:val="auto"/>
        </w:rPr>
      </w:pPr>
      <w:r>
        <w:rPr>
          <w:rFonts w:ascii="Arial" w:cs="Arial" w:eastAsia="Arial" w:hAnsi="Arial"/>
          <w:sz w:val="18"/>
          <w:szCs w:val="18"/>
          <w:color w:val="auto"/>
        </w:rPr>
        <w:t>Letters of credit outstanding described in “Note 11 – Debt and Credit Facilities” that relate to project ventures are $76.8 million and $72.4 million at December 31, 2018 and September 30, 2019, respectively.</w:t>
      </w:r>
    </w:p>
    <w:p>
      <w:pPr>
        <w:spacing w:after="0" w:line="197" w:lineRule="exact"/>
        <w:rPr>
          <w:sz w:val="20"/>
          <w:szCs w:val="20"/>
          <w:color w:val="auto"/>
        </w:rPr>
      </w:pPr>
    </w:p>
    <w:p>
      <w:pPr>
        <w:ind w:firstLine="647"/>
        <w:spacing w:after="0"/>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26" w:lineRule="exact"/>
        <w:rPr>
          <w:sz w:val="20"/>
          <w:szCs w:val="20"/>
          <w:color w:val="auto"/>
        </w:rPr>
      </w:pPr>
    </w:p>
    <w:p>
      <w:pPr>
        <w:ind w:right="540" w:firstLine="647"/>
        <w:spacing w:after="0" w:line="246"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2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78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FF0FC"/>
            </w:tcBorders>
            <w:gridSpan w:val="2"/>
          </w:tcPr>
          <w:p>
            <w:pPr>
              <w:spacing w:after="0"/>
              <w:rPr>
                <w:sz w:val="15"/>
                <w:szCs w:val="15"/>
                <w:color w:val="auto"/>
              </w:rPr>
            </w:pPr>
          </w:p>
        </w:tc>
      </w:tr>
      <w:tr>
        <w:trPr>
          <w:trHeight w:val="21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287,227</w:t>
            </w:r>
          </w:p>
        </w:tc>
        <w:tc>
          <w:tcPr>
            <w:tcW w:w="580" w:type="dxa"/>
            <w:vAlign w:val="bottom"/>
            <w:gridSpan w:val="3"/>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254,204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ind w:left="200"/>
              <w:spacing w:after="0"/>
              <w:rPr>
                <w:sz w:val="20"/>
                <w:szCs w:val="20"/>
                <w:color w:val="auto"/>
              </w:rPr>
            </w:pPr>
            <w:r>
              <w:rPr>
                <w:rFonts w:ascii="Arial" w:cs="Arial" w:eastAsia="Arial" w:hAnsi="Arial"/>
                <w:sz w:val="18"/>
                <w:szCs w:val="18"/>
                <w:color w:val="auto"/>
              </w:rPr>
              <w:t>289,916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257,040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199,833</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198,079</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ind w:left="200"/>
              <w:spacing w:after="0"/>
              <w:rPr>
                <w:sz w:val="20"/>
                <w:szCs w:val="20"/>
                <w:color w:val="auto"/>
              </w:rPr>
            </w:pPr>
            <w:r>
              <w:rPr>
                <w:rFonts w:ascii="Arial" w:cs="Arial" w:eastAsia="Arial" w:hAnsi="Arial"/>
                <w:sz w:val="18"/>
                <w:szCs w:val="18"/>
                <w:color w:val="auto"/>
              </w:rPr>
              <w:t>199,833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198,079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422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90,083</w:t>
            </w:r>
          </w:p>
        </w:tc>
        <w:tc>
          <w:tcPr>
            <w:tcW w:w="58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r>
      <w:tr>
        <w:trPr>
          <w:trHeight w:val="156"/>
        </w:trPr>
        <w:tc>
          <w:tcPr>
            <w:tcW w:w="4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58"/>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8"/>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ind w:right="28"/>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22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r>
      <w:tr>
        <w:trPr>
          <w:trHeight w:val="21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126,480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117,611</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413,548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341,719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116,468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108,839</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262,146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322,826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8,772</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151,402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4,481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10,316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29" w:lineRule="exact"/>
        <w:rPr>
          <w:sz w:val="20"/>
          <w:szCs w:val="20"/>
          <w:color w:val="auto"/>
        </w:rPr>
      </w:pPr>
    </w:p>
    <w:p>
      <w:pPr>
        <w:ind w:right="480" w:firstLine="647"/>
        <w:spacing w:after="0" w:line="246"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26" w:lineRule="exact"/>
        <w:rPr>
          <w:sz w:val="20"/>
          <w:szCs w:val="20"/>
          <w:color w:val="auto"/>
        </w:rPr>
      </w:pPr>
    </w:p>
    <w:p>
      <w:pPr>
        <w:ind w:right="40" w:firstLine="647"/>
        <w:spacing w:after="0" w:line="239"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202" w:lineRule="exact"/>
        <w:rPr>
          <w:sz w:val="20"/>
          <w:szCs w:val="20"/>
          <w:color w:val="auto"/>
        </w:rPr>
      </w:pPr>
    </w:p>
    <w:p>
      <w:pPr>
        <w:ind w:right="380" w:firstLine="647"/>
        <w:spacing w:after="0" w:line="246"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26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CFF0F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707,457</w:t>
            </w:r>
          </w:p>
        </w:tc>
        <w:tc>
          <w:tcPr>
            <w:tcW w:w="5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778,876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876,385</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956,367</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1,583,842</w:t>
            </w:r>
          </w:p>
        </w:tc>
        <w:tc>
          <w:tcPr>
            <w:tcW w:w="2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1,735,243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560,306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625,949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813,269</w:t>
            </w:r>
          </w:p>
        </w:tc>
        <w:tc>
          <w:tcPr>
            <w:tcW w:w="2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895,514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1,373,575</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1,521,463</w:t>
            </w: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210,267</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213,780</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4"/>
            <w:vMerge w:val="restart"/>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gridSpan w:val="4"/>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63,560</w:t>
            </w:r>
          </w:p>
        </w:tc>
        <w:tc>
          <w:tcPr>
            <w:tcW w:w="5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58"/>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88"/>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8"/>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26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482,634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474,600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1,234,946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1,225,284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462,042</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452,001</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1,186,184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1,166,008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22,599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48,762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59,276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12,707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25,577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647"/>
        <w:spacing w:after="0"/>
        <w:rPr>
          <w:sz w:val="20"/>
          <w:szCs w:val="20"/>
          <w:color w:val="auto"/>
        </w:rPr>
      </w:pPr>
      <w:r>
        <w:rPr>
          <w:rFonts w:ascii="Arial" w:cs="Arial" w:eastAsia="Arial" w:hAnsi="Arial"/>
          <w:sz w:val="18"/>
          <w:szCs w:val="18"/>
          <w:color w:val="auto"/>
        </w:rPr>
        <w:t>The Company received net distributions from (made contributions to) its unconsolidated joint ventures for the three months ended September 28, 2018 and September 30, 2019 of $20.1 million and $13.7 million, respectively, and $28.6 million and $28.0 million for the nine months ended September 28, 2018 and September 30, 2019, respectively.</w:t>
      </w:r>
    </w:p>
    <w:p>
      <w:pPr>
        <w:spacing w:after="0" w:line="289"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6" w:lineRule="exact"/>
        <w:rPr>
          <w:sz w:val="20"/>
          <w:szCs w:val="20"/>
          <w:color w:val="auto"/>
        </w:rPr>
      </w:pPr>
    </w:p>
    <w:p>
      <w:pPr>
        <w:ind w:right="40" w:firstLine="647"/>
        <w:spacing w:after="0" w:line="246"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overhead costs for these services. Revenues related to services the Company provided to unconsolidated joint ventures for the three months ended</w:t>
      </w:r>
    </w:p>
    <w:p>
      <w:pPr>
        <w:spacing w:after="0" w:line="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September 28, 2018 and September 30, 2019, were $36.6 million and $28.8 million , respectively, and for the nine months ended September 28, 2018 and September 30, 2019, were $112.2 million and $113.1 million, respectively. For the three months ended September 28, 2018 and September 30, 2019, the Company incurred $28.2 million and $20.5 million, respectively and for the nine months ended September 28, 2019 and September 30, 2019, $85.2 million and $86.3 million, respectively of reimbursable costs. Amounts included in the consolidated balance sheets related to services the Company provided to unconsolidated joint ventures is as follows (in thousands):</w:t>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80" w:type="dxa"/>
            <w:vAlign w:val="bottom"/>
            <w:tcBorders>
              <w:bottom w:val="single" w:sz="8" w:color="CFF0FC"/>
            </w:tcBorders>
          </w:tcPr>
          <w:p>
            <w:pPr>
              <w:spacing w:after="0"/>
              <w:rPr>
                <w:sz w:val="15"/>
                <w:szCs w:val="15"/>
                <w:color w:val="auto"/>
              </w:rPr>
            </w:pPr>
          </w:p>
        </w:tc>
        <w:tc>
          <w:tcPr>
            <w:tcW w:w="25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CFF0FC"/>
            </w:tcBorders>
          </w:tcPr>
          <w:p>
            <w:pPr>
              <w:spacing w:after="0"/>
              <w:rPr>
                <w:sz w:val="15"/>
                <w:szCs w:val="15"/>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44,637</w:t>
            </w:r>
          </w:p>
        </w:tc>
        <w:tc>
          <w:tcPr>
            <w:tcW w:w="10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Contract assets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5,517</w:t>
            </w:r>
          </w:p>
        </w:tc>
        <w:tc>
          <w:tcPr>
            <w:tcW w:w="100" w:type="dxa"/>
            <w:vAlign w:val="bottom"/>
            <w:shd w:val="clear" w:color="auto" w:fill="CFF0FC"/>
          </w:tcPr>
          <w:p>
            <w:pPr>
              <w:spacing w:after="0"/>
              <w:rPr>
                <w:sz w:val="18"/>
                <w:szCs w:val="18"/>
                <w:color w:val="auto"/>
              </w:rPr>
            </w:pPr>
          </w:p>
        </w:tc>
      </w:tr>
    </w:tbl>
    <w:p>
      <w:pPr>
        <w:spacing w:after="0" w:line="328"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6" w:lineRule="exact"/>
        <w:rPr>
          <w:sz w:val="20"/>
          <w:szCs w:val="20"/>
          <w:color w:val="auto"/>
        </w:rPr>
      </w:pPr>
    </w:p>
    <w:p>
      <w:pPr>
        <w:ind w:right="40" w:firstLine="647"/>
        <w:spacing w:after="0" w:line="238"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December 31, 2018 and September 30, 2019, the Company’s financial instruments include cash, cash equivalents, accounts receivable, accounts payable, and other liabilities. The fair values of these financial instruments approximate their carrying values due to their short-term maturities.</w:t>
      </w: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657" w:right="35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86" w:lineRule="exact"/>
        <w:rPr>
          <w:sz w:val="20"/>
          <w:szCs w:val="20"/>
          <w:color w:val="auto"/>
        </w:rPr>
      </w:pPr>
    </w:p>
    <w:p>
      <w:pPr>
        <w:ind w:left="900" w:right="100" w:hanging="257"/>
        <w:spacing w:after="0" w:line="26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w:t>
      </w:r>
    </w:p>
    <w:p>
      <w:pPr>
        <w:spacing w:after="0" w:line="52" w:lineRule="exact"/>
        <w:rPr>
          <w:rFonts w:ascii="Arial" w:cs="Arial" w:eastAsia="Arial" w:hAnsi="Arial"/>
          <w:sz w:val="18"/>
          <w:szCs w:val="18"/>
          <w:color w:val="auto"/>
        </w:rPr>
      </w:pPr>
    </w:p>
    <w:p>
      <w:pPr>
        <w:ind w:left="900" w:hanging="25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7" w:lineRule="exact"/>
        <w:rPr>
          <w:rFonts w:ascii="Arial" w:cs="Arial" w:eastAsia="Arial" w:hAnsi="Arial"/>
          <w:sz w:val="18"/>
          <w:szCs w:val="18"/>
          <w:color w:val="auto"/>
        </w:rPr>
      </w:pPr>
    </w:p>
    <w:p>
      <w:pPr>
        <w:ind w:left="900" w:right="500" w:hanging="257"/>
        <w:spacing w:after="0" w:line="26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79" w:lineRule="exact"/>
        <w:rPr>
          <w:sz w:val="20"/>
          <w:szCs w:val="20"/>
          <w:color w:val="auto"/>
        </w:rPr>
      </w:pPr>
    </w:p>
    <w:p>
      <w:pPr>
        <w:ind w:right="20" w:firstLine="647"/>
        <w:spacing w:after="0"/>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104" w:lineRule="exact"/>
        <w:rPr>
          <w:sz w:val="20"/>
          <w:szCs w:val="20"/>
          <w:color w:val="auto"/>
        </w:rPr>
      </w:pPr>
    </w:p>
    <w:p>
      <w:pPr>
        <w:ind w:left="1220" w:right="100" w:hanging="580"/>
        <w:spacing w:after="0" w:line="246"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340" w:firstLine="647"/>
        <w:spacing w:after="0" w:line="239"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2" w:lineRule="exact"/>
        <w:rPr>
          <w:sz w:val="20"/>
          <w:szCs w:val="20"/>
          <w:color w:val="auto"/>
        </w:rPr>
      </w:pPr>
    </w:p>
    <w:p>
      <w:pPr>
        <w:ind w:right="560" w:firstLine="647"/>
        <w:spacing w:after="0" w:line="246" w:lineRule="auto"/>
        <w:rPr>
          <w:sz w:val="20"/>
          <w:szCs w:val="20"/>
          <w:color w:val="auto"/>
        </w:rPr>
      </w:pPr>
      <w:r>
        <w:rPr>
          <w:rFonts w:ascii="Arial" w:cs="Arial" w:eastAsia="Arial" w:hAnsi="Arial"/>
          <w:sz w:val="18"/>
          <w:szCs w:val="18"/>
          <w:color w:val="auto"/>
        </w:rPr>
        <w:t>The following table sets forth assets associated with the pension plan in “Note 14 – Retirement and Other Benefit Plans” that are accounted for at fair value by Level within the fair value hierarchy.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as of December 31, 2018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Fixed income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10,168</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10,168</w:t>
            </w:r>
          </w:p>
        </w:tc>
        <w:tc>
          <w:tcPr>
            <w:tcW w:w="24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660"/>
              <w:spacing w:after="0"/>
              <w:rPr>
                <w:sz w:val="20"/>
                <w:szCs w:val="20"/>
                <w:color w:val="auto"/>
              </w:rPr>
            </w:pPr>
            <w:r>
              <w:rPr>
                <w:rFonts w:ascii="Arial" w:cs="Arial" w:eastAsia="Arial" w:hAnsi="Arial"/>
                <w:sz w:val="18"/>
                <w:szCs w:val="18"/>
                <w:color w:val="auto"/>
              </w:rPr>
              <w:t>Fair value as of September 30, 2019 (in thousands):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Mutual funds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Fixed income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10,579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10,579</w:t>
            </w:r>
          </w:p>
        </w:tc>
        <w:tc>
          <w:tcPr>
            <w:tcW w:w="24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647"/>
        <w:spacing w:after="0" w:line="238" w:lineRule="auto"/>
        <w:rPr>
          <w:sz w:val="20"/>
          <w:szCs w:val="20"/>
          <w:color w:val="auto"/>
        </w:rPr>
      </w:pPr>
      <w:r>
        <w:rPr>
          <w:rFonts w:ascii="Arial" w:cs="Arial" w:eastAsia="Arial" w:hAnsi="Arial"/>
          <w:sz w:val="18"/>
          <w:szCs w:val="18"/>
          <w:color w:val="auto"/>
        </w:rPr>
        <w:t>As described in “Note 14 – Retirement and Other Benefit Plans,” the Company acquired a defined contribution pension plan, a defined benefit pension plan, and supplemental retirement plans. At December 31, 2018 and September 30, 2019, the Company measured the mutual funds held within the defined benefit pension plan at fair value using unadjusted quoted prices in active markets that are accessible for identical assets. The Company measured the fixed income securities using market bid and ask prices. The inputs that are significant to valuation of fixed income securities are generally observable and therefore have been classified as Level 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8" w:name="page29"/>
    <w:bookmarkEnd w:id="28"/>
    <w:p>
      <w:pPr>
        <w:ind w:right="20" w:firstLine="647"/>
        <w:spacing w:after="0" w:line="246" w:lineRule="auto"/>
        <w:rPr>
          <w:sz w:val="20"/>
          <w:szCs w:val="20"/>
          <w:color w:val="auto"/>
        </w:rPr>
      </w:pPr>
      <w:r>
        <w:rPr>
          <w:rFonts w:ascii="Arial" w:cs="Arial" w:eastAsia="Arial" w:hAnsi="Arial"/>
          <w:sz w:val="18"/>
          <w:szCs w:val="18"/>
          <w:color w:val="auto"/>
        </w:rPr>
        <w:t>The following table sets forth redeemable common stock associated with the ESOP in as described in “Note 14 – Retirement and Other Benefit Plans” that is accounted for at fair value by Level within the fair value hierarchy.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as of December 31, 2018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5"/>
                <w:szCs w:val="15"/>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Redeemable common stock</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1,876,309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1,876,309</w:t>
            </w:r>
          </w:p>
        </w:tc>
        <w:tc>
          <w:tcPr>
            <w:tcW w:w="120" w:type="dxa"/>
            <w:vAlign w:val="bottom"/>
            <w:shd w:val="clear" w:color="auto" w:fill="CFF0FC"/>
          </w:tcPr>
          <w:p>
            <w:pPr>
              <w:spacing w:after="0"/>
              <w:rPr>
                <w:sz w:val="18"/>
                <w:szCs w:val="18"/>
                <w:color w:val="auto"/>
              </w:rPr>
            </w:pPr>
          </w:p>
        </w:tc>
      </w:tr>
      <w:tr>
        <w:trPr>
          <w:trHeight w:val="459"/>
        </w:trPr>
        <w:tc>
          <w:tcPr>
            <w:tcW w:w="5800" w:type="dxa"/>
            <w:vAlign w:val="bottom"/>
          </w:tcPr>
          <w:p>
            <w:pPr>
              <w:ind w:left="660"/>
              <w:spacing w:after="0"/>
              <w:rPr>
                <w:sz w:val="20"/>
                <w:szCs w:val="20"/>
                <w:color w:val="auto"/>
              </w:rPr>
            </w:pPr>
            <w:r>
              <w:rPr>
                <w:rFonts w:ascii="Arial" w:cs="Arial" w:eastAsia="Arial" w:hAnsi="Arial"/>
                <w:sz w:val="18"/>
                <w:szCs w:val="18"/>
                <w:color w:val="auto"/>
              </w:rPr>
              <w:t>Fair value as of September 30, 2019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58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24"/>
                <w:szCs w:val="24"/>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Redeemable common stock</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2,577,011</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2,577,011</w:t>
            </w:r>
          </w:p>
        </w:tc>
        <w:tc>
          <w:tcPr>
            <w:tcW w:w="1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right="180" w:firstLine="647"/>
        <w:spacing w:after="0" w:line="238" w:lineRule="auto"/>
        <w:rPr>
          <w:sz w:val="20"/>
          <w:szCs w:val="20"/>
          <w:color w:val="auto"/>
        </w:rPr>
      </w:pPr>
      <w:r>
        <w:rPr>
          <w:rFonts w:ascii="Arial" w:cs="Arial" w:eastAsia="Arial" w:hAnsi="Arial"/>
          <w:sz w:val="18"/>
          <w:szCs w:val="18"/>
          <w:color w:val="auto"/>
        </w:rPr>
        <w:t>As described in “Note 14 – Retirement and Other Benefit Plans,” the Company is obligated to redeem eligible participants’ interests in their ESOP accounts for cash upon an employee’s election. All shares held by the ESOP are eventually redeemable in the future for cash at the option of the holder once vesting and eligibility requirements have been met. The Company presents all shares held by the ESOP as temporary equity on the consolidated balance sheets at their redemption value. At December 31, 2018 and September 30, 2019, 78,172,809 shares and 78,138,602 shares, respectively, of the Company’s stock were held by the ESOP which the Company recorded at their aggregate</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redemption values of $1.9 billion and $2.6 billion, respectively. The December 31, 2018 redemption values is based on a share price established by the ESOP trustee, taking into account, among other things, the advice of a third-party valuation consultant for the ESOP trustee as well as the ESOP trustee’s knowledge of the Company. The share price valuation was determined using a combination of income and market-based methods that utilized unobservable Level 3 inputs, including significant assumptions such as forecasted revenue and operating margins, working capital requirements, and weighted average cost of capital. The September 30, 2019 redemption value is based on the Company’s closing share price in an active market and therefore has been classified as Level 1.</w:t>
      </w:r>
    </w:p>
    <w:p>
      <w:pPr>
        <w:spacing w:after="0" w:line="203" w:lineRule="exact"/>
        <w:rPr>
          <w:sz w:val="20"/>
          <w:szCs w:val="20"/>
          <w:color w:val="auto"/>
        </w:rPr>
      </w:pPr>
    </w:p>
    <w:p>
      <w:pPr>
        <w:ind w:right="400" w:firstLine="647"/>
        <w:spacing w:after="0" w:line="246" w:lineRule="auto"/>
        <w:rPr>
          <w:sz w:val="20"/>
          <w:szCs w:val="20"/>
          <w:color w:val="auto"/>
        </w:rPr>
      </w:pPr>
      <w:r>
        <w:rPr>
          <w:rFonts w:ascii="Arial" w:cs="Arial" w:eastAsia="Arial" w:hAnsi="Arial"/>
          <w:sz w:val="18"/>
          <w:szCs w:val="18"/>
          <w:color w:val="auto"/>
        </w:rPr>
        <w:t>The following tables present a reconciliation of the beginning and ending balances of the fair value measurements using significant unobservable inputs (Level 3)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344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1,876,309</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Transfer to Level 1</w:t>
            </w:r>
          </w:p>
        </w:tc>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(1,876,309)</w:t>
            </w:r>
          </w:p>
        </w:tc>
      </w:tr>
      <w:tr>
        <w:trPr>
          <w:trHeight w:val="210"/>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286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6" w:lineRule="exact"/>
        <w:rPr>
          <w:sz w:val="20"/>
          <w:szCs w:val="20"/>
          <w:color w:val="auto"/>
        </w:rPr>
      </w:pPr>
    </w:p>
    <w:p>
      <w:pPr>
        <w:ind w:right="600" w:firstLine="647"/>
        <w:spacing w:after="0" w:line="246"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during the period and income available to shareholders.</w:t>
      </w:r>
    </w:p>
    <w:p>
      <w:pPr>
        <w:spacing w:after="0" w:line="197" w:lineRule="exact"/>
        <w:rPr>
          <w:sz w:val="20"/>
          <w:szCs w:val="20"/>
          <w:color w:val="auto"/>
        </w:rPr>
      </w:pPr>
    </w:p>
    <w:p>
      <w:pPr>
        <w:ind w:right="340" w:firstLine="647"/>
        <w:spacing w:after="0"/>
        <w:rPr>
          <w:sz w:val="20"/>
          <w:szCs w:val="20"/>
          <w:color w:val="auto"/>
        </w:rPr>
      </w:pPr>
      <w:r>
        <w:rPr>
          <w:rFonts w:ascii="Arial" w:cs="Arial" w:eastAsia="Arial" w:hAnsi="Arial"/>
          <w:sz w:val="18"/>
          <w:szCs w:val="18"/>
          <w:color w:val="auto"/>
        </w:rPr>
        <w:t>Diluted earnings per share (“EPS”) is computed similar to basic EPS, except the weighted average number of shares outstanding is increased to include the dilutive effects of outstanding stock options and other stock-based awards. There were no dilutive securities outstanding for the three and nine months ended September 28, 2018 and September 30, 2019.</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8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28,</w:t>
            </w:r>
          </w:p>
        </w:tc>
        <w:tc>
          <w:tcPr>
            <w:tcW w:w="12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11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474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79,185,527</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99,434,877</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80,702,032</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89,977,493</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Dilutive common share equivalents</w:t>
            </w:r>
          </w:p>
        </w:tc>
        <w:tc>
          <w:tcPr>
            <w:tcW w:w="6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79,185,527</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99,434,877</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80,702,032</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89,977,493</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CFF0FC"/>
            </w:tcBorders>
            <w:vMerge w:val="restart"/>
          </w:tcPr>
          <w:p>
            <w:pPr>
              <w:jc w:val="right"/>
              <w:ind w:right="50"/>
              <w:spacing w:after="0"/>
              <w:rPr>
                <w:sz w:val="20"/>
                <w:szCs w:val="20"/>
                <w:color w:val="auto"/>
              </w:rPr>
            </w:pPr>
            <w:r>
              <w:rPr>
                <w:rFonts w:ascii="Arial" w:cs="Arial" w:eastAsia="Arial" w:hAnsi="Arial"/>
                <w:sz w:val="18"/>
                <w:szCs w:val="18"/>
                <w:color w:val="auto"/>
              </w:rPr>
              <w:t>27</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29" w:name="page30"/>
    <w:bookmarkEnd w:id="29"/>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600" w:firstLine="647"/>
        <w:spacing w:after="0" w:line="239"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202" w:lineRule="exact"/>
        <w:rPr>
          <w:sz w:val="20"/>
          <w:szCs w:val="20"/>
          <w:color w:val="auto"/>
        </w:rPr>
      </w:pPr>
    </w:p>
    <w:p>
      <w:pPr>
        <w:ind w:right="280" w:firstLine="647"/>
        <w:spacing w:after="0" w:line="239"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202" w:lineRule="exact"/>
        <w:rPr>
          <w:sz w:val="20"/>
          <w:szCs w:val="20"/>
          <w:color w:val="auto"/>
        </w:rPr>
      </w:pPr>
    </w:p>
    <w:p>
      <w:pPr>
        <w:ind w:right="160" w:firstLine="647"/>
        <w:spacing w:after="0" w:line="239"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currently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0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1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700" w:type="dxa"/>
            <w:vAlign w:val="bottom"/>
            <w:tcBorders>
              <w:bottom w:val="single" w:sz="8" w:color="CFF0FC"/>
            </w:tcBorders>
          </w:tcPr>
          <w:p>
            <w:pPr>
              <w:spacing w:after="0"/>
              <w:rPr>
                <w:sz w:val="15"/>
                <w:szCs w:val="15"/>
                <w:color w:val="auto"/>
              </w:rPr>
            </w:pPr>
          </w:p>
        </w:tc>
        <w:tc>
          <w:tcPr>
            <w:tcW w:w="15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1760" w:type="dxa"/>
            <w:vAlign w:val="bottom"/>
            <w:gridSpan w:val="2"/>
            <w:shd w:val="clear" w:color="auto" w:fill="CFF0FC"/>
          </w:tcPr>
          <w:p>
            <w:pPr>
              <w:ind w:left="1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443,725</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486,175</w:t>
            </w:r>
          </w:p>
        </w:tc>
        <w:tc>
          <w:tcPr>
            <w:tcW w:w="4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1,076,125</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1,387,484</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15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532,432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537,102</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1,555,443</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1,529,940</w:t>
            </w:r>
          </w:p>
        </w:tc>
        <w:tc>
          <w:tcPr>
            <w:tcW w:w="12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760" w:type="dxa"/>
            <w:vAlign w:val="bottom"/>
            <w:gridSpan w:val="2"/>
            <w:shd w:val="clear" w:color="auto" w:fill="CFF0FC"/>
          </w:tcPr>
          <w:p>
            <w:pPr>
              <w:ind w:left="1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976,157</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1,023,277</w:t>
            </w:r>
          </w:p>
        </w:tc>
        <w:tc>
          <w:tcPr>
            <w:tcW w:w="4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2,631,568</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2,917,424</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30" w:name="page31"/>
    <w:bookmarkEnd w:id="30"/>
    <w:p>
      <w:pPr>
        <w:ind w:right="160" w:firstLine="647"/>
        <w:spacing w:after="0" w:line="236" w:lineRule="auto"/>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60" w:type="dxa"/>
            <w:vAlign w:val="bottom"/>
            <w:vMerge w:val="restart"/>
          </w:tcPr>
          <w:p>
            <w:pPr>
              <w:spacing w:after="0"/>
              <w:rPr>
                <w:sz w:val="20"/>
                <w:szCs w:val="20"/>
                <w:color w:val="auto"/>
              </w:rPr>
            </w:pPr>
            <w:r>
              <w:rPr>
                <w:rFonts w:ascii="Arial" w:cs="Arial" w:eastAsia="Arial" w:hAnsi="Arial"/>
                <w:sz w:val="18"/>
                <w:szCs w:val="18"/>
                <w:color w:val="auto"/>
              </w:rPr>
              <w:t>Adjusted EBITDA attributable to Parsons Corporation</w:t>
            </w:r>
          </w:p>
        </w:tc>
        <w:tc>
          <w:tcPr>
            <w:tcW w:w="280" w:type="dxa"/>
            <w:vAlign w:val="bottom"/>
          </w:tcPr>
          <w:p>
            <w:pPr>
              <w:spacing w:after="0"/>
              <w:rPr>
                <w:sz w:val="13"/>
                <w:szCs w:val="13"/>
                <w:color w:val="auto"/>
              </w:rPr>
            </w:pPr>
          </w:p>
        </w:tc>
        <w:tc>
          <w:tcPr>
            <w:tcW w:w="116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3"/>
                <w:szCs w:val="13"/>
                <w:color w:val="auto"/>
              </w:rPr>
            </w:pPr>
          </w:p>
        </w:tc>
        <w:tc>
          <w:tcPr>
            <w:tcW w:w="122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11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960" w:type="dxa"/>
            <w:vAlign w:val="bottom"/>
            <w:tcBorders>
              <w:bottom w:val="single" w:sz="8" w:color="CFF0FC"/>
            </w:tcBorders>
            <w:vMerge w:val="continue"/>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Solutions</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45,556</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50,359</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101,052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Critical Infrastructure</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38,006</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33,976</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80,296</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102,177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83,562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84,335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181,348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(23,599)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(31,027)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(46,656)</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(92,692)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(4,482)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(12,117)</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(18,526)</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Litigation-related gains(a)</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129,674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gain resulting from sale-leaseback</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transactions(b)</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1,798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5,440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(13,198)</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(45,504)</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Transaction-related costs(c)</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(9,891)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(7,511)</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(26,961)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Restructuring(d)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Other(e)</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(3,449)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(3,929)</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225,206</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10,316</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41,222</w:t>
            </w:r>
          </w:p>
        </w:tc>
        <w:tc>
          <w:tcPr>
            <w:tcW w:w="1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56,812</w:t>
            </w:r>
          </w:p>
        </w:tc>
        <w:tc>
          <w:tcPr>
            <w:tcW w:w="18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214,890</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106,812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690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9" w:lineRule="exact"/>
        <w:rPr>
          <w:sz w:val="20"/>
          <w:szCs w:val="20"/>
          <w:color w:val="auto"/>
        </w:rPr>
      </w:pPr>
    </w:p>
    <w:p>
      <w:pPr>
        <w:ind w:left="660" w:right="40" w:hanging="652"/>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Reversal of an accrued liability, with $55.1 million recorded to revenue and $74.6 million recorded to other income (“gain associated with claim on long-term contract”) in results of operations, associated with a lawsuit against a joint venture in which the Company is the managing partner. Please see “Note 14 – Commitments and Contingencies” in the Company’s Form S-1/A filed on April 29, 2019, for a description of this matter, which was resolved in favor of the Company on June 13, 2018.</w:t>
      </w:r>
    </w:p>
    <w:p>
      <w:pPr>
        <w:spacing w:after="0" w:line="3" w:lineRule="exact"/>
        <w:rPr>
          <w:rFonts w:ascii="Arial" w:cs="Arial" w:eastAsia="Arial" w:hAnsi="Arial"/>
          <w:sz w:val="18"/>
          <w:szCs w:val="18"/>
          <w:color w:val="auto"/>
        </w:rPr>
      </w:pPr>
    </w:p>
    <w:p>
      <w:pPr>
        <w:ind w:left="660" w:hanging="652"/>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recognized deferred gains related to sales-leaseback transactions described in “Note 10 – Sale-Leasebacks.”</w:t>
      </w:r>
    </w:p>
    <w:p>
      <w:pPr>
        <w:ind w:left="660" w:right="580" w:hanging="652"/>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the IPO,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40" w:right="320" w:hanging="632"/>
        <w:spacing w:after="0" w:line="246"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tables presents revenues and property and equipment, net by geographic area (in thousands):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60" w:type="dxa"/>
            <w:vAlign w:val="bottom"/>
            <w:gridSpan w:val="2"/>
          </w:tcPr>
          <w:p>
            <w:pPr>
              <w:jc w:val="right"/>
              <w:ind w:right="16"/>
              <w:spacing w:after="0" w:line="156" w:lineRule="exact"/>
              <w:rPr>
                <w:sz w:val="20"/>
                <w:szCs w:val="20"/>
                <w:color w:val="auto"/>
              </w:rPr>
            </w:pPr>
            <w:r>
              <w:rPr>
                <w:rFonts w:ascii="Arial" w:cs="Arial" w:eastAsia="Arial" w:hAnsi="Arial"/>
                <w:sz w:val="14"/>
                <w:szCs w:val="14"/>
                <w:b w:val="1"/>
                <w:bCs w:val="1"/>
                <w:color w:val="auto"/>
              </w:rPr>
              <w:t>September 28,</w:t>
            </w:r>
          </w:p>
        </w:tc>
        <w:tc>
          <w:tcPr>
            <w:tcW w:w="240" w:type="dxa"/>
            <w:vAlign w:val="bottom"/>
          </w:tcPr>
          <w:p>
            <w:pPr>
              <w:spacing w:after="0"/>
              <w:rPr>
                <w:sz w:val="13"/>
                <w:szCs w:val="13"/>
                <w:color w:val="auto"/>
              </w:rPr>
            </w:pPr>
          </w:p>
        </w:tc>
        <w:tc>
          <w:tcPr>
            <w:tcW w:w="1520" w:type="dxa"/>
            <w:vAlign w:val="bottom"/>
            <w:gridSpan w:val="3"/>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c>
          <w:tcPr>
            <w:tcW w:w="1400" w:type="dxa"/>
            <w:vAlign w:val="bottom"/>
            <w:gridSpan w:val="3"/>
          </w:tcPr>
          <w:p>
            <w:pPr>
              <w:ind w:left="80"/>
              <w:spacing w:after="0" w:line="156" w:lineRule="exact"/>
              <w:rPr>
                <w:sz w:val="20"/>
                <w:szCs w:val="20"/>
                <w:color w:val="auto"/>
              </w:rPr>
            </w:pPr>
            <w:r>
              <w:rPr>
                <w:rFonts w:ascii="Arial" w:cs="Arial" w:eastAsia="Arial" w:hAnsi="Arial"/>
                <w:sz w:val="14"/>
                <w:szCs w:val="14"/>
                <w:b w:val="1"/>
                <w:bCs w:val="1"/>
                <w:color w:val="auto"/>
              </w:rPr>
              <w:t>September 28,</w:t>
            </w:r>
          </w:p>
        </w:tc>
        <w:tc>
          <w:tcPr>
            <w:tcW w:w="1280" w:type="dxa"/>
            <w:vAlign w:val="bottom"/>
            <w:gridSpan w:val="3"/>
          </w:tcPr>
          <w:p>
            <w:pPr>
              <w:ind w:left="80"/>
              <w:spacing w:after="0" w:line="156"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Revenue</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5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805,320</w:t>
            </w:r>
          </w:p>
        </w:tc>
        <w:tc>
          <w:tcPr>
            <w:tcW w:w="4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849,839</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2,131,562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2,400,124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164,677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169,028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485,377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504,604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23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6,160</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3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14,629</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Total Revenue</w:t>
            </w:r>
          </w:p>
        </w:tc>
        <w:tc>
          <w:tcPr>
            <w:tcW w:w="2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976,157</w:t>
            </w: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1,023,277</w:t>
            </w:r>
          </w:p>
        </w:tc>
        <w:tc>
          <w:tcPr>
            <w:tcW w:w="38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2,631,568</w:t>
            </w:r>
          </w:p>
        </w:tc>
        <w:tc>
          <w:tcPr>
            <w:tcW w:w="24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2,917,424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3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0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31" w:name="page32"/>
    <w:bookmarkEnd w:id="31"/>
    <w:p>
      <w:pPr>
        <w:ind w:right="620" w:firstLine="647"/>
        <w:spacing w:after="0" w:line="246" w:lineRule="auto"/>
        <w:rPr>
          <w:sz w:val="20"/>
          <w:szCs w:val="20"/>
          <w:color w:val="auto"/>
        </w:rPr>
      </w:pPr>
      <w:r>
        <w:rPr>
          <w:rFonts w:ascii="Arial" w:cs="Arial" w:eastAsia="Arial" w:hAnsi="Arial"/>
          <w:sz w:val="18"/>
          <w:szCs w:val="18"/>
          <w:color w:val="auto"/>
        </w:rPr>
        <w:t>The geographic location of revenue is determined by the location of the customer. The prior reporting of revenue by geographic location has been conformed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408305</wp:posOffset>
            </wp:positionV>
            <wp:extent cx="21951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86,847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103,690</w:t>
            </w:r>
          </w:p>
        </w:tc>
        <w:tc>
          <w:tcPr>
            <w:tcW w:w="120" w:type="dxa"/>
            <w:vAlign w:val="bottom"/>
            <w:shd w:val="clear" w:color="auto" w:fill="CFF0FC"/>
          </w:tcPr>
          <w:p>
            <w:pPr>
              <w:spacing w:after="0"/>
              <w:rPr>
                <w:sz w:val="18"/>
                <w:szCs w:val="18"/>
                <w:color w:val="auto"/>
              </w:rPr>
            </w:pPr>
          </w:p>
        </w:tc>
      </w:tr>
      <w:tr>
        <w:trPr>
          <w:trHeight w:val="216"/>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25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w:t>
            </w:r>
          </w:p>
        </w:tc>
        <w:tc>
          <w:tcPr>
            <w:tcW w:w="120" w:type="dxa"/>
            <w:vAlign w:val="bottom"/>
            <w:tcBorders>
              <w:bottom w:val="single" w:sz="8" w:color="CFF0FC"/>
            </w:tcBorders>
          </w:tcPr>
          <w:p>
            <w:pPr>
              <w:spacing w:after="0"/>
              <w:rPr>
                <w:sz w:val="18"/>
                <w:szCs w:val="18"/>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2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91,849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109,238</w:t>
            </w:r>
          </w:p>
        </w:tc>
        <w:tc>
          <w:tcPr>
            <w:tcW w:w="120" w:type="dxa"/>
            <w:vAlign w:val="bottom"/>
            <w:shd w:val="clear" w:color="auto" w:fill="CFF0FC"/>
          </w:tcPr>
          <w:p>
            <w:pPr>
              <w:spacing w:after="0"/>
              <w:rPr>
                <w:sz w:val="18"/>
                <w:szCs w:val="18"/>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North America includes revenue in the United States for the three months ended September 28, 2018 and September 30, 2019 of</w:t>
      </w:r>
    </w:p>
    <w:p>
      <w:pPr>
        <w:spacing w:after="0" w:line="234" w:lineRule="auto"/>
        <w:rPr>
          <w:sz w:val="20"/>
          <w:szCs w:val="20"/>
          <w:color w:val="auto"/>
        </w:rPr>
      </w:pPr>
      <w:r>
        <w:rPr>
          <w:rFonts w:ascii="Arial" w:cs="Arial" w:eastAsia="Arial" w:hAnsi="Arial"/>
          <w:sz w:val="18"/>
          <w:szCs w:val="18"/>
          <w:color w:val="auto"/>
        </w:rPr>
        <w:t>$747.7 million and $774.2 million, respectively, and for the nine months ended September 28, 2018 and September 30, 2019, $2.0 billion and</w:t>
      </w:r>
    </w:p>
    <w:p>
      <w:pPr>
        <w:spacing w:after="0" w:line="235" w:lineRule="auto"/>
        <w:rPr>
          <w:sz w:val="20"/>
          <w:szCs w:val="20"/>
          <w:color w:val="auto"/>
        </w:rPr>
      </w:pPr>
      <w:r>
        <w:rPr>
          <w:rFonts w:ascii="Arial" w:cs="Arial" w:eastAsia="Arial" w:hAnsi="Arial"/>
          <w:sz w:val="18"/>
          <w:szCs w:val="18"/>
          <w:color w:val="auto"/>
        </w:rPr>
        <w:t>$2.2 billion, respectively. North America property and equipment, net includes $79.9 million and $97.3 million of property and equipment, net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United States at December 31, 2018 and September 30, 2019,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revenues by business lines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r>
      <w:tr>
        <w:trPr>
          <w:trHeight w:val="156"/>
        </w:trPr>
        <w:tc>
          <w:tcPr>
            <w:tcW w:w="3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0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16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3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Revenue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Cyber &amp; Intelligence</w:t>
            </w:r>
          </w:p>
        </w:tc>
        <w:tc>
          <w:tcPr>
            <w:tcW w:w="1500" w:type="dxa"/>
            <w:vAlign w:val="bottom"/>
            <w:gridSpan w:val="2"/>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68,895</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90,429</w:t>
            </w:r>
          </w:p>
        </w:tc>
        <w:tc>
          <w:tcPr>
            <w:tcW w:w="4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177,838</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247,710</w:t>
            </w:r>
          </w:p>
        </w:tc>
        <w:tc>
          <w:tcPr>
            <w:tcW w:w="120" w:type="dxa"/>
            <w:vAlign w:val="bottom"/>
            <w:shd w:val="clear" w:color="auto" w:fill="CFF0FC"/>
          </w:tcPr>
          <w:p>
            <w:pPr>
              <w:spacing w:after="0"/>
              <w:rPr>
                <w:sz w:val="18"/>
                <w:szCs w:val="18"/>
                <w:color w:val="auto"/>
              </w:rPr>
            </w:pPr>
          </w:p>
        </w:tc>
      </w:tr>
      <w:tr>
        <w:trPr>
          <w:trHeight w:val="216"/>
        </w:trPr>
        <w:tc>
          <w:tcPr>
            <w:tcW w:w="3960" w:type="dxa"/>
            <w:vAlign w:val="bottom"/>
          </w:tcPr>
          <w:p>
            <w:pPr>
              <w:ind w:left="500"/>
              <w:spacing w:after="0"/>
              <w:rPr>
                <w:sz w:val="20"/>
                <w:szCs w:val="20"/>
                <w:color w:val="auto"/>
              </w:rPr>
            </w:pPr>
            <w:r>
              <w:rPr>
                <w:rFonts w:ascii="Arial" w:cs="Arial" w:eastAsia="Arial" w:hAnsi="Arial"/>
                <w:sz w:val="18"/>
                <w:szCs w:val="18"/>
                <w:color w:val="auto"/>
              </w:rPr>
              <w:t>Defense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133,259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144,160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297,318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425,603</w:t>
            </w:r>
          </w:p>
        </w:tc>
        <w:tc>
          <w:tcPr>
            <w:tcW w:w="120" w:type="dxa"/>
            <w:vAlign w:val="bottom"/>
          </w:tcPr>
          <w:p>
            <w:pPr>
              <w:spacing w:after="0"/>
              <w:rPr>
                <w:sz w:val="18"/>
                <w:szCs w:val="18"/>
                <w:color w:val="auto"/>
              </w:rPr>
            </w:pPr>
          </w:p>
        </w:tc>
      </w:tr>
      <w:tr>
        <w:trPr>
          <w:trHeight w:val="216"/>
        </w:trPr>
        <w:tc>
          <w:tcPr>
            <w:tcW w:w="3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Mission Solutions</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122,780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87,936</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280,902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237,914</w:t>
            </w:r>
          </w:p>
        </w:tc>
        <w:tc>
          <w:tcPr>
            <w:tcW w:w="120" w:type="dxa"/>
            <w:vAlign w:val="bottom"/>
            <w:shd w:val="clear" w:color="auto" w:fill="CFF0FC"/>
          </w:tcPr>
          <w:p>
            <w:pPr>
              <w:spacing w:after="0"/>
              <w:rPr>
                <w:sz w:val="18"/>
                <w:szCs w:val="18"/>
                <w:color w:val="auto"/>
              </w:rPr>
            </w:pPr>
          </w:p>
        </w:tc>
      </w:tr>
      <w:tr>
        <w:trPr>
          <w:trHeight w:val="216"/>
        </w:trPr>
        <w:tc>
          <w:tcPr>
            <w:tcW w:w="3960" w:type="dxa"/>
            <w:vAlign w:val="bottom"/>
          </w:tcPr>
          <w:p>
            <w:pPr>
              <w:ind w:left="500"/>
              <w:spacing w:after="0"/>
              <w:rPr>
                <w:sz w:val="20"/>
                <w:szCs w:val="20"/>
                <w:color w:val="auto"/>
              </w:rPr>
            </w:pPr>
            <w:r>
              <w:rPr>
                <w:rFonts w:ascii="Arial" w:cs="Arial" w:eastAsia="Arial" w:hAnsi="Arial"/>
                <w:sz w:val="18"/>
                <w:szCs w:val="18"/>
                <w:color w:val="auto"/>
              </w:rPr>
              <w:t>Engineered Systems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129,989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320,067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367,542</w:t>
            </w:r>
          </w:p>
        </w:tc>
        <w:tc>
          <w:tcPr>
            <w:tcW w:w="120" w:type="dxa"/>
            <w:vAlign w:val="bottom"/>
          </w:tcPr>
          <w:p>
            <w:pPr>
              <w:spacing w:after="0"/>
              <w:rPr>
                <w:sz w:val="18"/>
                <w:szCs w:val="18"/>
                <w:color w:val="auto"/>
              </w:rPr>
            </w:pPr>
          </w:p>
        </w:tc>
      </w:tr>
      <w:tr>
        <w:trPr>
          <w:trHeight w:val="216"/>
        </w:trPr>
        <w:tc>
          <w:tcPr>
            <w:tcW w:w="3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Geospatial</w:t>
            </w:r>
          </w:p>
        </w:tc>
        <w:tc>
          <w:tcPr>
            <w:tcW w:w="1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33,661</w:t>
            </w:r>
          </w:p>
        </w:tc>
        <w:tc>
          <w:tcPr>
            <w:tcW w:w="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108,715</w:t>
            </w:r>
          </w:p>
        </w:tc>
        <w:tc>
          <w:tcPr>
            <w:tcW w:w="120" w:type="dxa"/>
            <w:vAlign w:val="bottom"/>
            <w:shd w:val="clear" w:color="auto" w:fill="CFF0FC"/>
          </w:tcPr>
          <w:p>
            <w:pPr>
              <w:spacing w:after="0"/>
              <w:rPr>
                <w:sz w:val="18"/>
                <w:szCs w:val="18"/>
                <w:color w:val="auto"/>
              </w:rPr>
            </w:pPr>
          </w:p>
        </w:tc>
      </w:tr>
      <w:tr>
        <w:trPr>
          <w:trHeight w:val="210"/>
        </w:trPr>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Solutions revenues</w:t>
            </w:r>
          </w:p>
        </w:tc>
        <w:tc>
          <w:tcPr>
            <w:tcW w:w="1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443,725</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486,175</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1,076,125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1,387,484</w:t>
            </w:r>
          </w:p>
        </w:tc>
        <w:tc>
          <w:tcPr>
            <w:tcW w:w="120" w:type="dxa"/>
            <w:vAlign w:val="bottom"/>
            <w:tcBorders>
              <w:bottom w:val="single" w:sz="8" w:color="CFF0FC"/>
            </w:tcBorders>
          </w:tcPr>
          <w:p>
            <w:pPr>
              <w:spacing w:after="0"/>
              <w:rPr>
                <w:sz w:val="18"/>
                <w:szCs w:val="18"/>
                <w:color w:val="auto"/>
              </w:rPr>
            </w:pPr>
          </w:p>
        </w:tc>
      </w:tr>
      <w:tr>
        <w:trPr>
          <w:trHeight w:val="210"/>
        </w:trPr>
        <w:tc>
          <w:tcPr>
            <w:tcW w:w="3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Connected Communities</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165,529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151,779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491,444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459,277</w:t>
            </w:r>
          </w:p>
        </w:tc>
        <w:tc>
          <w:tcPr>
            <w:tcW w:w="120" w:type="dxa"/>
            <w:vAlign w:val="bottom"/>
            <w:shd w:val="clear" w:color="auto" w:fill="CFF0FC"/>
          </w:tcPr>
          <w:p>
            <w:pPr>
              <w:spacing w:after="0"/>
              <w:rPr>
                <w:sz w:val="18"/>
                <w:szCs w:val="18"/>
                <w:color w:val="auto"/>
              </w:rPr>
            </w:pPr>
          </w:p>
        </w:tc>
      </w:tr>
      <w:tr>
        <w:trPr>
          <w:trHeight w:val="216"/>
        </w:trPr>
        <w:tc>
          <w:tcPr>
            <w:tcW w:w="3960" w:type="dxa"/>
            <w:vAlign w:val="bottom"/>
          </w:tcPr>
          <w:p>
            <w:pPr>
              <w:ind w:left="500"/>
              <w:spacing w:after="0"/>
              <w:rPr>
                <w:sz w:val="20"/>
                <w:szCs w:val="20"/>
                <w:color w:val="auto"/>
              </w:rPr>
            </w:pPr>
            <w:r>
              <w:rPr>
                <w:rFonts w:ascii="Arial" w:cs="Arial" w:eastAsia="Arial" w:hAnsi="Arial"/>
                <w:sz w:val="18"/>
                <w:szCs w:val="18"/>
                <w:color w:val="auto"/>
              </w:rPr>
              <w:t>Mobility Solutions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300,523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286,199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894,796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836,779</w:t>
            </w:r>
          </w:p>
        </w:tc>
        <w:tc>
          <w:tcPr>
            <w:tcW w:w="120" w:type="dxa"/>
            <w:vAlign w:val="bottom"/>
          </w:tcPr>
          <w:p>
            <w:pPr>
              <w:spacing w:after="0"/>
              <w:rPr>
                <w:sz w:val="18"/>
                <w:szCs w:val="18"/>
                <w:color w:val="auto"/>
              </w:rPr>
            </w:pPr>
          </w:p>
        </w:tc>
      </w:tr>
      <w:tr>
        <w:trPr>
          <w:trHeight w:val="216"/>
        </w:trPr>
        <w:tc>
          <w:tcPr>
            <w:tcW w:w="3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Industrial</w:t>
            </w:r>
          </w:p>
        </w:tc>
        <w:tc>
          <w:tcPr>
            <w:tcW w:w="1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66,380</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99,124</w:t>
            </w:r>
          </w:p>
        </w:tc>
        <w:tc>
          <w:tcPr>
            <w:tcW w:w="3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169,203</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233,884</w:t>
            </w:r>
          </w:p>
        </w:tc>
        <w:tc>
          <w:tcPr>
            <w:tcW w:w="120" w:type="dxa"/>
            <w:vAlign w:val="bottom"/>
            <w:shd w:val="clear" w:color="auto" w:fill="CFF0FC"/>
          </w:tcPr>
          <w:p>
            <w:pPr>
              <w:spacing w:after="0"/>
              <w:rPr>
                <w:sz w:val="18"/>
                <w:szCs w:val="18"/>
                <w:color w:val="auto"/>
              </w:rPr>
            </w:pPr>
          </w:p>
        </w:tc>
      </w:tr>
      <w:tr>
        <w:trPr>
          <w:trHeight w:val="210"/>
        </w:trPr>
        <w:tc>
          <w:tcPr>
            <w:tcW w:w="3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1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532,432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537,102</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1,555,443</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1,529,940</w:t>
            </w:r>
          </w:p>
        </w:tc>
        <w:tc>
          <w:tcPr>
            <w:tcW w:w="120" w:type="dxa"/>
            <w:vAlign w:val="bottom"/>
            <w:tcBorders>
              <w:bottom w:val="single" w:sz="8" w:color="CFF0FC"/>
            </w:tcBorders>
          </w:tcPr>
          <w:p>
            <w:pPr>
              <w:spacing w:after="0"/>
              <w:rPr>
                <w:sz w:val="18"/>
                <w:szCs w:val="18"/>
                <w:color w:val="auto"/>
              </w:rPr>
            </w:pPr>
          </w:p>
        </w:tc>
      </w:tr>
      <w:tr>
        <w:trPr>
          <w:trHeight w:val="21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500" w:type="dxa"/>
            <w:vAlign w:val="bottom"/>
            <w:gridSpan w:val="2"/>
            <w:shd w:val="clear" w:color="auto" w:fill="CFF0FC"/>
          </w:tcPr>
          <w:p>
            <w:pPr>
              <w:ind w:left="1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976,157</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1,023,277</w:t>
            </w:r>
          </w:p>
        </w:tc>
        <w:tc>
          <w:tcPr>
            <w:tcW w:w="4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2,631,568</w:t>
            </w:r>
          </w:p>
        </w:tc>
        <w:tc>
          <w:tcPr>
            <w:tcW w:w="3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2,917,424</w:t>
            </w:r>
          </w:p>
        </w:tc>
        <w:tc>
          <w:tcPr>
            <w:tcW w:w="120" w:type="dxa"/>
            <w:vAlign w:val="bottom"/>
            <w:shd w:val="clear" w:color="auto" w:fill="CFF0FC"/>
          </w:tcPr>
          <w:p>
            <w:pPr>
              <w:spacing w:after="0"/>
              <w:rPr>
                <w:sz w:val="18"/>
                <w:szCs w:val="18"/>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60" w:firstLine="647"/>
        <w:spacing w:after="0" w:line="241" w:lineRule="auto"/>
        <w:rPr>
          <w:sz w:val="20"/>
          <w:szCs w:val="20"/>
          <w:color w:val="auto"/>
        </w:rPr>
      </w:pPr>
      <w:r>
        <w:rPr>
          <w:rFonts w:ascii="Arial" w:cs="Arial" w:eastAsia="Arial" w:hAnsi="Arial"/>
          <w:sz w:val="18"/>
          <w:szCs w:val="18"/>
          <w:color w:val="auto"/>
        </w:rPr>
        <w:t xml:space="preserve">Revenue for the three and nine months ended September 28, 2018 included $55.1 million related to the settlement of a claim that was resolved in favor of the Company in the Mobility Solutions business line of our Critical Infrastructure segment. Please see “Note 14 –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in the Company’s Form S-1/A filed on April 29, 2019, for a description of this matter. Excluding the claim</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revenue for the nine months ended September 28, 2018 for the Critical Infrastructure segment was $1.5 billion, respectively and for the Mobility Solutions revenue business line revenue was and $839.7 million, respectively.</w:t>
      </w:r>
    </w:p>
    <w:p>
      <w:pPr>
        <w:spacing w:after="0" w:line="33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42" w:lineRule="exact"/>
        <w:rPr>
          <w:sz w:val="20"/>
          <w:szCs w:val="20"/>
          <w:color w:val="auto"/>
        </w:rPr>
      </w:pPr>
    </w:p>
    <w:p>
      <w:pPr>
        <w:ind w:firstLine="761"/>
        <w:spacing w:after="0" w:line="236" w:lineRule="auto"/>
        <w:rPr>
          <w:sz w:val="20"/>
          <w:szCs w:val="20"/>
          <w:color w:val="auto"/>
        </w:rPr>
      </w:pPr>
      <w:r>
        <w:rPr>
          <w:rFonts w:ascii="Arial" w:cs="Arial" w:eastAsia="Arial" w:hAnsi="Arial"/>
          <w:sz w:val="18"/>
          <w:szCs w:val="18"/>
          <w:color w:val="auto"/>
        </w:rPr>
        <w:t>On October 14, 2019, the Board of Directors of the Company approved the repurchase by the Company of shares of its Common Stock pursuant to the Company’s ESOP. The ESOP provides that, if, prior to the expiration of the lock-up period in connection with the Company’s initial public offering, the trust administering the ESOP has insufficient cash to fund all requested distributions, then, with respect to any distribution election received after the date the ESOP trustee determines it will no longer have sufficient cash to fund all requested distributions during the lock-up period, and provides at least 10 business days' written notice to the Company of such determination, the Company shall automatically, and without further action by the Company or the ESOP trustee, repurchase such number of shares of the Company's Common Stock held by the trust as is subject to any such election. The Company repurchased approximately 157,100 shares of its Common Stock for approximately $5.4 million. Pursuant to expiration of the lock-up period, the ESOP will commence regular distributions of shares to brokerage accounts of retired participants who have met the requirements for distribution.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80" w:firstLine="647"/>
        <w:spacing w:after="0" w:line="251"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S-1/A filed April 29, 2019.</w:t>
      </w:r>
    </w:p>
    <w:p>
      <w:pPr>
        <w:spacing w:after="0" w:line="174" w:lineRule="exact"/>
        <w:rPr>
          <w:sz w:val="20"/>
          <w:szCs w:val="20"/>
          <w:color w:val="auto"/>
        </w:rPr>
      </w:pPr>
    </w:p>
    <w:p>
      <w:pPr>
        <w:ind w:firstLine="647"/>
        <w:spacing w:after="0" w:line="242"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S-1/A filed April 29, 2019.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129540</wp:posOffset>
            </wp:positionV>
            <wp:extent cx="6097270" cy="45624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97270" cy="456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300" w:firstLine="647"/>
        <w:spacing w:after="0" w:line="238" w:lineRule="auto"/>
        <w:rPr>
          <w:sz w:val="20"/>
          <w:szCs w:val="20"/>
          <w:color w:val="auto"/>
        </w:rPr>
      </w:pPr>
      <w:r>
        <w:rPr>
          <w:rFonts w:ascii="Arial" w:cs="Arial" w:eastAsia="Arial" w:hAnsi="Arial"/>
          <w:sz w:val="18"/>
          <w:szCs w:val="18"/>
          <w:color w:val="auto"/>
        </w:rPr>
        <w:t>We are a leading provider of technology-driven solutions in the defense, intelligence and critical infrastructure markets. We provide solutions comprised of technical engineering services, software and hardware to address our customers’ challenges. We have developed significant expertise and differentiated capabilities in key areas of cybersecurity, intelligence, defense, military training and development, connected communities, physical infrastructure and mobility solutions. By combining our talented team of professionals and advanced technology, we help solve complex technical challenges to enable a safer, smarter and more interconnected world.</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33" w:name="page34"/>
    <w:bookmarkEnd w:id="33"/>
    <w:p>
      <w:pPr>
        <w:ind w:right="300" w:firstLine="647"/>
        <w:spacing w:after="0"/>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203"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delivery or task orders by the applicable government entity. In addition to focusing on increasing our revenues through increased contract awards and backlog, we focus our financial performance on margin expansion and cash flow.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right="80" w:firstLine="647"/>
        <w:spacing w:after="0" w:line="246"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142875</wp:posOffset>
            </wp:positionV>
            <wp:extent cx="20497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500" w:type="dxa"/>
            <w:vAlign w:val="bottom"/>
            <w:tcBorders>
              <w:bottom w:val="single" w:sz="8" w:color="CFF0FC"/>
            </w:tcBorders>
          </w:tcPr>
          <w:p>
            <w:pPr>
              <w:spacing w:after="0"/>
              <w:rPr>
                <w:sz w:val="15"/>
                <w:szCs w:val="15"/>
                <w:color w:val="auto"/>
              </w:rPr>
            </w:pPr>
          </w:p>
        </w:tc>
        <w:tc>
          <w:tcPr>
            <w:tcW w:w="246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28, 2018</w:t>
            </w:r>
          </w:p>
        </w:tc>
        <w:tc>
          <w:tcPr>
            <w:tcW w:w="26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CFF0FC"/>
            </w:tcBorders>
          </w:tcPr>
          <w:p>
            <w:pPr>
              <w:spacing w:after="0"/>
              <w:rPr>
                <w:sz w:val="15"/>
                <w:szCs w:val="15"/>
                <w:color w:val="auto"/>
              </w:rPr>
            </w:pPr>
          </w:p>
        </w:tc>
      </w:tr>
      <w:tr>
        <w:trPr>
          <w:trHeight w:val="21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282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3,218,816</w:t>
            </w:r>
          </w:p>
        </w:tc>
        <w:tc>
          <w:tcPr>
            <w:tcW w:w="64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3,334,434</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Backlog (1)</w:t>
            </w:r>
          </w:p>
        </w:tc>
        <w:tc>
          <w:tcPr>
            <w:tcW w:w="28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7,963,225</w:t>
            </w:r>
          </w:p>
        </w:tc>
        <w:tc>
          <w:tcPr>
            <w:tcW w:w="6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8,250,514</w:t>
            </w:r>
          </w:p>
        </w:tc>
        <w:tc>
          <w:tcPr>
            <w:tcW w:w="10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2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640" w:right="20" w:hanging="632"/>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Difference between our backlog of $8.3 billion and our remaining unsatisfied performance obligations, or RUPO, of $5.1 billion, each as of September 30, 2019, is due to (i) unissued delivery orders and unexercised option years, to the extent their issuance or exercise is probable, as well as (ii) contract awards, to the extent we believe contract execution and funding is probable.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26" w:lineRule="exact"/>
        <w:rPr>
          <w:sz w:val="20"/>
          <w:szCs w:val="20"/>
          <w:color w:val="auto"/>
        </w:rPr>
      </w:pPr>
    </w:p>
    <w:p>
      <w:pPr>
        <w:ind w:right="380" w:firstLine="647"/>
        <w:spacing w:after="0"/>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year to date value of new awards for the periods presented below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34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08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0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1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3440" w:type="dxa"/>
            <w:vAlign w:val="bottom"/>
            <w:tcBorders>
              <w:bottom w:val="single" w:sz="8" w:color="CFF0FC"/>
            </w:tcBorders>
          </w:tcPr>
          <w:p>
            <w:pPr>
              <w:spacing w:after="0"/>
              <w:rPr>
                <w:sz w:val="15"/>
                <w:szCs w:val="15"/>
                <w:color w:val="auto"/>
              </w:rPr>
            </w:pPr>
          </w:p>
        </w:tc>
        <w:tc>
          <w:tcPr>
            <w:tcW w:w="17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9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671,615</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845,559</w:t>
            </w:r>
          </w:p>
        </w:tc>
        <w:tc>
          <w:tcPr>
            <w:tcW w:w="4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1,624,573</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2,076,928</w:t>
            </w:r>
          </w:p>
        </w:tc>
        <w:tc>
          <w:tcPr>
            <w:tcW w:w="100" w:type="dxa"/>
            <w:vAlign w:val="bottom"/>
            <w:shd w:val="clear" w:color="auto" w:fill="CFF0FC"/>
          </w:tcPr>
          <w:p>
            <w:pPr>
              <w:spacing w:after="0"/>
              <w:rPr>
                <w:sz w:val="18"/>
                <w:szCs w:val="18"/>
                <w:color w:val="auto"/>
              </w:rPr>
            </w:pPr>
          </w:p>
        </w:tc>
      </w:tr>
      <w:tr>
        <w:trPr>
          <w:trHeight w:val="216"/>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7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552,034</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289,665</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1,594,243</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1,257,506</w:t>
            </w:r>
          </w:p>
        </w:tc>
        <w:tc>
          <w:tcPr>
            <w:tcW w:w="100" w:type="dxa"/>
            <w:vAlign w:val="bottom"/>
            <w:tcBorders>
              <w:bottom w:val="single" w:sz="8" w:color="CFF0FC"/>
            </w:tcBorders>
          </w:tcPr>
          <w:p>
            <w:pPr>
              <w:spacing w:after="0"/>
              <w:rPr>
                <w:sz w:val="18"/>
                <w:szCs w:val="18"/>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Total Awards</w:t>
            </w:r>
          </w:p>
        </w:tc>
        <w:tc>
          <w:tcPr>
            <w:tcW w:w="19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1,223,649</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1,135,224</w:t>
            </w:r>
          </w:p>
        </w:tc>
        <w:tc>
          <w:tcPr>
            <w:tcW w:w="4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3,218,816</w:t>
            </w:r>
          </w:p>
        </w:tc>
        <w:tc>
          <w:tcPr>
            <w:tcW w:w="3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3,334,434</w:t>
            </w:r>
          </w:p>
        </w:tc>
        <w:tc>
          <w:tcPr>
            <w:tcW w:w="100" w:type="dxa"/>
            <w:vAlign w:val="bottom"/>
            <w:shd w:val="clear" w:color="auto" w:fill="CFF0FC"/>
          </w:tcPr>
          <w:p>
            <w:pPr>
              <w:spacing w:after="0"/>
              <w:rPr>
                <w:sz w:val="18"/>
                <w:szCs w:val="18"/>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60" w:firstLine="647"/>
        <w:spacing w:after="0" w:line="239" w:lineRule="auto"/>
        <w:rPr>
          <w:sz w:val="20"/>
          <w:szCs w:val="20"/>
          <w:color w:val="auto"/>
        </w:rPr>
      </w:pPr>
      <w:r>
        <w:rPr>
          <w:rFonts w:ascii="Arial" w:cs="Arial" w:eastAsia="Arial" w:hAnsi="Arial"/>
          <w:sz w:val="18"/>
          <w:szCs w:val="18"/>
          <w:color w:val="auto"/>
        </w:rPr>
        <w:t>The change in new awards from year to year in our Federal Solutions segment is primarily due to significant awards in our legacy business and from business acquisitions. The change in new awards from year to year in our Critical Infrastructure segment is primarily due to ordinary course fluctuations. The volume of contract awards can fluctuate in any given period due to win rate and the timing and size of the awards issued by our customers.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780" w:hanging="257"/>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88" w:lineRule="exact"/>
        <w:rPr>
          <w:rFonts w:ascii="Arial" w:cs="Arial" w:eastAsia="Arial" w:hAnsi="Arial"/>
          <w:sz w:val="18"/>
          <w:szCs w:val="18"/>
          <w:color w:val="auto"/>
        </w:rPr>
      </w:pPr>
    </w:p>
    <w:p>
      <w:pPr>
        <w:ind w:left="900" w:right="280" w:hanging="257"/>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34" w:name="page35"/>
    <w:bookmarkEnd w:id="34"/>
    <w:p>
      <w:pPr>
        <w:ind w:right="60" w:firstLine="647"/>
        <w:spacing w:after="0" w:line="246" w:lineRule="auto"/>
        <w:rPr>
          <w:sz w:val="20"/>
          <w:szCs w:val="20"/>
          <w:color w:val="auto"/>
        </w:rPr>
      </w:pPr>
      <w:r>
        <w:rPr>
          <w:rFonts w:ascii="Arial" w:cs="Arial" w:eastAsia="Arial" w:hAnsi="Arial"/>
          <w:sz w:val="18"/>
          <w:szCs w:val="18"/>
          <w:color w:val="auto"/>
        </w:rPr>
        <w:t>Backlog includes (i) unissued delivery orders and unexercised option years, to the extent their issuance or exercise is probable, as well as (ii) contract awards, to the extent we believe contract execution and funding is probable.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28, 2018</w:t>
            </w:r>
          </w:p>
        </w:tc>
        <w:tc>
          <w:tcPr>
            <w:tcW w:w="260" w:type="dxa"/>
            <w:vAlign w:val="bottom"/>
          </w:tcPr>
          <w:p>
            <w:pPr>
              <w:spacing w:after="0"/>
              <w:rPr>
                <w:sz w:val="15"/>
                <w:szCs w:val="15"/>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2019</w:t>
            </w:r>
          </w:p>
        </w:tc>
      </w:tr>
      <w:tr>
        <w:trPr>
          <w:trHeight w:val="210"/>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4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Funded</w:t>
            </w:r>
          </w:p>
        </w:tc>
        <w:tc>
          <w:tcPr>
            <w:tcW w:w="28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998,863</w:t>
            </w:r>
          </w:p>
        </w:tc>
        <w:tc>
          <w:tcPr>
            <w:tcW w:w="6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1,214,919</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Unfunded</w:t>
            </w:r>
          </w:p>
        </w:tc>
        <w:tc>
          <w:tcPr>
            <w:tcW w:w="24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3,838,046</w:t>
            </w:r>
          </w:p>
        </w:tc>
        <w:tc>
          <w:tcPr>
            <w:tcW w:w="26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3,946,784</w:t>
            </w:r>
          </w:p>
        </w:tc>
        <w:tc>
          <w:tcPr>
            <w:tcW w:w="100" w:type="dxa"/>
            <w:vAlign w:val="bottom"/>
            <w:shd w:val="clear" w:color="auto" w:fill="CFF0FC"/>
          </w:tcPr>
          <w:p>
            <w:pPr>
              <w:spacing w:after="0"/>
              <w:rPr>
                <w:sz w:val="18"/>
                <w:szCs w:val="18"/>
                <w:color w:val="auto"/>
              </w:rPr>
            </w:pPr>
          </w:p>
        </w:tc>
      </w:tr>
      <w:tr>
        <w:trPr>
          <w:trHeight w:val="21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Federal Solutions</w:t>
            </w:r>
          </w:p>
        </w:tc>
        <w:tc>
          <w:tcPr>
            <w:tcW w:w="24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4,836,909</w:t>
            </w:r>
          </w:p>
        </w:tc>
        <w:tc>
          <w:tcPr>
            <w:tcW w:w="2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5,161,703</w:t>
            </w:r>
          </w:p>
        </w:tc>
        <w:tc>
          <w:tcPr>
            <w:tcW w:w="100" w:type="dxa"/>
            <w:vAlign w:val="bottom"/>
            <w:tcBorders>
              <w:bottom w:val="single" w:sz="8" w:color="CFF0FC"/>
            </w:tcBorders>
          </w:tcPr>
          <w:p>
            <w:pPr>
              <w:spacing w:after="0"/>
              <w:rPr>
                <w:sz w:val="18"/>
                <w:szCs w:val="18"/>
                <w:color w:val="auto"/>
              </w:rPr>
            </w:pP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Critical Infrastructure:</w:t>
            </w:r>
          </w:p>
        </w:tc>
        <w:tc>
          <w:tcPr>
            <w:tcW w:w="2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Funded</w:t>
            </w:r>
          </w:p>
        </w:tc>
        <w:tc>
          <w:tcPr>
            <w:tcW w:w="2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3,126,316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3,050,525</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Unfunded</w:t>
            </w:r>
          </w:p>
        </w:tc>
        <w:tc>
          <w:tcPr>
            <w:tcW w:w="24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38,286</w:t>
            </w:r>
          </w:p>
        </w:tc>
        <w:tc>
          <w:tcPr>
            <w:tcW w:w="100" w:type="dxa"/>
            <w:vAlign w:val="bottom"/>
            <w:shd w:val="clear" w:color="auto" w:fill="CFF0FC"/>
          </w:tcPr>
          <w:p>
            <w:pPr>
              <w:spacing w:after="0"/>
              <w:rPr>
                <w:sz w:val="18"/>
                <w:szCs w:val="18"/>
                <w:color w:val="auto"/>
              </w:rPr>
            </w:pPr>
          </w:p>
        </w:tc>
      </w:tr>
      <w:tr>
        <w:trPr>
          <w:trHeight w:val="21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Critical Infrastructure</w:t>
            </w:r>
          </w:p>
        </w:tc>
        <w:tc>
          <w:tcPr>
            <w:tcW w:w="24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3,126,316</w:t>
            </w:r>
          </w:p>
        </w:tc>
        <w:tc>
          <w:tcPr>
            <w:tcW w:w="26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3,088,811</w:t>
            </w:r>
          </w:p>
        </w:tc>
        <w:tc>
          <w:tcPr>
            <w:tcW w:w="100" w:type="dxa"/>
            <w:vAlign w:val="bottom"/>
            <w:tcBorders>
              <w:bottom w:val="single" w:sz="8" w:color="CFF0FC"/>
            </w:tcBorders>
          </w:tcPr>
          <w:p>
            <w:pPr>
              <w:spacing w:after="0"/>
              <w:rPr>
                <w:sz w:val="18"/>
                <w:szCs w:val="18"/>
                <w:color w:val="auto"/>
              </w:rPr>
            </w:pP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Backlog (1)</w:t>
            </w:r>
          </w:p>
        </w:tc>
        <w:tc>
          <w:tcPr>
            <w:tcW w:w="28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7,963,225</w:t>
            </w:r>
          </w:p>
        </w:tc>
        <w:tc>
          <w:tcPr>
            <w:tcW w:w="64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8,250,514</w:t>
            </w:r>
          </w:p>
        </w:tc>
        <w:tc>
          <w:tcPr>
            <w:tcW w:w="100" w:type="dxa"/>
            <w:vAlign w:val="bottom"/>
            <w:shd w:val="clear" w:color="auto" w:fill="CFF0FC"/>
          </w:tcPr>
          <w:p>
            <w:pPr>
              <w:spacing w:after="0"/>
              <w:rPr>
                <w:sz w:val="18"/>
                <w:szCs w:val="18"/>
                <w:color w:val="auto"/>
              </w:rPr>
            </w:pP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24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640" w:right="10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Difference between our backlog of $8.3 billion and our RUPO of $5.1 billion, each as of September 30, 2019, is due to (i) unissued delivery orders and unexercised option years, to the extent their issuance or exercise is probable, as well as (ii) contract awards, to the extent we believe contract execution and funding is probable.</w:t>
      </w:r>
    </w:p>
    <w:p>
      <w:pPr>
        <w:spacing w:after="0" w:line="203" w:lineRule="exact"/>
        <w:rPr>
          <w:sz w:val="20"/>
          <w:szCs w:val="20"/>
          <w:color w:val="auto"/>
        </w:rPr>
      </w:pPr>
    </w:p>
    <w:p>
      <w:pPr>
        <w:ind w:right="180" w:firstLine="647"/>
        <w:spacing w:after="0" w:line="238"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203" w:lineRule="exact"/>
        <w:rPr>
          <w:sz w:val="20"/>
          <w:szCs w:val="20"/>
          <w:color w:val="auto"/>
        </w:rPr>
      </w:pPr>
    </w:p>
    <w:p>
      <w:pPr>
        <w:ind w:right="120" w:firstLine="647"/>
        <w:spacing w:after="0" w:line="237" w:lineRule="auto"/>
        <w:rPr>
          <w:sz w:val="20"/>
          <w:szCs w:val="20"/>
          <w:color w:val="auto"/>
        </w:rPr>
      </w:pPr>
      <w:r>
        <w:rPr>
          <w:rFonts w:ascii="Arial" w:cs="Arial" w:eastAsia="Arial" w:hAnsi="Arial"/>
          <w:sz w:val="18"/>
          <w:szCs w:val="18"/>
          <w:color w:val="auto"/>
        </w:rPr>
        <w:t>We expect to recognize $2.8 billion of our funded backlog at September 30, 2019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 Risks Relating to Our Business—We may not realize the full value of our backlog, which may result in lower than expected revenue” in the Company’s Form S-1/A filed on April 29, 2019.</w:t>
      </w:r>
    </w:p>
    <w:p>
      <w:pPr>
        <w:spacing w:after="0" w:line="205" w:lineRule="exact"/>
        <w:rPr>
          <w:sz w:val="20"/>
          <w:szCs w:val="20"/>
          <w:color w:val="auto"/>
        </w:rPr>
      </w:pPr>
    </w:p>
    <w:p>
      <w:pPr>
        <w:ind w:right="300" w:firstLine="647"/>
        <w:spacing w:after="0"/>
        <w:rPr>
          <w:sz w:val="20"/>
          <w:szCs w:val="20"/>
          <w:color w:val="auto"/>
        </w:rPr>
      </w:pPr>
      <w:r>
        <w:rPr>
          <w:rFonts w:ascii="Arial" w:cs="Arial" w:eastAsia="Arial" w:hAnsi="Arial"/>
          <w:sz w:val="18"/>
          <w:szCs w:val="18"/>
          <w:color w:val="auto"/>
        </w:rPr>
        <w:t>The changes in backlog in our Federal Solutions segment is primarily from business acquisitions which contributed $0.3 billion. The change in backlog in our Critical Infrastructure segment was primarily due to ordinary course fluctuations in our business. Our backlog will fluctuate in any given period based on the volume of awards issued in comparison to the revenue generated from our existing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26" w:lineRule="exact"/>
        <w:rPr>
          <w:sz w:val="20"/>
          <w:szCs w:val="20"/>
          <w:color w:val="auto"/>
        </w:rPr>
      </w:pPr>
    </w:p>
    <w:p>
      <w:pPr>
        <w:ind w:right="60" w:firstLine="647"/>
        <w:spacing w:after="0" w:line="237"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3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28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8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September 28,</w:t>
            </w:r>
          </w:p>
        </w:tc>
        <w:tc>
          <w:tcPr>
            <w:tcW w:w="13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11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340" w:type="dxa"/>
            <w:vAlign w:val="bottom"/>
            <w:tcBorders>
              <w:bottom w:val="single" w:sz="8" w:color="CFF0FC"/>
            </w:tcBorders>
          </w:tcPr>
          <w:p>
            <w:pPr>
              <w:spacing w:after="0"/>
              <w:rPr>
                <w:sz w:val="15"/>
                <w:szCs w:val="15"/>
                <w:color w:val="auto"/>
              </w:rPr>
            </w:pPr>
          </w:p>
        </w:tc>
        <w:tc>
          <w:tcPr>
            <w:tcW w:w="19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980" w:type="dxa"/>
            <w:vAlign w:val="bottom"/>
            <w:gridSpan w:val="2"/>
            <w:shd w:val="clear" w:color="auto" w:fill="CFF0FC"/>
          </w:tcPr>
          <w:p>
            <w:pPr>
              <w:ind w:left="23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920" w:type="dxa"/>
            <w:vAlign w:val="bottom"/>
            <w:gridSpan w:val="2"/>
          </w:tcPr>
          <w:p>
            <w:pPr>
              <w:ind w:left="580"/>
              <w:spacing w:after="0"/>
              <w:rPr>
                <w:sz w:val="20"/>
                <w:szCs w:val="20"/>
                <w:color w:val="auto"/>
              </w:rPr>
            </w:pPr>
            <w:r>
              <w:rPr>
                <w:rFonts w:ascii="Arial" w:cs="Arial" w:eastAsia="Arial" w:hAnsi="Arial"/>
                <w:sz w:val="18"/>
                <w:szCs w:val="18"/>
                <w:color w:val="auto"/>
              </w:rPr>
              <w:t>Critical Infrastructure</w:t>
            </w:r>
          </w:p>
        </w:tc>
        <w:tc>
          <w:tcPr>
            <w:tcW w:w="2980" w:type="dxa"/>
            <w:vAlign w:val="bottom"/>
            <w:gridSpan w:val="2"/>
          </w:tcPr>
          <w:p>
            <w:pPr>
              <w:ind w:left="23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60" w:type="dxa"/>
            <w:vAlign w:val="bottom"/>
          </w:tcPr>
          <w:p>
            <w:pPr>
              <w:jc w:val="right"/>
              <w:ind w:right="297"/>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40" w:type="dxa"/>
            <w:vAlign w:val="bottom"/>
          </w:tcPr>
          <w:p>
            <w:pPr>
              <w:jc w:val="right"/>
              <w:ind w:right="277"/>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2980" w:type="dxa"/>
            <w:vAlign w:val="bottom"/>
            <w:gridSpan w:val="2"/>
            <w:shd w:val="clear" w:color="auto" w:fill="CFF0FC"/>
          </w:tcPr>
          <w:p>
            <w:pPr>
              <w:ind w:left="23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79"/>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34" w:lineRule="exact"/>
        <w:rPr>
          <w:sz w:val="20"/>
          <w:szCs w:val="20"/>
          <w:color w:val="auto"/>
        </w:rPr>
      </w:pPr>
    </w:p>
    <w:p>
      <w:pPr>
        <w:ind w:right="60" w:firstLine="647"/>
        <w:spacing w:after="0" w:line="239"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26" w:lineRule="exact"/>
        <w:rPr>
          <w:sz w:val="20"/>
          <w:szCs w:val="20"/>
          <w:color w:val="auto"/>
        </w:rPr>
      </w:pPr>
    </w:p>
    <w:p>
      <w:pPr>
        <w:ind w:right="140" w:firstLine="647"/>
        <w:spacing w:after="0" w:line="236"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26" w:lineRule="exact"/>
        <w:rPr>
          <w:sz w:val="20"/>
          <w:szCs w:val="20"/>
          <w:color w:val="auto"/>
        </w:rPr>
      </w:pPr>
    </w:p>
    <w:p>
      <w:pPr>
        <w:ind w:right="20" w:firstLine="647"/>
        <w:spacing w:after="0" w:line="236"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26"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26" w:lineRule="exact"/>
        <w:rPr>
          <w:sz w:val="20"/>
          <w:szCs w:val="20"/>
          <w:color w:val="auto"/>
        </w:rPr>
      </w:pPr>
    </w:p>
    <w:p>
      <w:pPr>
        <w:ind w:right="40" w:firstLine="647"/>
        <w:spacing w:after="0" w:line="237" w:lineRule="auto"/>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 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Polaris Alpha</w:t>
      </w:r>
    </w:p>
    <w:p>
      <w:pPr>
        <w:spacing w:after="0" w:line="122" w:lineRule="exact"/>
        <w:rPr>
          <w:sz w:val="20"/>
          <w:szCs w:val="20"/>
          <w:color w:val="auto"/>
        </w:rPr>
      </w:pPr>
    </w:p>
    <w:p>
      <w:pPr>
        <w:ind w:firstLine="647"/>
        <w:spacing w:after="0" w:line="239" w:lineRule="auto"/>
        <w:rPr>
          <w:sz w:val="20"/>
          <w:szCs w:val="20"/>
          <w:color w:val="auto"/>
        </w:rPr>
      </w:pPr>
      <w:r>
        <w:rPr>
          <w:rFonts w:ascii="Arial" w:cs="Arial" w:eastAsia="Arial" w:hAnsi="Arial"/>
          <w:sz w:val="18"/>
          <w:szCs w:val="18"/>
          <w:color w:val="auto"/>
        </w:rPr>
        <w:t>On May 31, 2018, the Company acquired Polaris Alpha for $489.1 million. Polaris Alpha is an advanced, technology-focused provider of innovative mission solutions for national security, intelligence and other U.S. federal customers. The acquisition was funded by cash on-hand and borrowings under our Revolving Credit Facility. The financial results of Polaris Alpha have been included in our consolidated results of operations from May 31, 2018 onward.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OGSystems</w:t>
      </w:r>
    </w:p>
    <w:p>
      <w:pPr>
        <w:spacing w:after="0" w:line="122" w:lineRule="exact"/>
        <w:rPr>
          <w:sz w:val="20"/>
          <w:szCs w:val="20"/>
          <w:color w:val="auto"/>
        </w:rPr>
      </w:pPr>
    </w:p>
    <w:p>
      <w:pPr>
        <w:ind w:right="40" w:firstLine="647"/>
        <w:spacing w:after="0" w:line="239" w:lineRule="auto"/>
        <w:rPr>
          <w:sz w:val="20"/>
          <w:szCs w:val="20"/>
          <w:color w:val="auto"/>
        </w:rPr>
      </w:pPr>
      <w:r>
        <w:rPr>
          <w:rFonts w:ascii="Arial" w:cs="Arial" w:eastAsia="Arial" w:hAnsi="Arial"/>
          <w:sz w:val="18"/>
          <w:szCs w:val="18"/>
          <w:color w:val="auto"/>
        </w:rPr>
        <w:t>On January 7, 2019, the Company acquired OGSystems for $ 292.4 million. OGSystems provides geospatial intelligence, big data analytics and threat mitigation for defense and intelligence customers. The acquisition was funded by cash on-hand and borrowings under our Term Loan and Revolving Credit Facility. The financial results of OGSystems have been included in our consolidated results of operations from January 7, 2019 onward.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QRC Technologies</w:t>
      </w:r>
    </w:p>
    <w:p>
      <w:pPr>
        <w:spacing w:after="0" w:line="122" w:lineRule="exact"/>
        <w:rPr>
          <w:sz w:val="20"/>
          <w:szCs w:val="20"/>
          <w:color w:val="auto"/>
        </w:rPr>
      </w:pPr>
    </w:p>
    <w:p>
      <w:pPr>
        <w:ind w:right="100" w:firstLine="647"/>
        <w:spacing w:after="0" w:line="246" w:lineRule="auto"/>
        <w:rPr>
          <w:sz w:val="20"/>
          <w:szCs w:val="20"/>
          <w:color w:val="auto"/>
        </w:rPr>
      </w:pPr>
      <w:r>
        <w:rPr>
          <w:rFonts w:ascii="Arial" w:cs="Arial" w:eastAsia="Arial" w:hAnsi="Arial"/>
          <w:sz w:val="18"/>
          <w:szCs w:val="18"/>
          <w:color w:val="auto"/>
        </w:rPr>
        <w:t>On July 31, 2019, the Company acquired QRC Technologies for $214.1 million. QRC Technologies provides design and development of open-architecture radio-frequency products. The acquisition was funded by cash on-hand and borrowings under our Revolving Credit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Facility. The financial results of QRC Technologies have been included in our consolidated results of operations from July 31, 2019 onward.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right="20" w:firstLine="647"/>
        <w:spacing w:after="0" w:line="236" w:lineRule="auto"/>
        <w:rPr>
          <w:sz w:val="20"/>
          <w:szCs w:val="20"/>
          <w:color w:val="auto"/>
        </w:rPr>
      </w:pPr>
      <w:r>
        <w:rPr>
          <w:rFonts w:ascii="Arial" w:cs="Arial" w:eastAsia="Arial" w:hAnsi="Arial"/>
          <w:sz w:val="18"/>
          <w:szCs w:val="18"/>
          <w:color w:val="auto"/>
        </w:rPr>
        <w:t>Our results may be affected by variances as a result of seasonality we experience across our businesses. This pattern is typically driven by the U.S. federal government fiscal year-end, September 30. While not certain, it is not uncommon for U.S. government agencies to award extra tasks or complete other contract actions in the weeks before the end of the U.S. federal government fiscal year in order to avoid the loss of unexpended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126" w:lineRule="exact"/>
        <w:rPr>
          <w:sz w:val="20"/>
          <w:szCs w:val="20"/>
          <w:color w:val="auto"/>
        </w:rPr>
      </w:pPr>
    </w:p>
    <w:p>
      <w:pPr>
        <w:ind w:right="20" w:firstLine="690"/>
        <w:spacing w:after="0" w:line="237" w:lineRule="auto"/>
        <w:rPr>
          <w:sz w:val="20"/>
          <w:szCs w:val="20"/>
          <w:color w:val="auto"/>
        </w:rPr>
      </w:pPr>
      <w:r>
        <w:rPr>
          <w:rFonts w:ascii="Arial" w:cs="Arial" w:eastAsia="Arial" w:hAnsi="Arial"/>
          <w:sz w:val="18"/>
          <w:szCs w:val="18"/>
          <w:color w:val="auto"/>
        </w:rPr>
        <w:t>Historically, the Company had elected to be taxed under the provisions of Subchapter “S” of the Internal Revenue Code for federal tax purposes. As a result, the Company’s income had not been subject to U.S. federal income taxes or state income taxes in those states where the “S” Corporation status was recognized. No provision or liability for federal or state income tax had been provided in the Company’s consolidated financial statements except for those states where the “S” Corporation status was not recognized and for the 1.5% California franchise tax to which the Company was also subject as a California “S” Corporation. The provision for income tax in the historical periods prior to the initial public offering (“IPO”) consists of these taxes.</w:t>
      </w:r>
    </w:p>
    <w:p>
      <w:pPr>
        <w:spacing w:after="0" w:line="205" w:lineRule="exact"/>
        <w:rPr>
          <w:sz w:val="20"/>
          <w:szCs w:val="20"/>
          <w:color w:val="auto"/>
        </w:rPr>
      </w:pPr>
    </w:p>
    <w:p>
      <w:pPr>
        <w:ind w:right="20" w:firstLine="690"/>
        <w:spacing w:after="0" w:line="239" w:lineRule="auto"/>
        <w:rPr>
          <w:sz w:val="20"/>
          <w:szCs w:val="20"/>
          <w:color w:val="auto"/>
        </w:rPr>
      </w:pPr>
      <w:r>
        <w:rPr>
          <w:rFonts w:ascii="Arial" w:cs="Arial" w:eastAsia="Arial" w:hAnsi="Arial"/>
          <w:sz w:val="18"/>
          <w:szCs w:val="18"/>
          <w:color w:val="auto"/>
        </w:rPr>
        <w:t>In connection with the IPO on May 8, 2019, the Company’s “S” Corporation status terminated and the Company will be treated as a “C” Corporation under Subchapter C of the Internal Revenue Code. The revocation of the Company’s “S” Corporation election had a material impact on the Company’s results of operations, financial condition and cash flows. Going forward the effective income tax rate will increase and net income will decrease since the Company will be subject to both U.S. federal and state taxes on our earnings.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right="60" w:firstLine="647"/>
        <w:spacing w:after="0" w:line="238" w:lineRule="auto"/>
        <w:rPr>
          <w:sz w:val="20"/>
          <w:szCs w:val="20"/>
          <w:color w:val="auto"/>
        </w:rPr>
      </w:pPr>
      <w:r>
        <w:rPr>
          <w:rFonts w:ascii="Arial" w:cs="Arial" w:eastAsia="Arial" w:hAnsi="Arial"/>
          <w:sz w:val="18"/>
          <w:szCs w:val="18"/>
          <w:color w:val="auto"/>
        </w:rPr>
        <w:t>In October 2018, our board of directors approved a change in our annual and quarterly fiscal period ends from the last Friday on or before the calendar year or quarterly month-end to the last day of the calendar year or quarterly month-end. Accordingly, the period end for the first, second, and third quarters of fiscal 2018 and fiscal 2019 are March 30, 2018, June 29, 2018, and September 28, 2018, respectively, and March 31, 2019, June 30, 2019, and September 30, 2019, respectively. The number of days in the three and nine month periods ended September 28, 2018 and September 30, 2019 were 91 and 273, respectively, and 92 and 273,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right="220" w:firstLine="647"/>
        <w:spacing w:after="0"/>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revenue for work performed under cost-plus, time-and-materials and fixed-price contracts, as follows:</w:t>
      </w:r>
    </w:p>
    <w:p>
      <w:pPr>
        <w:spacing w:after="0" w:line="212" w:lineRule="exact"/>
        <w:rPr>
          <w:sz w:val="20"/>
          <w:szCs w:val="20"/>
          <w:color w:val="auto"/>
        </w:rPr>
      </w:pPr>
    </w:p>
    <w:p>
      <w:pPr>
        <w:ind w:firstLine="647"/>
        <w:spacing w:after="0" w:line="237" w:lineRule="auto"/>
        <w:rPr>
          <w:sz w:val="20"/>
          <w:szCs w:val="20"/>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 Revenue for cost-plus contracts is generally recognized using the cost-to-cost measure of progress method. Accounting for the sales and profits on performance obligations for which progress is measured using the cost-to-cost method involves the preparation of estimates of: (1) transaction price and (2) total costs at completion, which is equal to the sum of the actual incurred costs to date on the contract and the estimated costs to complete the contract’s statement of work.</w:t>
      </w:r>
    </w:p>
    <w:p>
      <w:pPr>
        <w:spacing w:after="0" w:line="203" w:lineRule="exact"/>
        <w:rPr>
          <w:sz w:val="20"/>
          <w:szCs w:val="20"/>
          <w:color w:val="auto"/>
        </w:rPr>
      </w:pPr>
    </w:p>
    <w:p>
      <w:pPr>
        <w:ind w:right="360" w:firstLine="647"/>
        <w:spacing w:after="0" w:line="239" w:lineRule="auto"/>
        <w:rPr>
          <w:sz w:val="20"/>
          <w:szCs w:val="20"/>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 Revenue on time-and-materials contracts is recognized as services are performed and are contractually billable.</w:t>
      </w:r>
    </w:p>
    <w:p>
      <w:pPr>
        <w:spacing w:after="0" w:line="202" w:lineRule="exact"/>
        <w:rPr>
          <w:sz w:val="20"/>
          <w:szCs w:val="20"/>
          <w:color w:val="auto"/>
        </w:rPr>
      </w:pPr>
    </w:p>
    <w:p>
      <w:pPr>
        <w:ind w:right="80" w:firstLine="647"/>
        <w:spacing w:after="0" w:line="246" w:lineRule="auto"/>
        <w:rPr>
          <w:sz w:val="20"/>
          <w:szCs w:val="20"/>
          <w:color w:val="auto"/>
        </w:rPr>
      </w:pPr>
      <w:r>
        <w:rPr>
          <w:rFonts w:ascii="Arial" w:cs="Arial" w:eastAsia="Arial" w:hAnsi="Arial"/>
          <w:sz w:val="18"/>
          <w:szCs w:val="18"/>
          <w:color w:val="auto"/>
        </w:rPr>
        <w:t>Under fixed -price, or FFP contracts, clients pay an agreed fixed-amount negotiated in advance for a specified scope of work. Revenue on FFP contracts is generally recognized using the cost-to-cost measure of progress method.</w:t>
      </w:r>
    </w:p>
    <w:p>
      <w:pPr>
        <w:spacing w:after="0" w:line="197" w:lineRule="exact"/>
        <w:rPr>
          <w:sz w:val="20"/>
          <w:szCs w:val="20"/>
          <w:color w:val="auto"/>
        </w:rPr>
      </w:pPr>
    </w:p>
    <w:p>
      <w:pPr>
        <w:ind w:right="140" w:firstLine="647"/>
        <w:spacing w:after="0"/>
        <w:rPr>
          <w:sz w:val="20"/>
          <w:szCs w:val="20"/>
          <w:color w:val="auto"/>
        </w:rPr>
      </w:pPr>
      <w:r>
        <w:rPr>
          <w:rFonts w:ascii="Arial" w:cs="Arial" w:eastAsia="Arial" w:hAnsi="Arial"/>
          <w:sz w:val="18"/>
          <w:szCs w:val="18"/>
          <w:color w:val="auto"/>
        </w:rPr>
        <w:t>Please see “Management’s Discussion and Analysis of Financial Condition and Results of Operations—Critical Accounting Policies and Estimates” and “Note 2—Summary of Significant Accounting Polices” in the notes to our consolidated financial statements included in the Company’s Form S-1/A filed on April 29, 2019 for a further description of our policies on revenue recognition.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2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3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r>
      <w:tr>
        <w:trPr>
          <w:trHeight w:val="156"/>
        </w:trPr>
        <w:tc>
          <w:tcPr>
            <w:tcW w:w="5260" w:type="dxa"/>
            <w:vAlign w:val="bottom"/>
          </w:tcPr>
          <w:p>
            <w:pPr>
              <w:spacing w:after="0"/>
              <w:rPr>
                <w:sz w:val="13"/>
                <w:szCs w:val="13"/>
                <w:color w:val="auto"/>
              </w:rPr>
            </w:pPr>
          </w:p>
        </w:tc>
        <w:tc>
          <w:tcPr>
            <w:tcW w:w="124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13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11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26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Fixed-price</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29.2%</w:t>
            </w:r>
          </w:p>
        </w:tc>
        <w:tc>
          <w:tcPr>
            <w:tcW w:w="12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Time-and-materials</w:t>
            </w:r>
          </w:p>
        </w:tc>
        <w:tc>
          <w:tcPr>
            <w:tcW w:w="1020" w:type="dxa"/>
            <w:vAlign w:val="bottom"/>
          </w:tcPr>
          <w:p>
            <w:pPr>
              <w:jc w:val="center"/>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27.9%</w:t>
            </w:r>
          </w:p>
        </w:tc>
        <w:tc>
          <w:tcPr>
            <w:tcW w:w="3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27.8%</w:t>
            </w:r>
          </w:p>
        </w:tc>
        <w:tc>
          <w:tcPr>
            <w:tcW w:w="12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43.9%</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43.1%</w:t>
            </w:r>
          </w:p>
        </w:tc>
        <w:tc>
          <w:tcPr>
            <w:tcW w:w="1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38" w:name="page39"/>
    <w:bookmarkEnd w:id="38"/>
    <w:p>
      <w:pPr>
        <w:ind w:right="700" w:firstLine="647"/>
        <w:spacing w:after="0"/>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 is determined to have an impact on contract profit, we record a positive or negative adjustment to revenue and/or direct cost of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26" w:lineRule="exact"/>
        <w:rPr>
          <w:sz w:val="20"/>
          <w:szCs w:val="20"/>
          <w:color w:val="auto"/>
        </w:rPr>
      </w:pPr>
    </w:p>
    <w:p>
      <w:pPr>
        <w:ind w:firstLine="647"/>
        <w:spacing w:after="0" w:line="237"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the Company’s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 to our unconsolidated joint ventures for three months ended September 28, 2018 and September 30, 2019, of $36.6 million and $28.8 million, respectively, and for the nine months ended September 28, 2018 and September 30, 2019, $112.2 million and $113.1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26" w:lineRule="exact"/>
        <w:rPr>
          <w:sz w:val="20"/>
          <w:szCs w:val="20"/>
          <w:color w:val="auto"/>
        </w:rPr>
      </w:pPr>
    </w:p>
    <w:p>
      <w:pPr>
        <w:ind w:right="40" w:firstLine="647"/>
        <w:spacing w:after="0" w:line="236" w:lineRule="auto"/>
        <w:rPr>
          <w:sz w:val="20"/>
          <w:szCs w:val="20"/>
          <w:color w:val="auto"/>
        </w:rPr>
      </w:pPr>
      <w:r>
        <w:rPr>
          <w:rFonts w:ascii="Arial" w:cs="Arial" w:eastAsia="Arial" w:hAnsi="Arial"/>
          <w:sz w:val="18"/>
          <w:szCs w:val="18"/>
          <w:color w:val="auto"/>
        </w:rPr>
        <w:t>Operating costs and expenses primarily include direct costs of contracts and indirect,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September 28, 2018 and September 30, 2019 was $11.4 million and $12.3 million, respectively, and for the nine months ended September 28, 2018 and September 30, 2019 was $ 34.1 million and $36.8 million, respectively, and is recorded in “Direct cost of contracts” and “Indirect, general and administrative expenses.” We expect operating expenses to increase due to our anticipated growth and the incremental costs associated with being a public company. In particular, under our existing compensation plans, we will adjust our compensation expense on a quarterly basis for any change in our share price from the end of the prior quarter. However, on a forward-looking basis, we generally expect these costs to decline as a percentage of our total revenue as we realize the benefits of scale.</w:t>
      </w:r>
    </w:p>
    <w:p>
      <w:pPr>
        <w:spacing w:after="0" w:line="207" w:lineRule="exact"/>
        <w:rPr>
          <w:sz w:val="20"/>
          <w:szCs w:val="20"/>
          <w:color w:val="auto"/>
        </w:rPr>
      </w:pPr>
    </w:p>
    <w:p>
      <w:pPr>
        <w:ind w:right="120" w:firstLine="647"/>
        <w:spacing w:after="0" w:line="246"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costs, travel expenses and other expenses incurred to perform on contracts.</w:t>
      </w:r>
    </w:p>
    <w:p>
      <w:pPr>
        <w:spacing w:after="0" w:line="197" w:lineRule="exact"/>
        <w:rPr>
          <w:sz w:val="20"/>
          <w:szCs w:val="20"/>
          <w:color w:val="auto"/>
        </w:rPr>
      </w:pPr>
    </w:p>
    <w:p>
      <w:pPr>
        <w:ind w:right="300" w:firstLine="647"/>
        <w:spacing w:after="0" w:line="246" w:lineRule="auto"/>
        <w:rPr>
          <w:sz w:val="20"/>
          <w:szCs w:val="20"/>
          <w:color w:val="auto"/>
        </w:rPr>
      </w:pPr>
      <w:r>
        <w:rPr>
          <w:rFonts w:ascii="Arial" w:cs="Arial" w:eastAsia="Arial" w:hAnsi="Arial"/>
          <w:sz w:val="18"/>
          <w:szCs w:val="18"/>
          <w:color w:val="auto"/>
        </w:rPr>
        <w:t>Indirect, general and administrative expenses include salaries and wages and fringe benefits of our employees not performing work directly for customers, facility costs and other costs related to these indirect functions.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26" w:lineRule="exact"/>
        <w:rPr>
          <w:sz w:val="20"/>
          <w:szCs w:val="20"/>
          <w:color w:val="auto"/>
        </w:rPr>
      </w:pPr>
    </w:p>
    <w:p>
      <w:pPr>
        <w:ind w:right="240" w:firstLine="647"/>
        <w:spacing w:after="0" w:line="246" w:lineRule="auto"/>
        <w:rPr>
          <w:sz w:val="20"/>
          <w:szCs w:val="20"/>
          <w:color w:val="auto"/>
        </w:rPr>
      </w:pPr>
      <w:r>
        <w:rPr>
          <w:rFonts w:ascii="Arial" w:cs="Arial" w:eastAsia="Arial" w:hAnsi="Arial"/>
          <w:sz w:val="18"/>
          <w:szCs w:val="18"/>
          <w:color w:val="auto"/>
        </w:rPr>
        <w:t>Other income and expenses primarily consist of interest income, interest expense, other income, net and interest and other expense associated with claims on long-term contracts.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interest expense incurred under our Senior Notes and Credit Agreement.</w:t>
      </w:r>
    </w:p>
    <w:p>
      <w:pPr>
        <w:spacing w:after="0" w:line="212" w:lineRule="exact"/>
        <w:rPr>
          <w:sz w:val="20"/>
          <w:szCs w:val="20"/>
          <w:color w:val="auto"/>
        </w:rPr>
      </w:pPr>
    </w:p>
    <w:p>
      <w:pPr>
        <w:ind w:right="800" w:firstLine="647"/>
        <w:spacing w:after="0" w:line="246"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34" w:lineRule="exact"/>
        <w:rPr>
          <w:sz w:val="20"/>
          <w:szCs w:val="20"/>
          <w:color w:val="auto"/>
        </w:rPr>
      </w:pPr>
    </w:p>
    <w:p>
      <w:pPr>
        <w:ind w:right="520" w:firstLine="647"/>
        <w:spacing w:after="0" w:line="246"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nine months ended September 28, 2018 and September 30, 2019.</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r>
      <w:tr>
        <w:trPr>
          <w:trHeight w:val="156"/>
        </w:trPr>
        <w:tc>
          <w:tcPr>
            <w:tcW w:w="3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4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28,</w:t>
            </w:r>
          </w:p>
        </w:tc>
        <w:tc>
          <w:tcPr>
            <w:tcW w:w="80" w:type="dxa"/>
            <w:vAlign w:val="bottom"/>
          </w:tcPr>
          <w:p>
            <w:pPr>
              <w:spacing w:after="0"/>
              <w:rPr>
                <w:sz w:val="13"/>
                <w:szCs w:val="13"/>
                <w:color w:val="auto"/>
              </w:rPr>
            </w:pPr>
          </w:p>
        </w:tc>
        <w:tc>
          <w:tcPr>
            <w:tcW w:w="132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b w:val="1"/>
                <w:bCs w:val="1"/>
                <w:color w:val="auto"/>
              </w:rPr>
              <w:t>September 28,</w:t>
            </w:r>
          </w:p>
        </w:tc>
        <w:tc>
          <w:tcPr>
            <w:tcW w:w="80" w:type="dxa"/>
            <w:vAlign w:val="bottom"/>
          </w:tcPr>
          <w:p>
            <w:pPr>
              <w:spacing w:after="0"/>
              <w:rPr>
                <w:sz w:val="13"/>
                <w:szCs w:val="13"/>
                <w:color w:val="auto"/>
              </w:rPr>
            </w:pPr>
          </w:p>
        </w:tc>
        <w:tc>
          <w:tcPr>
            <w:tcW w:w="1220" w:type="dxa"/>
            <w:vAlign w:val="bottom"/>
            <w:gridSpan w:val="2"/>
          </w:tcPr>
          <w:p>
            <w:pPr>
              <w:jc w:val="right"/>
              <w:ind w:right="2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36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3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r>
      <w:tr>
        <w:trPr>
          <w:trHeight w:val="21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560" w:type="dxa"/>
            <w:vAlign w:val="bottom"/>
            <w:gridSpan w:val="2"/>
            <w:shd w:val="clear" w:color="auto" w:fill="CFF0FC"/>
          </w:tcPr>
          <w:p>
            <w:pPr>
              <w:ind w:left="1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88,564</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88,990</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192,029</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237,219</w:t>
            </w:r>
          </w:p>
        </w:tc>
        <w:tc>
          <w:tcPr>
            <w:tcW w:w="180" w:type="dxa"/>
            <w:vAlign w:val="bottom"/>
            <w:shd w:val="clear" w:color="auto" w:fill="CFF0FC"/>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Income Margin (2)</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w:t>
            </w:r>
          </w:p>
        </w:tc>
        <w:tc>
          <w:tcPr>
            <w:tcW w:w="13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7.3%</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1040" w:hanging="654"/>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2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39" w:name="page40"/>
    <w:bookmarkEnd w:id="39"/>
    <w:p>
      <w:pPr>
        <w:ind w:left="1040" w:hanging="65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03" w:lineRule="exact"/>
        <w:rPr>
          <w:rFonts w:ascii="Arial" w:cs="Arial" w:eastAsia="Arial" w:hAnsi="Arial"/>
          <w:sz w:val="18"/>
          <w:szCs w:val="18"/>
          <w:color w:val="auto"/>
        </w:rPr>
      </w:pPr>
    </w:p>
    <w:p>
      <w:pPr>
        <w:ind w:left="1040" w:hanging="65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30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right"/>
              <w:ind w:right="200"/>
              <w:spacing w:after="0" w:line="156" w:lineRule="exact"/>
              <w:rPr>
                <w:sz w:val="20"/>
                <w:szCs w:val="20"/>
                <w:color w:val="auto"/>
              </w:rPr>
            </w:pPr>
            <w:r>
              <w:rPr>
                <w:rFonts w:ascii="Arial" w:cs="Arial" w:eastAsia="Arial" w:hAnsi="Arial"/>
                <w:sz w:val="14"/>
                <w:szCs w:val="14"/>
                <w:b w:val="1"/>
                <w:bCs w:val="1"/>
                <w:color w:val="auto"/>
              </w:rPr>
              <w:t>September 28,</w:t>
            </w:r>
          </w:p>
        </w:tc>
        <w:tc>
          <w:tcPr>
            <w:tcW w:w="80" w:type="dxa"/>
            <w:vAlign w:val="bottom"/>
          </w:tcPr>
          <w:p>
            <w:pPr>
              <w:spacing w:after="0"/>
              <w:rPr>
                <w:sz w:val="13"/>
                <w:szCs w:val="13"/>
                <w:color w:val="auto"/>
              </w:rPr>
            </w:pPr>
          </w:p>
        </w:tc>
        <w:tc>
          <w:tcPr>
            <w:tcW w:w="1260" w:type="dxa"/>
            <w:vAlign w:val="bottom"/>
            <w:gridSpan w:val="3"/>
          </w:tcPr>
          <w:p>
            <w:pPr>
              <w:jc w:val="right"/>
              <w:ind w:right="24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114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0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36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41,222</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214,890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106,812</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18,448</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(15,453)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(67,063)</w:t>
            </w:r>
          </w:p>
        </w:tc>
      </w:tr>
      <w:tr>
        <w:trPr>
          <w:trHeight w:val="216"/>
        </w:trPr>
        <w:tc>
          <w:tcPr>
            <w:tcW w:w="50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92,692</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40"/>
              <w:spacing w:after="0"/>
              <w:rPr>
                <w:sz w:val="20"/>
                <w:szCs w:val="20"/>
                <w:color w:val="auto"/>
              </w:rPr>
            </w:pPr>
            <w:r>
              <w:rPr>
                <w:rFonts w:ascii="Arial" w:cs="Arial" w:eastAsia="Arial" w:hAnsi="Arial"/>
                <w:sz w:val="18"/>
                <w:szCs w:val="18"/>
                <w:color w:val="auto"/>
              </w:rPr>
              <w:t>Litigation-related gains(a)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(129,674)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deferred gain resulting from sale-leaseback</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080" w:type="dxa"/>
            <w:vAlign w:val="bottom"/>
            <w:shd w:val="clear" w:color="auto" w:fill="CFF0FC"/>
          </w:tcPr>
          <w:p>
            <w:pPr>
              <w:ind w:left="240"/>
              <w:spacing w:after="0" w:line="203" w:lineRule="exact"/>
              <w:rPr>
                <w:sz w:val="20"/>
                <w:szCs w:val="20"/>
                <w:color w:val="auto"/>
              </w:rPr>
            </w:pPr>
            <w:r>
              <w:rPr>
                <w:rFonts w:ascii="Arial" w:cs="Arial" w:eastAsia="Arial" w:hAnsi="Arial"/>
                <w:sz w:val="18"/>
                <w:szCs w:val="18"/>
                <w:color w:val="auto"/>
              </w:rPr>
              <w:t>transactions(b)</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(1,798)</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(5,440)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16"/>
        </w:trPr>
        <w:tc>
          <w:tcPr>
            <w:tcW w:w="508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45,504</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Transaction-related costs(c)</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26,961</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240"/>
              <w:spacing w:after="0"/>
              <w:rPr>
                <w:sz w:val="20"/>
                <w:szCs w:val="20"/>
                <w:color w:val="auto"/>
              </w:rPr>
            </w:pPr>
            <w:r>
              <w:rPr>
                <w:rFonts w:ascii="Arial" w:cs="Arial" w:eastAsia="Arial" w:hAnsi="Arial"/>
                <w:sz w:val="18"/>
                <w:szCs w:val="18"/>
                <w:color w:val="auto"/>
              </w:rPr>
              <w:t>Restructuring(d)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FF0FC"/>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88,564</w:t>
            </w:r>
          </w:p>
        </w:tc>
        <w:tc>
          <w:tcPr>
            <w:tcW w:w="140" w:type="dxa"/>
            <w:vAlign w:val="bottom"/>
          </w:tcPr>
          <w:p>
            <w:pPr>
              <w:spacing w:after="0"/>
              <w:rPr>
                <w:sz w:val="18"/>
                <w:szCs w:val="18"/>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88,990</w:t>
            </w:r>
          </w:p>
        </w:tc>
        <w:tc>
          <w:tcPr>
            <w:tcW w:w="18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192,029</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237,219</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8" w:lineRule="exact"/>
        <w:rPr>
          <w:sz w:val="20"/>
          <w:szCs w:val="20"/>
          <w:color w:val="auto"/>
        </w:rPr>
      </w:pPr>
    </w:p>
    <w:p>
      <w:pPr>
        <w:ind w:left="640" w:right="60" w:hanging="632"/>
        <w:spacing w:after="0" w:line="23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Reversal of an accrued liability, with $55.1 million recorded to revenue and $74.6 million recorded to other income (“gain associated with claim on long-term contract”) in our results of operations, associated with a lawsuit against a joint venture in which the Company is the managing partner. Please see “Note 14 – Commitments and Contingencies” in the Company’s Form S-1/A filed on April 29, 2019, for a description of this matter, which was resolved in favor of the Company on June 13, 2018.</w:t>
      </w:r>
    </w:p>
    <w:p>
      <w:pPr>
        <w:spacing w:after="0" w:line="3"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recognized deferred gains related to sales-leaseback transactions described in “Note 10- Sale-Leasebacks.”</w:t>
      </w:r>
    </w:p>
    <w:p>
      <w:pPr>
        <w:ind w:left="640" w:right="880" w:hanging="632"/>
        <w:spacing w:after="0" w:line="23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IPO,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40" w:right="300" w:hanging="632"/>
        <w:spacing w:after="0" w:line="24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97" w:lineRule="exact"/>
        <w:rPr>
          <w:sz w:val="20"/>
          <w:szCs w:val="20"/>
          <w:color w:val="auto"/>
        </w:rPr>
      </w:pPr>
    </w:p>
    <w:p>
      <w:pPr>
        <w:ind w:right="80" w:firstLine="647"/>
        <w:spacing w:after="0" w:line="238"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203"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(loss)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amortization of deferred gain resulting from sale-leaseback transactions,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0" w:name="page41"/>
    <w:bookmarkEnd w:id="40"/>
    <w:p>
      <w:pPr>
        <w:ind w:right="400" w:firstLine="64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Variance</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380" w:type="dxa"/>
            <w:vAlign w:val="bottom"/>
          </w:tcPr>
          <w:p>
            <w:pPr>
              <w:spacing w:after="0"/>
              <w:rPr>
                <w:sz w:val="13"/>
                <w:szCs w:val="13"/>
                <w:color w:val="auto"/>
              </w:rPr>
            </w:pPr>
          </w:p>
        </w:tc>
        <w:tc>
          <w:tcPr>
            <w:tcW w:w="78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w:t>
            </w:r>
          </w:p>
        </w:tc>
        <w:tc>
          <w:tcPr>
            <w:tcW w:w="1160" w:type="dxa"/>
            <w:vAlign w:val="bottom"/>
            <w:gridSpan w:val="3"/>
          </w:tcPr>
          <w:p>
            <w:pPr>
              <w:ind w:left="180"/>
              <w:spacing w:after="0" w:line="156"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September</w:t>
            </w:r>
          </w:p>
        </w:tc>
        <w:tc>
          <w:tcPr>
            <w:tcW w:w="1360" w:type="dxa"/>
            <w:vAlign w:val="bottom"/>
            <w:gridSpan w:val="4"/>
          </w:tcPr>
          <w:p>
            <w:pPr>
              <w:ind w:left="180"/>
              <w:spacing w:after="0" w:line="156" w:lineRule="exact"/>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b w:val="1"/>
                <w:bCs w:val="1"/>
                <w:color w:val="auto"/>
                <w:w w:val="99"/>
              </w:rPr>
              <w:t>28, 2018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Dollar</w:t>
            </w: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Percent</w:t>
            </w:r>
          </w:p>
        </w:tc>
        <w:tc>
          <w:tcPr>
            <w:tcW w:w="800" w:type="dxa"/>
            <w:vAlign w:val="bottom"/>
          </w:tcPr>
          <w:p>
            <w:pPr>
              <w:jc w:val="right"/>
              <w:ind w:right="38"/>
              <w:spacing w:after="0"/>
              <w:rPr>
                <w:sz w:val="20"/>
                <w:szCs w:val="20"/>
                <w:color w:val="auto"/>
              </w:rPr>
            </w:pPr>
            <w:r>
              <w:rPr>
                <w:rFonts w:ascii="Arial" w:cs="Arial" w:eastAsia="Arial" w:hAnsi="Arial"/>
                <w:sz w:val="14"/>
                <w:szCs w:val="14"/>
                <w:b w:val="1"/>
                <w:bCs w:val="1"/>
                <w:color w:val="auto"/>
              </w:rPr>
              <w:t>28, 2018</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Adjusted EBITDA</w:t>
            </w: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33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attributable to Parsons Corporation</w:t>
            </w:r>
          </w:p>
        </w:tc>
        <w:tc>
          <w:tcPr>
            <w:tcW w:w="1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45,556</w:t>
            </w:r>
          </w:p>
        </w:tc>
        <w:tc>
          <w:tcPr>
            <w:tcW w:w="400" w:type="dxa"/>
            <w:vAlign w:val="bottom"/>
            <w:gridSpan w:val="2"/>
            <w:shd w:val="clear" w:color="auto" w:fill="CFF0FC"/>
          </w:tcPr>
          <w:p>
            <w:pPr>
              <w:ind w:left="180"/>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50,359</w:t>
            </w:r>
          </w:p>
        </w:tc>
        <w:tc>
          <w:tcPr>
            <w:tcW w:w="4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4,803</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10.5%</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4"/>
              </w:rPr>
              <w:t>$ 101,052</w:t>
            </w:r>
          </w:p>
        </w:tc>
        <w:tc>
          <w:tcPr>
            <w:tcW w:w="400" w:type="dxa"/>
            <w:vAlign w:val="bottom"/>
            <w:gridSpan w:val="2"/>
            <w:shd w:val="clear" w:color="auto" w:fill="CFF0FC"/>
          </w:tcPr>
          <w:p>
            <w:pPr>
              <w:ind w:left="18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126,658</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$ 25,606</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25.3%</w:t>
            </w: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Critical Infrastructure Adjusted EBITDA</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8"/>
                <w:szCs w:val="18"/>
                <w:color w:val="auto"/>
              </w:rPr>
              <w:t>attributable to Parsons Corporation</w:t>
            </w: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38,006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33,976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(4,030)</w:t>
            </w:r>
          </w:p>
        </w:tc>
        <w:tc>
          <w:tcPr>
            <w:tcW w:w="240" w:type="dxa"/>
            <w:vAlign w:val="bottom"/>
          </w:tcPr>
          <w:p>
            <w:pPr>
              <w:spacing w:after="0"/>
              <w:rPr>
                <w:sz w:val="17"/>
                <w:szCs w:val="17"/>
                <w:color w:val="auto"/>
              </w:rPr>
            </w:pPr>
          </w:p>
        </w:tc>
        <w:tc>
          <w:tcPr>
            <w:tcW w:w="7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-10.6%</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80,296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102,177</w:t>
            </w: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21,881</w:t>
            </w:r>
          </w:p>
        </w:tc>
        <w:tc>
          <w:tcPr>
            <w:tcW w:w="180" w:type="dxa"/>
            <w:vAlign w:val="bottom"/>
          </w:tcPr>
          <w:p>
            <w:pPr>
              <w:spacing w:after="0"/>
              <w:rPr>
                <w:sz w:val="17"/>
                <w:szCs w:val="17"/>
                <w:color w:val="auto"/>
              </w:rPr>
            </w:pPr>
          </w:p>
        </w:tc>
        <w:tc>
          <w:tcPr>
            <w:tcW w:w="8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27.3%</w:t>
            </w: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33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5,002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4,655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(347)</w:t>
            </w:r>
          </w:p>
        </w:tc>
        <w:tc>
          <w:tcPr>
            <w:tcW w:w="2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-6.9%</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10,681</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8,384</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(2,297)</w:t>
            </w:r>
          </w:p>
        </w:tc>
        <w:tc>
          <w:tcPr>
            <w:tcW w:w="8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-21.5%</w:t>
            </w:r>
          </w:p>
        </w:tc>
      </w:tr>
      <w:tr>
        <w:trPr>
          <w:trHeight w:val="20"/>
        </w:trPr>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Total Adjusted EBITDA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88,564</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88,990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$ 192,029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237,219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$ 45,190</w:t>
            </w: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r>
      <w:tr>
        <w:trPr>
          <w:trHeight w:val="20"/>
        </w:trPr>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80" w:firstLine="647"/>
        <w:spacing w:after="0" w:line="246" w:lineRule="auto"/>
        <w:rPr>
          <w:sz w:val="20"/>
          <w:szCs w:val="20"/>
          <w:color w:val="auto"/>
        </w:rPr>
      </w:pPr>
      <w:r>
        <w:rPr>
          <w:rFonts w:ascii="Arial" w:cs="Arial" w:eastAsia="Arial" w:hAnsi="Arial"/>
          <w:sz w:val="18"/>
          <w:szCs w:val="18"/>
          <w:color w:val="auto"/>
        </w:rPr>
        <w:t>The following table sets forth our results of operations for the three and nine months ended September 28, 2018 and September 30, 2019 as a percentage of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4"/>
          </w:tcPr>
          <w:p>
            <w:pPr>
              <w:jc w:val="center"/>
              <w:ind w:right="360"/>
              <w:spacing w:after="0" w:line="156" w:lineRule="exact"/>
              <w:rPr>
                <w:sz w:val="20"/>
                <w:szCs w:val="20"/>
                <w:color w:val="auto"/>
              </w:rPr>
            </w:pPr>
            <w:r>
              <w:rPr>
                <w:rFonts w:ascii="Arial" w:cs="Arial" w:eastAsia="Arial" w:hAnsi="Arial"/>
                <w:sz w:val="14"/>
                <w:szCs w:val="14"/>
                <w:b w:val="1"/>
                <w:bCs w:val="1"/>
                <w:color w:val="auto"/>
              </w:rPr>
              <w:t>September 28,</w:t>
            </w:r>
          </w:p>
        </w:tc>
        <w:tc>
          <w:tcPr>
            <w:tcW w:w="1200" w:type="dxa"/>
            <w:vAlign w:val="bottom"/>
            <w:gridSpan w:val="3"/>
          </w:tcPr>
          <w:p>
            <w:pPr>
              <w:jc w:val="center"/>
              <w:ind w:right="24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16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September 28,</w:t>
            </w:r>
          </w:p>
        </w:tc>
        <w:tc>
          <w:tcPr>
            <w:tcW w:w="1860" w:type="dxa"/>
            <w:vAlign w:val="bottom"/>
            <w:gridSpan w:val="8"/>
          </w:tcPr>
          <w:p>
            <w:pPr>
              <w:jc w:val="right"/>
              <w:ind w:right="760"/>
              <w:spacing w:after="0" w:line="156"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26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580"/>
              <w:spacing w:after="0"/>
              <w:rPr>
                <w:sz w:val="20"/>
                <w:szCs w:val="20"/>
                <w:color w:val="auto"/>
              </w:rPr>
            </w:pPr>
            <w:r>
              <w:rPr>
                <w:rFonts w:ascii="Arial" w:cs="Arial" w:eastAsia="Arial" w:hAnsi="Arial"/>
                <w:sz w:val="18"/>
                <w:szCs w:val="18"/>
                <w:color w:val="auto"/>
              </w:rPr>
              <w:t>Direct costs of contracts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80.2%</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78.0%</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78.1%</w:t>
            </w:r>
          </w:p>
        </w:tc>
        <w:tc>
          <w:tcPr>
            <w:tcW w:w="1300" w:type="dxa"/>
            <w:vAlign w:val="bottom"/>
            <w:gridSpan w:val="6"/>
          </w:tcPr>
          <w:p>
            <w:pPr>
              <w:jc w:val="right"/>
              <w:ind w:right="20"/>
              <w:spacing w:after="0"/>
              <w:rPr>
                <w:sz w:val="20"/>
                <w:szCs w:val="20"/>
                <w:color w:val="auto"/>
              </w:rPr>
            </w:pPr>
            <w:r>
              <w:rPr>
                <w:rFonts w:ascii="Arial" w:cs="Arial" w:eastAsia="Arial" w:hAnsi="Arial"/>
                <w:sz w:val="18"/>
                <w:szCs w:val="18"/>
                <w:color w:val="auto"/>
              </w:rPr>
              <w:t>78.8%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0.7%</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6"/>
          </w:tcPr>
          <w:p>
            <w:pPr>
              <w:spacing w:after="0"/>
              <w:rPr>
                <w:sz w:val="20"/>
                <w:szCs w:val="20"/>
                <w:color w:val="auto"/>
              </w:rPr>
            </w:pPr>
            <w:r>
              <w:rPr>
                <w:rFonts w:ascii="Arial" w:cs="Arial" w:eastAsia="Arial" w:hAnsi="Arial"/>
                <w:sz w:val="18"/>
                <w:szCs w:val="18"/>
                <w:color w:val="auto"/>
              </w:rPr>
              <w:t>Indirect, general and administrative expenses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17.4%</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16.0%</w:t>
            </w:r>
          </w:p>
        </w:tc>
        <w:tc>
          <w:tcPr>
            <w:tcW w:w="1300" w:type="dxa"/>
            <w:vAlign w:val="bottom"/>
            <w:gridSpan w:val="6"/>
          </w:tcPr>
          <w:p>
            <w:pPr>
              <w:jc w:val="right"/>
              <w:ind w:right="20"/>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tcPr>
          <w:p>
            <w:pPr>
              <w:ind w:left="5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ind w:left="580"/>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80" w:type="dxa"/>
            <w:vAlign w:val="bottom"/>
            <w:gridSpan w:val="6"/>
            <w:shd w:val="clear" w:color="auto" w:fill="CFF0FC"/>
          </w:tcPr>
          <w:p>
            <w:pPr>
              <w:spacing w:after="0"/>
              <w:rPr>
                <w:sz w:val="20"/>
                <w:szCs w:val="20"/>
                <w:color w:val="auto"/>
              </w:rPr>
            </w:pPr>
            <w:r>
              <w:rPr>
                <w:rFonts w:ascii="Arial" w:cs="Arial" w:eastAsia="Arial" w:hAnsi="Arial"/>
                <w:sz w:val="18"/>
                <w:szCs w:val="18"/>
                <w:color w:val="auto"/>
              </w:rPr>
              <w:t>(Interest and other expense) gain associated with claim on</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6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long-term contract</w:t>
            </w:r>
          </w:p>
        </w:tc>
        <w:tc>
          <w:tcPr>
            <w:tcW w:w="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tcBorders>
              <w:right w:val="single" w:sz="8" w:color="CFF0FC"/>
            </w:tcBorders>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0.0%</w:t>
            </w:r>
          </w:p>
        </w:tc>
        <w:tc>
          <w:tcPr>
            <w:tcW w:w="1200" w:type="dxa"/>
            <w:vAlign w:val="bottom"/>
            <w:gridSpan w:val="3"/>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0.0%</w:t>
            </w:r>
          </w:p>
        </w:tc>
        <w:tc>
          <w:tcPr>
            <w:tcW w:w="1360" w:type="dxa"/>
            <w:vAlign w:val="bottom"/>
            <w:gridSpan w:val="3"/>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20" w:type="dxa"/>
            <w:vAlign w:val="bottom"/>
            <w:gridSpan w:val="4"/>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0.0%</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600" w:type="dxa"/>
            <w:vAlign w:val="bottom"/>
          </w:tcPr>
          <w:p>
            <w:pPr>
              <w:ind w:left="240"/>
              <w:spacing w:after="0"/>
              <w:rPr>
                <w:sz w:val="20"/>
                <w:szCs w:val="20"/>
                <w:color w:val="auto"/>
              </w:rPr>
            </w:pPr>
            <w:r>
              <w:rPr>
                <w:rFonts w:ascii="Arial" w:cs="Arial" w:eastAsia="Arial" w:hAnsi="Arial"/>
                <w:sz w:val="18"/>
                <w:szCs w:val="18"/>
                <w:color w:val="auto"/>
                <w:w w:val="99"/>
              </w:rPr>
              <w:t>Total other income (expense)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-0.7%</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20" w:type="dxa"/>
            <w:vAlign w:val="bottom"/>
            <w:gridSpan w:val="2"/>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Income before income tax provision</w:t>
            </w: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20" w:type="dxa"/>
            <w:vAlign w:val="bottom"/>
            <w:gridSpan w:val="2"/>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160" w:type="dxa"/>
            <w:vAlign w:val="bottom"/>
            <w:gridSpan w:val="2"/>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gridSpan w:val="6"/>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gridSpan w:val="6"/>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-0.5%</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20" w:type="dxa"/>
            <w:vAlign w:val="bottom"/>
            <w:gridSpan w:val="2"/>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160" w:type="dxa"/>
            <w:vAlign w:val="bottom"/>
            <w:gridSpan w:val="2"/>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gridSpan w:val="6"/>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1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Revenue</w:t>
            </w: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Variance</w:t>
            </w:r>
          </w:p>
        </w:tc>
        <w:tc>
          <w:tcPr>
            <w:tcW w:w="240" w:type="dxa"/>
            <w:vAlign w:val="bottom"/>
          </w:tcPr>
          <w:p>
            <w:pPr>
              <w:spacing w:after="0"/>
              <w:rPr>
                <w:sz w:val="24"/>
                <w:szCs w:val="24"/>
                <w:color w:val="auto"/>
              </w:rPr>
            </w:pPr>
          </w:p>
        </w:tc>
        <w:tc>
          <w:tcPr>
            <w:tcW w:w="21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w:t>
            </w:r>
          </w:p>
        </w:tc>
        <w:tc>
          <w:tcPr>
            <w:tcW w:w="118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20"/>
              <w:spacing w:after="0" w:line="156" w:lineRule="exact"/>
              <w:rPr>
                <w:sz w:val="20"/>
                <w:szCs w:val="20"/>
                <w:color w:val="auto"/>
              </w:rPr>
            </w:pPr>
            <w:r>
              <w:rPr>
                <w:rFonts w:ascii="Arial" w:cs="Arial" w:eastAsia="Arial" w:hAnsi="Arial"/>
                <w:sz w:val="14"/>
                <w:szCs w:val="14"/>
                <w:b w:val="1"/>
                <w:bCs w:val="1"/>
                <w:color w:val="auto"/>
              </w:rPr>
              <w:t>September</w:t>
            </w:r>
          </w:p>
        </w:tc>
        <w:tc>
          <w:tcPr>
            <w:tcW w:w="1360" w:type="dxa"/>
            <w:vAlign w:val="bottom"/>
            <w:gridSpan w:val="3"/>
          </w:tcPr>
          <w:p>
            <w:pPr>
              <w:jc w:val="center"/>
              <w:ind w:right="20"/>
              <w:spacing w:after="0" w:line="156"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color w:val="auto"/>
              </w:rPr>
              <w:t>(U.S. dollars in thousands)</w:t>
            </w:r>
          </w:p>
        </w:tc>
        <w:tc>
          <w:tcPr>
            <w:tcW w:w="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28, 2018</w:t>
            </w: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28, 2018</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Dollar</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$ 976,157</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$ 1,023,277</w:t>
            </w: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$ 47,120</w:t>
            </w:r>
          </w:p>
        </w:tc>
        <w:tc>
          <w:tcPr>
            <w:tcW w:w="180" w:type="dxa"/>
            <w:vAlign w:val="bottom"/>
            <w:shd w:val="clear" w:color="auto" w:fill="CFF0FC"/>
          </w:tcPr>
          <w:p>
            <w:pPr>
              <w:spacing w:after="0"/>
              <w:rPr>
                <w:sz w:val="18"/>
                <w:szCs w:val="18"/>
                <w:color w:val="auto"/>
              </w:rPr>
            </w:pPr>
          </w:p>
        </w:tc>
        <w:tc>
          <w:tcPr>
            <w:tcW w:w="1920" w:type="dxa"/>
            <w:vAlign w:val="bottom"/>
            <w:gridSpan w:val="5"/>
            <w:shd w:val="clear" w:color="auto" w:fill="CFF0FC"/>
          </w:tcPr>
          <w:p>
            <w:pPr>
              <w:jc w:val="center"/>
              <w:ind w:left="331"/>
              <w:spacing w:after="0"/>
              <w:rPr>
                <w:sz w:val="20"/>
                <w:szCs w:val="20"/>
                <w:color w:val="auto"/>
              </w:rPr>
            </w:pPr>
            <w:r>
              <w:rPr>
                <w:rFonts w:ascii="Arial" w:cs="Arial" w:eastAsia="Arial" w:hAnsi="Arial"/>
                <w:sz w:val="18"/>
                <w:szCs w:val="18"/>
                <w:color w:val="auto"/>
              </w:rPr>
              <w:t>4.8% $ 2,631,568</w:t>
            </w:r>
          </w:p>
        </w:tc>
        <w:tc>
          <w:tcPr>
            <w:tcW w:w="12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$ 2,917,424</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$ 285,856</w:t>
            </w:r>
          </w:p>
        </w:tc>
        <w:tc>
          <w:tcPr>
            <w:tcW w:w="108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360" w:firstLine="647"/>
        <w:spacing w:after="0"/>
        <w:rPr>
          <w:sz w:val="20"/>
          <w:szCs w:val="20"/>
          <w:color w:val="auto"/>
        </w:rPr>
      </w:pPr>
      <w:r>
        <w:rPr>
          <w:rFonts w:ascii="Arial" w:cs="Arial" w:eastAsia="Arial" w:hAnsi="Arial"/>
          <w:sz w:val="18"/>
          <w:szCs w:val="18"/>
          <w:color w:val="auto"/>
        </w:rPr>
        <w:t>Revenue increased $47.1 million for the three months ended September 30, 2019 when compared to the corresponding period last year, primarily due to an increase in revenue in our Federal Solutions segment of $42.5 million and an increase in our Critical Infrastructure segment of $4.7 million.</w:t>
      </w:r>
    </w:p>
    <w:p>
      <w:pPr>
        <w:spacing w:after="0" w:line="203" w:lineRule="exact"/>
        <w:rPr>
          <w:sz w:val="20"/>
          <w:szCs w:val="20"/>
          <w:color w:val="auto"/>
        </w:rPr>
      </w:pPr>
    </w:p>
    <w:p>
      <w:pPr>
        <w:ind w:right="180" w:firstLine="647"/>
        <w:spacing w:after="0" w:line="237" w:lineRule="auto"/>
        <w:rPr>
          <w:sz w:val="20"/>
          <w:szCs w:val="20"/>
          <w:color w:val="auto"/>
        </w:rPr>
      </w:pPr>
      <w:r>
        <w:rPr>
          <w:rFonts w:ascii="Arial" w:cs="Arial" w:eastAsia="Arial" w:hAnsi="Arial"/>
          <w:sz w:val="18"/>
          <w:szCs w:val="18"/>
          <w:color w:val="auto"/>
        </w:rPr>
        <w:t xml:space="preserve">Revenue for the nine months ended September 28, 2018 included $55.1 million related to the settlement of a claim that was resolved in favor of the Company on June 13, 2018, in our Critical Infrastructure segment. Please see “Note 14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Company’s Form S-1/A filed on April 29, 2019, for a description of this matter. Excluding the claim settlement, revenue increased $341.0 million for the nine months ended September 30, 2019 when compared to the corresponding period last year, primarily due to an increase in revenue in our Federal Solutions segment of $311.4 million and an increase in our Critical Infrastructure segment of $29.6 million See “— Segment Results” below for further discussion.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Direct costs of contracts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2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6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w:t>
            </w:r>
          </w:p>
        </w:tc>
        <w:tc>
          <w:tcPr>
            <w:tcW w:w="118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September</w:t>
            </w:r>
          </w:p>
        </w:tc>
        <w:tc>
          <w:tcPr>
            <w:tcW w:w="1160" w:type="dxa"/>
            <w:vAlign w:val="bottom"/>
            <w:gridSpan w:val="2"/>
          </w:tcPr>
          <w:p>
            <w:pPr>
              <w:ind w:left="18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5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6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28, 2018</w:t>
            </w: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28, 2018</w:t>
            </w:r>
          </w:p>
        </w:tc>
        <w:tc>
          <w:tcPr>
            <w:tcW w:w="1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$ 783,018</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798,552</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$ 15,534</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 $ 2,054,201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$ 2,297,512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$ 243,311</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r>
    </w:tbl>
    <w:p>
      <w:pPr>
        <w:spacing w:after="0" w:line="242" w:lineRule="exact"/>
        <w:rPr>
          <w:sz w:val="20"/>
          <w:szCs w:val="20"/>
          <w:color w:val="auto"/>
        </w:rPr>
      </w:pPr>
    </w:p>
    <w:p>
      <w:pPr>
        <w:ind w:right="40" w:firstLine="647"/>
        <w:spacing w:after="0" w:line="236" w:lineRule="auto"/>
        <w:rPr>
          <w:sz w:val="20"/>
          <w:szCs w:val="20"/>
          <w:color w:val="auto"/>
        </w:rPr>
      </w:pPr>
      <w:r>
        <w:rPr>
          <w:rFonts w:ascii="Arial" w:cs="Arial" w:eastAsia="Arial" w:hAnsi="Arial"/>
          <w:sz w:val="18"/>
          <w:szCs w:val="18"/>
          <w:color w:val="auto"/>
        </w:rPr>
        <w:t>Direct cost of contracts increased for the three months ended September 30, 2019 when compared to the corresponding period last year primarily due to an increase of $ 18.5 million in our Federal Solutions segment offset by a decrease of $3.0 million in our Critical Infrastructure segment. The increase in our Federal Solutions segment was due primarily to business acquisitions, which added $27.4 million, and was primarily offset by a decrease in pass-through sub-contractor and material costs. The decrease in our Critical Infrastructure segment was primarily due to a decrease in pass-through sub-contractor and material costs. Direct cost of contracts increased for the nine months ended September 30, 2019 when compared to the corresponding period last year, primarily due to an increase of $221.8 million in our Federal Solutions segment and from an increase of $21.5 million in our Critical Infrastructure segment. The increase in our Federal Solutions segment was due primarily to business acquisitions, which added $207.8 million. The increase in our Critical Infrastructure segment was primarily due to an increase in business volume under existing contracts.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Variance</w:t>
            </w:r>
          </w:p>
        </w:tc>
        <w:tc>
          <w:tcPr>
            <w:tcW w:w="28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280" w:type="dxa"/>
            <w:vAlign w:val="bottom"/>
          </w:tcPr>
          <w:p>
            <w:pPr>
              <w:spacing w:after="0"/>
              <w:rPr>
                <w:sz w:val="13"/>
                <w:szCs w:val="13"/>
                <w:color w:val="auto"/>
              </w:rPr>
            </w:pPr>
          </w:p>
        </w:tc>
        <w:tc>
          <w:tcPr>
            <w:tcW w:w="100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w:t>
            </w:r>
          </w:p>
        </w:tc>
        <w:tc>
          <w:tcPr>
            <w:tcW w:w="122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September</w:t>
            </w:r>
          </w:p>
        </w:tc>
        <w:tc>
          <w:tcPr>
            <w:tcW w:w="1200" w:type="dxa"/>
            <w:vAlign w:val="bottom"/>
            <w:gridSpan w:val="3"/>
          </w:tcPr>
          <w:p>
            <w:pPr>
              <w:ind w:left="200"/>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800" w:type="dxa"/>
            <w:vAlign w:val="bottom"/>
          </w:tcPr>
          <w:p>
            <w:pPr>
              <w:jc w:val="right"/>
              <w:ind w:right="64"/>
              <w:spacing w:after="0"/>
              <w:rPr>
                <w:sz w:val="20"/>
                <w:szCs w:val="20"/>
                <w:color w:val="auto"/>
              </w:rPr>
            </w:pPr>
            <w:r>
              <w:rPr>
                <w:rFonts w:ascii="Arial" w:cs="Arial" w:eastAsia="Arial" w:hAnsi="Arial"/>
                <w:sz w:val="14"/>
                <w:szCs w:val="14"/>
                <w:b w:val="1"/>
                <w:bCs w:val="1"/>
                <w:color w:val="auto"/>
              </w:rPr>
              <w:t>28, 2018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Dollar</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Percent</w:t>
            </w:r>
          </w:p>
        </w:tc>
        <w:tc>
          <w:tcPr>
            <w:tcW w:w="800" w:type="dxa"/>
            <w:vAlign w:val="bottom"/>
          </w:tcPr>
          <w:p>
            <w:pPr>
              <w:jc w:val="right"/>
              <w:ind w:right="64"/>
              <w:spacing w:after="0"/>
              <w:rPr>
                <w:sz w:val="20"/>
                <w:szCs w:val="20"/>
                <w:color w:val="auto"/>
              </w:rPr>
            </w:pPr>
            <w:r>
              <w:rPr>
                <w:rFonts w:ascii="Arial" w:cs="Arial" w:eastAsia="Arial" w:hAnsi="Arial"/>
                <w:sz w:val="14"/>
                <w:szCs w:val="14"/>
                <w:b w:val="1"/>
                <w:bCs w:val="1"/>
                <w:color w:val="auto"/>
              </w:rPr>
              <w:t>28, 2018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Dollar</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earnings of unconsolidated</w:t>
            </w: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32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joint ventures</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12,707</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7,274</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 (5,433)</w:t>
            </w:r>
          </w:p>
        </w:tc>
        <w:tc>
          <w:tcPr>
            <w:tcW w:w="98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-42.8%</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25,577</w:t>
            </w:r>
          </w:p>
        </w:tc>
        <w:tc>
          <w:tcPr>
            <w:tcW w:w="420" w:type="dxa"/>
            <w:vAlign w:val="bottom"/>
            <w:gridSpan w:val="2"/>
            <w:shd w:val="clear" w:color="auto" w:fill="CFF0FC"/>
          </w:tcPr>
          <w:p>
            <w:pPr>
              <w:ind w:left="200"/>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29,305</w:t>
            </w:r>
          </w:p>
        </w:tc>
        <w:tc>
          <w:tcPr>
            <w:tcW w:w="9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3,728</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14.6%</w:t>
            </w:r>
          </w:p>
        </w:tc>
      </w:tr>
    </w:tbl>
    <w:p>
      <w:pPr>
        <w:spacing w:after="0" w:line="242" w:lineRule="exact"/>
        <w:rPr>
          <w:sz w:val="20"/>
          <w:szCs w:val="20"/>
          <w:color w:val="auto"/>
        </w:rPr>
      </w:pPr>
    </w:p>
    <w:p>
      <w:pPr>
        <w:ind w:firstLine="647"/>
        <w:spacing w:after="0" w:line="238" w:lineRule="auto"/>
        <w:rPr>
          <w:sz w:val="20"/>
          <w:szCs w:val="20"/>
          <w:color w:val="auto"/>
        </w:rPr>
      </w:pPr>
      <w:r>
        <w:rPr>
          <w:rFonts w:ascii="Arial" w:cs="Arial" w:eastAsia="Arial" w:hAnsi="Arial"/>
          <w:sz w:val="18"/>
          <w:szCs w:val="18"/>
          <w:color w:val="auto"/>
        </w:rPr>
        <w:t>Equity in earnings of unconsolidated joint ventures decreased for the three months ended September 30, 2019 when compared to the corresponding period last year. The decrease is primarily related to the substantial completion of a significant joint venture. For the nine months ended September 30, 2019, equity in earnings of unconsolidated joint ventures increased when compared to the corresponding periods last year. The increase was primarily due to increased activity under a number of the Company’s existing joint ventures, offset by the substantial completion of a significant joint venture during the quarter.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900" w:type="dxa"/>
            <w:vAlign w:val="bottom"/>
            <w:gridSpan w:val="4"/>
          </w:tcPr>
          <w:p>
            <w:pPr>
              <w:ind w:left="520"/>
              <w:spacing w:after="0"/>
              <w:rPr>
                <w:sz w:val="20"/>
                <w:szCs w:val="20"/>
                <w:color w:val="auto"/>
              </w:rPr>
            </w:pPr>
            <w:r>
              <w:rPr>
                <w:rFonts w:ascii="Arial" w:cs="Arial" w:eastAsia="Arial" w:hAnsi="Arial"/>
                <w:sz w:val="14"/>
                <w:szCs w:val="14"/>
                <w:b w:val="1"/>
                <w:bCs w:val="1"/>
                <w:color w:val="auto"/>
              </w:rPr>
              <w:t>Variance</w:t>
            </w:r>
          </w:p>
        </w:tc>
        <w:tc>
          <w:tcPr>
            <w:tcW w:w="1960" w:type="dxa"/>
            <w:vAlign w:val="bottom"/>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18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Variance</w:t>
            </w:r>
          </w:p>
        </w:tc>
      </w:tr>
      <w:tr>
        <w:trPr>
          <w:trHeight w:val="156"/>
        </w:trPr>
        <w:tc>
          <w:tcPr>
            <w:tcW w:w="3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top w:val="single" w:sz="8" w:color="auto"/>
            </w:tcBorders>
            <w:gridSpan w:val="2"/>
          </w:tcPr>
          <w:p>
            <w:pPr>
              <w:ind w:left="20"/>
              <w:spacing w:after="0" w:line="156" w:lineRule="exact"/>
              <w:rPr>
                <w:sz w:val="20"/>
                <w:szCs w:val="20"/>
                <w:color w:val="auto"/>
              </w:rPr>
            </w:pPr>
            <w:r>
              <w:rPr>
                <w:rFonts w:ascii="Arial" w:cs="Arial" w:eastAsia="Arial" w:hAnsi="Arial"/>
                <w:sz w:val="14"/>
                <w:szCs w:val="14"/>
                <w:b w:val="1"/>
                <w:bCs w:val="1"/>
                <w:color w:val="auto"/>
              </w:rPr>
              <w:t>September</w:t>
            </w:r>
          </w:p>
        </w:tc>
        <w:tc>
          <w:tcPr>
            <w:tcW w:w="1000" w:type="dxa"/>
            <w:vAlign w:val="bottom"/>
            <w:tcBorders>
              <w:top w:val="single" w:sz="8" w:color="auto"/>
            </w:tcBorders>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September</w:t>
            </w:r>
          </w:p>
        </w:tc>
        <w:tc>
          <w:tcPr>
            <w:tcW w:w="1160" w:type="dxa"/>
            <w:vAlign w:val="bottom"/>
            <w:tcBorders>
              <w:top w:val="single" w:sz="8" w:color="auto"/>
            </w:tcBorders>
            <w:gridSpan w:val="2"/>
          </w:tcPr>
          <w:p>
            <w:pPr>
              <w:ind w:left="180"/>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08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0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28, 2018</w:t>
            </w:r>
          </w:p>
        </w:tc>
        <w:tc>
          <w:tcPr>
            <w:tcW w:w="18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Dollar</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28, 2018</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Dollar</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r>
      <w:tr>
        <w:trPr>
          <w:trHeight w:val="209"/>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Indirect, general and administrative</w:t>
            </w: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03"/>
        </w:trPr>
        <w:tc>
          <w:tcPr>
            <w:tcW w:w="30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expenses</w:t>
            </w:r>
          </w:p>
        </w:tc>
        <w:tc>
          <w:tcPr>
            <w:tcW w:w="10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$ 150,733</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  178,550</w:t>
            </w:r>
          </w:p>
        </w:tc>
        <w:tc>
          <w:tcPr>
            <w:tcW w:w="9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$ 27,817</w:t>
            </w:r>
          </w:p>
        </w:tc>
        <w:tc>
          <w:tcPr>
            <w:tcW w:w="200" w:type="dxa"/>
            <w:vAlign w:val="bottom"/>
            <w:shd w:val="clear" w:color="auto" w:fill="CFF0FC"/>
          </w:tcPr>
          <w:p>
            <w:pPr>
              <w:spacing w:after="0"/>
              <w:rPr>
                <w:sz w:val="17"/>
                <w:szCs w:val="17"/>
                <w:color w:val="auto"/>
              </w:rPr>
            </w:pPr>
          </w:p>
        </w:tc>
        <w:tc>
          <w:tcPr>
            <w:tcW w:w="176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18.5% $ 422,028</w:t>
            </w:r>
          </w:p>
        </w:tc>
        <w:tc>
          <w:tcPr>
            <w:tcW w:w="11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581,428</w:t>
            </w:r>
          </w:p>
        </w:tc>
        <w:tc>
          <w:tcPr>
            <w:tcW w:w="10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$ 159,400</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37.8%</w:t>
            </w:r>
          </w:p>
        </w:tc>
      </w:tr>
    </w:tbl>
    <w:p>
      <w:pPr>
        <w:spacing w:after="0" w:line="242" w:lineRule="exact"/>
        <w:rPr>
          <w:sz w:val="20"/>
          <w:szCs w:val="20"/>
          <w:color w:val="auto"/>
        </w:rPr>
      </w:pPr>
    </w:p>
    <w:p>
      <w:pPr>
        <w:ind w:right="60" w:firstLine="647"/>
        <w:spacing w:after="0" w:line="238" w:lineRule="auto"/>
        <w:rPr>
          <w:sz w:val="20"/>
          <w:szCs w:val="20"/>
          <w:color w:val="auto"/>
        </w:rPr>
      </w:pPr>
      <w:r>
        <w:rPr>
          <w:rFonts w:ascii="Arial" w:cs="Arial" w:eastAsia="Arial" w:hAnsi="Arial"/>
          <w:sz w:val="18"/>
          <w:szCs w:val="18"/>
          <w:color w:val="auto"/>
        </w:rPr>
        <w:t>Indirect, general and administrative expenses (“IG&amp;A”) for the three months ended September 28, 2018 and September 30, 2019 includes, $ 5.0 million and $(1.7) million, respectively, and for the nine months ended September 28, 2018 and September 30, 2019, $13.2 million and $45.5 million, respectively, of compensation cost related to equity-based awards that settle in cash. These awards are remeasured to an updated fair value at each reporting period until the award is settled. Compensation cost is trued-up at each reporting period for changes in fair value pro-rated for the portion of the requisite service period rendered.</w:t>
      </w:r>
    </w:p>
    <w:p>
      <w:pPr>
        <w:spacing w:after="0" w:line="203" w:lineRule="exact"/>
        <w:rPr>
          <w:sz w:val="20"/>
          <w:szCs w:val="20"/>
          <w:color w:val="auto"/>
        </w:rPr>
      </w:pPr>
    </w:p>
    <w:p>
      <w:pPr>
        <w:ind w:right="40" w:firstLine="647"/>
        <w:spacing w:after="0" w:line="237" w:lineRule="auto"/>
        <w:rPr>
          <w:sz w:val="20"/>
          <w:szCs w:val="20"/>
          <w:color w:val="auto"/>
        </w:rPr>
      </w:pPr>
      <w:r>
        <w:rPr>
          <w:rFonts w:ascii="Arial" w:cs="Arial" w:eastAsia="Arial" w:hAnsi="Arial"/>
          <w:sz w:val="18"/>
          <w:szCs w:val="18"/>
          <w:color w:val="auto"/>
        </w:rPr>
        <w:t>The significant increase in compensation cost related to these cash settled equity-based awards for the nine months ended September 30, 2019 is due to the significant difference in the fair value of a share of the Company’s common stock under Parsons ESOP valuation at March 31, 2019 compared to the fair value of a share of the Company’s common stock in the public market at September 30, 2019. Please see “Note 17 – Fair Value of Financial Instruments” for a description of how the ESOP share value is determined. Please see “Note 1 – Description of Operations” for more detail regarding the Company’s IPO. The plans in which these awards were granted have been frozen and the Company does not currently intend to grant any further cash settled equity-based awards.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both"/>
        <w:ind w:right="140" w:firstLine="647"/>
        <w:spacing w:after="0"/>
        <w:rPr>
          <w:sz w:val="20"/>
          <w:szCs w:val="20"/>
          <w:color w:val="auto"/>
        </w:rPr>
      </w:pPr>
      <w:r>
        <w:rPr>
          <w:rFonts w:ascii="Arial" w:cs="Arial" w:eastAsia="Arial" w:hAnsi="Arial"/>
          <w:sz w:val="18"/>
          <w:szCs w:val="18"/>
          <w:color w:val="auto"/>
        </w:rPr>
        <w:t>Excluding the compensation costs discussed above, IG&amp;A for the three months ended September 28, 2018 and September 30, 2019 was $145.7 million and $180.2 million, respectively, and for the nine months ended September 28, 2018 and September 30, 2019 was $408.8 million and $535.9 million, respectively.</w:t>
      </w:r>
    </w:p>
    <w:p>
      <w:pPr>
        <w:spacing w:after="0" w:line="203" w:lineRule="exact"/>
        <w:rPr>
          <w:sz w:val="20"/>
          <w:szCs w:val="20"/>
          <w:color w:val="auto"/>
        </w:rPr>
      </w:pPr>
    </w:p>
    <w:p>
      <w:pPr>
        <w:ind w:right="60" w:firstLine="647"/>
        <w:spacing w:after="0" w:line="238" w:lineRule="auto"/>
        <w:rPr>
          <w:sz w:val="20"/>
          <w:szCs w:val="20"/>
          <w:color w:val="auto"/>
        </w:rPr>
      </w:pPr>
      <w:r>
        <w:rPr>
          <w:rFonts w:ascii="Arial" w:cs="Arial" w:eastAsia="Arial" w:hAnsi="Arial"/>
          <w:sz w:val="18"/>
          <w:szCs w:val="18"/>
          <w:color w:val="auto"/>
        </w:rPr>
        <w:t>The increase in IG&amp;A of $34.5 million for the three months ended September 30, 2019 when compared to the corresponding period last year was primarily due to our Federal Solutions segment, most of which is related to additional expenses of $6.9 million from business acquisitions, $ 7.6 million from the amortization of intangible assets related to our acquisitions, and $5.9 million in acquisition-related expenses, the remaining increase of $11.6 million is related to additional bid and proposal costs and a greater allocation of corporate IG&amp;A in line with the growing share of overall business. In our Critical Infrastructure segment, IG&amp;A increased by $2.5 million.</w:t>
      </w:r>
    </w:p>
    <w:p>
      <w:pPr>
        <w:spacing w:after="0" w:line="203" w:lineRule="exact"/>
        <w:rPr>
          <w:sz w:val="20"/>
          <w:szCs w:val="20"/>
          <w:color w:val="auto"/>
        </w:rPr>
      </w:pPr>
    </w:p>
    <w:p>
      <w:pPr>
        <w:ind w:right="200" w:firstLine="647"/>
        <w:spacing w:after="0" w:line="238" w:lineRule="auto"/>
        <w:rPr>
          <w:sz w:val="20"/>
          <w:szCs w:val="20"/>
          <w:color w:val="auto"/>
        </w:rPr>
      </w:pPr>
      <w:r>
        <w:rPr>
          <w:rFonts w:ascii="Arial" w:cs="Arial" w:eastAsia="Arial" w:hAnsi="Arial"/>
          <w:sz w:val="18"/>
          <w:szCs w:val="18"/>
          <w:color w:val="auto"/>
        </w:rPr>
        <w:t>The increase in IG&amp;A of $127.1 million for the nine months ended September 30, 2019 when compared to the corresponding period last year was primarily due to our Federal Solutions segment, most of which is related to additional expenses of $41.6 million from business acquisitions, $ 42.3 million from the amortization of intangible assets related to our acquisitions and $ 11.1 million in acquisition-related expenses, the remaining increase of $29.5 million is related to additional bid and proposal costs and a greater allocation of corporate IG&amp;A in line with the growing share of overall business. In our Critical Infrastructure segment, IG&amp;A increased by $2.6 million.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Variance</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ind w:right="260"/>
              <w:spacing w:after="0" w:line="156" w:lineRule="exact"/>
              <w:rPr>
                <w:sz w:val="20"/>
                <w:szCs w:val="20"/>
                <w:color w:val="auto"/>
              </w:rPr>
            </w:pPr>
            <w:r>
              <w:rPr>
                <w:rFonts w:ascii="Arial" w:cs="Arial" w:eastAsia="Arial" w:hAnsi="Arial"/>
                <w:sz w:val="14"/>
                <w:szCs w:val="14"/>
                <w:b w:val="1"/>
                <w:bCs w:val="1"/>
                <w:color w:val="auto"/>
              </w:rPr>
              <w:t>September</w:t>
            </w:r>
          </w:p>
        </w:tc>
        <w:tc>
          <w:tcPr>
            <w:tcW w:w="114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3"/>
          </w:tcPr>
          <w:p>
            <w:pPr>
              <w:jc w:val="right"/>
              <w:ind w:right="280"/>
              <w:spacing w:after="0" w:line="156" w:lineRule="exact"/>
              <w:rPr>
                <w:sz w:val="20"/>
                <w:szCs w:val="20"/>
                <w:color w:val="auto"/>
              </w:rPr>
            </w:pPr>
            <w:r>
              <w:rPr>
                <w:rFonts w:ascii="Arial" w:cs="Arial" w:eastAsia="Arial" w:hAnsi="Arial"/>
                <w:sz w:val="14"/>
                <w:szCs w:val="14"/>
                <w:b w:val="1"/>
                <w:bCs w:val="1"/>
                <w:color w:val="auto"/>
              </w:rPr>
              <w:t>September</w:t>
            </w:r>
          </w:p>
        </w:tc>
        <w:tc>
          <w:tcPr>
            <w:tcW w:w="112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6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9"/>
              </w:rPr>
              <w:t>28, 2018</w:t>
            </w: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28, 2018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(1,229)</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-52.1%</w:t>
            </w:r>
          </w:p>
        </w:tc>
      </w:tr>
      <w:tr>
        <w:trPr>
          <w:trHeight w:val="216"/>
        </w:trPr>
        <w:tc>
          <w:tcPr>
            <w:tcW w:w="26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(5,940)</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(14,475)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(19,577)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(5,102)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r>
      <w:tr>
        <w:trPr>
          <w:trHeight w:val="216"/>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(3,127)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(3,823)</w:t>
            </w: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-549.3%</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(1,935)</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-545.1%</w:t>
            </w:r>
          </w:p>
        </w:tc>
      </w:tr>
      <w:tr>
        <w:trPr>
          <w:trHeight w:val="215"/>
        </w:trPr>
        <w:tc>
          <w:tcPr>
            <w:tcW w:w="2660" w:type="dxa"/>
            <w:vAlign w:val="bottom"/>
          </w:tcPr>
          <w:p>
            <w:pPr>
              <w:ind w:left="260"/>
              <w:spacing w:after="0"/>
              <w:rPr>
                <w:sz w:val="20"/>
                <w:szCs w:val="20"/>
                <w:color w:val="auto"/>
              </w:rPr>
            </w:pPr>
            <w:r>
              <w:rPr>
                <w:rFonts w:ascii="Arial" w:cs="Arial" w:eastAsia="Arial" w:hAnsi="Arial"/>
                <w:sz w:val="18"/>
                <w:szCs w:val="18"/>
                <w:color w:val="auto"/>
              </w:rPr>
              <w:t>Gain associated with claim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2660" w:type="dxa"/>
            <w:vAlign w:val="bottom"/>
          </w:tcPr>
          <w:p>
            <w:pPr>
              <w:ind w:left="260"/>
              <w:spacing w:after="0" w:line="203" w:lineRule="exact"/>
              <w:rPr>
                <w:sz w:val="20"/>
                <w:szCs w:val="20"/>
                <w:color w:val="auto"/>
              </w:rPr>
            </w:pPr>
            <w:r>
              <w:rPr>
                <w:rFonts w:ascii="Arial" w:cs="Arial" w:eastAsia="Arial" w:hAnsi="Arial"/>
                <w:sz w:val="18"/>
                <w:szCs w:val="18"/>
                <w:color w:val="auto"/>
              </w:rPr>
              <w:t>on long-term contract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74,578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(74,578)</w:t>
            </w: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-100.0%</w:t>
            </w:r>
          </w:p>
        </w:tc>
      </w:tr>
      <w:tr>
        <w:trPr>
          <w:trHeight w:val="20"/>
        </w:trPr>
        <w:tc>
          <w:tcPr>
            <w:tcW w:w="26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2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income (expense)</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(4,893)</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(7,609)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(2,716)</w:t>
            </w: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(20,028)</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(82,844)</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-131.9%</w:t>
            </w: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0" w:firstLine="647"/>
        <w:spacing w:after="0" w:line="239" w:lineRule="auto"/>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business acquisitions. During the nine months ended September 30, 2019, the Company’s term loan of $150 million was paid off and the amount of debt outstanding under the Company’s revolving credit facility was reduced. The amounts in other income (expense), net are primarily related to transaction gains and losses on foreign currency transactions and sublease income.</w:t>
      </w:r>
    </w:p>
    <w:p>
      <w:pPr>
        <w:spacing w:after="0" w:line="202" w:lineRule="exact"/>
        <w:rPr>
          <w:sz w:val="20"/>
          <w:szCs w:val="20"/>
          <w:color w:val="auto"/>
        </w:rPr>
      </w:pPr>
    </w:p>
    <w:p>
      <w:pPr>
        <w:jc w:val="both"/>
        <w:ind w:right="100" w:firstLine="647"/>
        <w:spacing w:after="0"/>
        <w:rPr>
          <w:sz w:val="20"/>
          <w:szCs w:val="20"/>
          <w:color w:val="auto"/>
        </w:rPr>
      </w:pPr>
      <w:r>
        <w:rPr>
          <w:rFonts w:ascii="Arial" w:cs="Arial" w:eastAsia="Arial" w:hAnsi="Arial"/>
          <w:sz w:val="18"/>
          <w:szCs w:val="18"/>
          <w:color w:val="auto"/>
        </w:rPr>
        <w:t xml:space="preserve">The amount presented in gain associated with claim on long-term contract for the nine months ended September 28, 2018 relates to a lawsuit against a joint venture in which the Company is the managing partner. Please see “Note 14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the Company’s Form S-1/A filed on April 29, 2019, for a description of this matter, which was resolved in favor of the Company on June 13,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2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w:t>
            </w:r>
          </w:p>
        </w:tc>
        <w:tc>
          <w:tcPr>
            <w:tcW w:w="110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w:t>
            </w:r>
          </w:p>
        </w:tc>
        <w:tc>
          <w:tcPr>
            <w:tcW w:w="1300" w:type="dxa"/>
            <w:vAlign w:val="bottom"/>
            <w:gridSpan w:val="3"/>
          </w:tcPr>
          <w:p>
            <w:pPr>
              <w:ind w:left="180"/>
              <w:spacing w:after="0" w:line="156"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2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5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28, 2018</w:t>
            </w:r>
          </w:p>
        </w:tc>
        <w:tc>
          <w:tcPr>
            <w:tcW w:w="2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9"/>
              </w:rPr>
              <w:t>28, 2018</w:t>
            </w:r>
          </w:p>
        </w:tc>
        <w:tc>
          <w:tcPr>
            <w:tcW w:w="18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4,154</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(15,453)</w:t>
            </w: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 (19,607)</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-472.0% $</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18,526</w:t>
            </w:r>
          </w:p>
        </w:tc>
        <w:tc>
          <w:tcPr>
            <w:tcW w:w="130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   (67,063)</w:t>
            </w:r>
          </w:p>
        </w:tc>
        <w:tc>
          <w:tcPr>
            <w:tcW w:w="10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 (85,589)</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-462.0%</w:t>
            </w:r>
          </w:p>
        </w:tc>
      </w:tr>
    </w:tbl>
    <w:p>
      <w:pPr>
        <w:spacing w:after="0" w:line="242" w:lineRule="exact"/>
        <w:rPr>
          <w:sz w:val="20"/>
          <w:szCs w:val="20"/>
          <w:color w:val="auto"/>
        </w:rPr>
      </w:pPr>
    </w:p>
    <w:p>
      <w:pPr>
        <w:jc w:val="both"/>
        <w:ind w:firstLine="690"/>
        <w:spacing w:after="0"/>
        <w:rPr>
          <w:sz w:val="20"/>
          <w:szCs w:val="20"/>
          <w:color w:val="auto"/>
        </w:rPr>
      </w:pPr>
      <w:r>
        <w:rPr>
          <w:rFonts w:ascii="Arial" w:cs="Arial" w:eastAsia="Arial" w:hAnsi="Arial"/>
          <w:sz w:val="18"/>
          <w:szCs w:val="18"/>
          <w:color w:val="auto"/>
        </w:rPr>
        <w:t>Income tax benefit was recorded for the three and nine months ended September 30, 2019, compared to expense for the corresponding periods last year primarily due to revaluation of our deferred tax assets and liabilities as a result of our conversion from “S” Corporation to a “C” Corporation.</w:t>
      </w:r>
    </w:p>
    <w:p>
      <w:pPr>
        <w:spacing w:after="0" w:line="203" w:lineRule="exact"/>
        <w:rPr>
          <w:sz w:val="20"/>
          <w:szCs w:val="20"/>
          <w:color w:val="auto"/>
        </w:rPr>
      </w:pPr>
    </w:p>
    <w:p>
      <w:pPr>
        <w:jc w:val="both"/>
        <w:ind w:firstLine="690"/>
        <w:spacing w:after="0"/>
        <w:rPr>
          <w:sz w:val="20"/>
          <w:szCs w:val="20"/>
          <w:color w:val="auto"/>
        </w:rPr>
      </w:pPr>
      <w:r>
        <w:rPr>
          <w:rFonts w:ascii="Arial" w:cs="Arial" w:eastAsia="Arial" w:hAnsi="Arial"/>
          <w:sz w:val="18"/>
          <w:szCs w:val="18"/>
          <w:color w:val="auto"/>
        </w:rPr>
        <w:t>As described in “Note 12 – Income Taxes,” in connection with the Company’s IPO on May 8, 2019, the Company converted from an “S” Corporation to a “C” Corporation. On a pro forma basis, if the Company had been taxed as a “C” Corporation for the three months ended September 28, 2018 and September 30, 2019, the pro forma effective income tax</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3" w:name="page44"/>
    <w:bookmarkEnd w:id="43"/>
    <w:p>
      <w:pPr>
        <w:jc w:val="both"/>
        <w:spacing w:after="0" w:line="237" w:lineRule="auto"/>
        <w:rPr>
          <w:sz w:val="20"/>
          <w:szCs w:val="20"/>
          <w:color w:val="auto"/>
        </w:rPr>
      </w:pPr>
      <w:r>
        <w:rPr>
          <w:rFonts w:ascii="Arial" w:cs="Arial" w:eastAsia="Arial" w:hAnsi="Arial"/>
          <w:sz w:val="18"/>
          <w:szCs w:val="18"/>
          <w:color w:val="auto"/>
        </w:rPr>
        <w:t>rate would have been 29.25% and 35.14%, respectively, and the pro forma income tax would have been $14.7 million and $ 16.1 million, respectively. For the nine months ended September 28, 2018 and September 30, 2019, the pro forma effective income tax rate would have been 28.46% and 41.40%, respectively, and the Company’s pro forma income tax expense would have been $69.4 million and $19.8 million, respectively. The most significant item contributing to the change in the effective tax rate relates to a change in jurisdictional earnings. The difference between the statutory U.S. federal income tax rate of 21.0% and the effective tax rate for the quarter ended September 28, 2018 primarily relates to foreign earnings which are subject to foreign income taxes at rates that exceed the U.S. income tax rate.</w:t>
      </w:r>
    </w:p>
    <w:p>
      <w:pPr>
        <w:spacing w:after="0" w:line="205" w:lineRule="exact"/>
        <w:rPr>
          <w:sz w:val="20"/>
          <w:szCs w:val="20"/>
          <w:color w:val="auto"/>
        </w:rPr>
      </w:pPr>
    </w:p>
    <w:p>
      <w:pPr>
        <w:jc w:val="both"/>
        <w:ind w:firstLine="690"/>
        <w:spacing w:after="0" w:line="236" w:lineRule="auto"/>
        <w:rPr>
          <w:sz w:val="20"/>
          <w:szCs w:val="20"/>
          <w:color w:val="auto"/>
        </w:rPr>
      </w:pPr>
      <w:r>
        <w:rPr>
          <w:rFonts w:ascii="Arial" w:cs="Arial" w:eastAsia="Arial" w:hAnsi="Arial"/>
          <w:sz w:val="18"/>
          <w:szCs w:val="18"/>
          <w:color w:val="auto"/>
        </w:rPr>
        <w:t>The termination of the “S” Corporation status was treated as a change in tax status for Accounting Standards Codification 740, Income Taxes. These rules require that the deferred tax effects of a change in tax status to be recorded to income from continuing operations on the date the “S” Corporation status terminates. During the quarter ended June 30, 2019, the Company recorded a deferred tax benefit of $ 56 million for the estimated effect of the change in tax status, relating to the recognition of net deferred tax assets for temporary differences in existence on the date of conversion to a “C” Corporation. During the quarter ended September 30, 2019, the Company updated the estimate to $85 million, representing an increase in expected benefit of $29 million. The update primarily relates to a change in the forecasted temporary differences as of the conversion, changes in deferred tax assets resulting from 2018 tax return-to-provision adjustments, and changes in tax accounting methods that were made with the 2018 tax return during the third quarter. This estimated amount is subject to additional revision based upon actual results for the current year.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34" w:lineRule="exact"/>
        <w:rPr>
          <w:sz w:val="20"/>
          <w:szCs w:val="20"/>
          <w:color w:val="auto"/>
        </w:rPr>
      </w:pPr>
    </w:p>
    <w:p>
      <w:pPr>
        <w:ind w:right="860" w:firstLine="647"/>
        <w:spacing w:after="0" w:line="265" w:lineRule="auto"/>
        <w:rPr>
          <w:sz w:val="20"/>
          <w:szCs w:val="20"/>
          <w:color w:val="auto"/>
        </w:rPr>
      </w:pPr>
      <w:r>
        <w:rPr>
          <w:rFonts w:ascii="Arial" w:cs="Arial" w:eastAsia="Arial" w:hAnsi="Arial"/>
          <w:sz w:val="17"/>
          <w:szCs w:val="17"/>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43"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19—Segments Information” in the notes to the consolidated financial statements in this Form 10-Q for further discussion regarding our segment Adjusted EBITDA attributable to Parsons Corporation.</w:t>
      </w:r>
    </w:p>
    <w:p>
      <w:pPr>
        <w:spacing w:after="0" w:line="202" w:lineRule="exact"/>
        <w:rPr>
          <w:sz w:val="20"/>
          <w:szCs w:val="20"/>
          <w:color w:val="auto"/>
        </w:rPr>
      </w:pPr>
    </w:p>
    <w:p>
      <w:pPr>
        <w:ind w:right="400" w:firstLine="647"/>
        <w:spacing w:after="0" w:line="246"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7"/>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5"/>
          </w:tcPr>
          <w:p>
            <w:pPr>
              <w:ind w:left="20"/>
              <w:spacing w:after="0" w:line="156"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100" w:type="dxa"/>
            <w:vAlign w:val="bottom"/>
            <w:gridSpan w:val="4"/>
          </w:tcPr>
          <w:p>
            <w:pPr>
              <w:jc w:val="right"/>
              <w:ind w:right="80"/>
              <w:spacing w:after="0" w:line="156"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040" w:type="dxa"/>
            <w:vAlign w:val="bottom"/>
            <w:gridSpan w:val="4"/>
          </w:tcPr>
          <w:p>
            <w:pPr>
              <w:jc w:val="center"/>
              <w:ind w:right="20"/>
              <w:spacing w:after="0" w:line="156"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7"/>
          </w:tcPr>
          <w:p>
            <w:pPr>
              <w:jc w:val="right"/>
              <w:ind w:right="700"/>
              <w:spacing w:after="0" w:line="156"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3360" w:type="dxa"/>
            <w:vAlign w:val="bottom"/>
            <w:gridSpan w:val="2"/>
          </w:tcPr>
          <w:p>
            <w:pPr>
              <w:ind w:left="580"/>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right="177"/>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00" w:type="dxa"/>
            <w:vAlign w:val="bottom"/>
            <w:tcBorders>
              <w:top w:val="single" w:sz="8" w:color="CFF0FC"/>
            </w:tcBorders>
            <w:gridSpan w:val="7"/>
            <w:shd w:val="clear" w:color="auto" w:fill="CFF0FC"/>
          </w:tcPr>
          <w:p>
            <w:pPr>
              <w:spacing w:after="0"/>
              <w:rPr>
                <w:sz w:val="20"/>
                <w:szCs w:val="20"/>
                <w:color w:val="auto"/>
              </w:rPr>
            </w:pPr>
            <w:r>
              <w:rPr>
                <w:rFonts w:ascii="Arial" w:cs="Arial" w:eastAsia="Arial" w:hAnsi="Arial"/>
                <w:sz w:val="18"/>
                <w:szCs w:val="18"/>
                <w:color w:val="auto"/>
              </w:rPr>
              <w:t>Federal Solutions Adjusted EBITDA attributable to Parsons</w:t>
            </w:r>
          </w:p>
        </w:tc>
        <w:tc>
          <w:tcPr>
            <w:tcW w:w="3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7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Corporation</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8"/>
              <w:spacing w:after="0" w:line="203" w:lineRule="exact"/>
              <w:rPr>
                <w:sz w:val="20"/>
                <w:szCs w:val="20"/>
                <w:color w:val="auto"/>
              </w:rPr>
            </w:pPr>
            <w:r>
              <w:rPr>
                <w:rFonts w:ascii="Arial" w:cs="Arial" w:eastAsia="Arial" w:hAnsi="Arial"/>
                <w:sz w:val="18"/>
                <w:szCs w:val="18"/>
                <w:color w:val="auto"/>
              </w:rPr>
              <w:t>$</w:t>
            </w:r>
          </w:p>
        </w:tc>
        <w:tc>
          <w:tcPr>
            <w:tcW w:w="70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45,556</w:t>
            </w:r>
          </w:p>
        </w:tc>
        <w:tc>
          <w:tcPr>
            <w:tcW w:w="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50,359</w:t>
            </w:r>
          </w:p>
        </w:tc>
        <w:tc>
          <w:tcPr>
            <w:tcW w:w="40" w:type="dxa"/>
            <w:vAlign w:val="bottom"/>
            <w:shd w:val="clear" w:color="auto" w:fill="CFF0FC"/>
          </w:tcPr>
          <w:p>
            <w:pPr>
              <w:spacing w:after="0"/>
              <w:rPr>
                <w:sz w:val="17"/>
                <w:szCs w:val="17"/>
                <w:color w:val="auto"/>
              </w:rPr>
            </w:pPr>
          </w:p>
        </w:tc>
        <w:tc>
          <w:tcPr>
            <w:tcW w:w="420" w:type="dxa"/>
            <w:vAlign w:val="bottom"/>
            <w:gridSpan w:val="3"/>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101,052</w:t>
            </w:r>
          </w:p>
        </w:tc>
        <w:tc>
          <w:tcPr>
            <w:tcW w:w="32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126,658</w:t>
            </w:r>
          </w:p>
        </w:tc>
        <w:tc>
          <w:tcPr>
            <w:tcW w:w="100" w:type="dxa"/>
            <w:vAlign w:val="bottom"/>
            <w:shd w:val="clear" w:color="auto" w:fill="CFF0FC"/>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80" w:type="dxa"/>
            <w:vAlign w:val="bottom"/>
            <w:gridSpan w:val="8"/>
          </w:tcPr>
          <w:p>
            <w:pPr>
              <w:ind w:left="580"/>
              <w:spacing w:after="0"/>
              <w:rPr>
                <w:sz w:val="20"/>
                <w:szCs w:val="20"/>
                <w:color w:val="auto"/>
              </w:rPr>
            </w:pPr>
            <w:r>
              <w:rPr>
                <w:rFonts w:ascii="Arial" w:cs="Arial" w:eastAsia="Arial" w:hAnsi="Arial"/>
                <w:sz w:val="18"/>
                <w:szCs w:val="18"/>
                <w:color w:val="auto"/>
              </w:rPr>
              <w:t>Critical Infrastructure Adjusted EBITDA attributable to Parsons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gridSpan w:val="2"/>
          </w:tcPr>
          <w:p>
            <w:pPr>
              <w:ind w:left="580"/>
              <w:spacing w:after="0" w:line="203" w:lineRule="exact"/>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38,006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33,976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80,296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102,177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gridSpan w:val="7"/>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3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5,002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4,655</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10,681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FF0FC"/>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78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88,564</w:t>
            </w:r>
          </w:p>
        </w:tc>
        <w:tc>
          <w:tcPr>
            <w:tcW w:w="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88,990</w:t>
            </w:r>
          </w:p>
        </w:tc>
        <w:tc>
          <w:tcPr>
            <w:tcW w:w="40" w:type="dxa"/>
            <w:vAlign w:val="bottom"/>
          </w:tcPr>
          <w:p>
            <w:pPr>
              <w:spacing w:after="0"/>
              <w:rPr>
                <w:sz w:val="18"/>
                <w:szCs w:val="18"/>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192,029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237,219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4"/>
            <w:vMerge w:val="restart"/>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Variance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Variance</w:t>
            </w:r>
          </w:p>
        </w:tc>
        <w:tc>
          <w:tcPr>
            <w:tcW w:w="1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w:t>
            </w:r>
          </w:p>
        </w:tc>
        <w:tc>
          <w:tcPr>
            <w:tcW w:w="1380" w:type="dxa"/>
            <w:vAlign w:val="bottom"/>
            <w:gridSpan w:val="4"/>
          </w:tcPr>
          <w:p>
            <w:pPr>
              <w:ind w:left="200"/>
              <w:spacing w:after="0" w:line="156"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line="156" w:lineRule="exact"/>
              <w:rPr>
                <w:sz w:val="20"/>
                <w:szCs w:val="20"/>
                <w:color w:val="auto"/>
              </w:rPr>
            </w:pPr>
            <w:r>
              <w:rPr>
                <w:rFonts w:ascii="Arial" w:cs="Arial" w:eastAsia="Arial" w:hAnsi="Arial"/>
                <w:sz w:val="14"/>
                <w:szCs w:val="14"/>
                <w:b w:val="1"/>
                <w:bCs w:val="1"/>
                <w:color w:val="auto"/>
                <w:w w:val="99"/>
              </w:rPr>
              <w:t>September</w:t>
            </w:r>
          </w:p>
        </w:tc>
        <w:tc>
          <w:tcPr>
            <w:tcW w:w="180" w:type="dxa"/>
            <w:vAlign w:val="bottom"/>
          </w:tcPr>
          <w:p>
            <w:pPr>
              <w:spacing w:after="0"/>
              <w:rPr>
                <w:sz w:val="13"/>
                <w:szCs w:val="13"/>
                <w:color w:val="auto"/>
              </w:rPr>
            </w:pPr>
          </w:p>
        </w:tc>
        <w:tc>
          <w:tcPr>
            <w:tcW w:w="1040" w:type="dxa"/>
            <w:vAlign w:val="bottom"/>
            <w:gridSpan w:val="4"/>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28, 2018</w:t>
            </w:r>
          </w:p>
        </w:tc>
        <w:tc>
          <w:tcPr>
            <w:tcW w:w="2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Dollar</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28, 2018</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443,725</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486,175</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4"/>
              </w:rPr>
              <w:t>$ 42,450</w:t>
            </w:r>
          </w:p>
        </w:tc>
        <w:tc>
          <w:tcPr>
            <w:tcW w:w="92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1,076,125</w:t>
            </w:r>
          </w:p>
        </w:tc>
        <w:tc>
          <w:tcPr>
            <w:tcW w:w="1200" w:type="dxa"/>
            <w:vAlign w:val="bottom"/>
            <w:gridSpan w:val="4"/>
            <w:shd w:val="clear" w:color="auto" w:fill="CFF0FC"/>
          </w:tcPr>
          <w:p>
            <w:pPr>
              <w:ind w:left="220"/>
              <w:spacing w:after="0"/>
              <w:rPr>
                <w:sz w:val="20"/>
                <w:szCs w:val="20"/>
                <w:color w:val="auto"/>
              </w:rPr>
            </w:pPr>
            <w:r>
              <w:rPr>
                <w:rFonts w:ascii="Arial" w:cs="Arial" w:eastAsia="Arial" w:hAnsi="Arial"/>
                <w:sz w:val="18"/>
                <w:szCs w:val="18"/>
                <w:color w:val="auto"/>
              </w:rPr>
              <w:t>$ 1,387,484</w:t>
            </w:r>
          </w:p>
        </w:tc>
        <w:tc>
          <w:tcPr>
            <w:tcW w:w="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311,359</w:t>
            </w:r>
          </w:p>
        </w:tc>
        <w:tc>
          <w:tcPr>
            <w:tcW w:w="220" w:type="dxa"/>
            <w:vAlign w:val="bottom"/>
            <w:shd w:val="clear" w:color="auto" w:fill="CFF0FC"/>
          </w:tcPr>
          <w:p>
            <w:pPr>
              <w:spacing w:after="0"/>
              <w:rPr>
                <w:sz w:val="18"/>
                <w:szCs w:val="18"/>
                <w:color w:val="auto"/>
              </w:rPr>
            </w:pPr>
          </w:p>
        </w:tc>
        <w:tc>
          <w:tcPr>
            <w:tcW w:w="7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5"/>
        </w:trPr>
        <w:tc>
          <w:tcPr>
            <w:tcW w:w="3360" w:type="dxa"/>
            <w:vAlign w:val="bottom"/>
            <w:gridSpan w:val="2"/>
          </w:tcPr>
          <w:p>
            <w:pPr>
              <w:spacing w:after="0"/>
              <w:rPr>
                <w:sz w:val="20"/>
                <w:szCs w:val="20"/>
                <w:color w:val="auto"/>
              </w:rPr>
            </w:pPr>
            <w:r>
              <w:rPr>
                <w:rFonts w:ascii="Arial" w:cs="Arial" w:eastAsia="Arial" w:hAnsi="Arial"/>
                <w:sz w:val="18"/>
                <w:szCs w:val="18"/>
                <w:color w:val="auto"/>
              </w:rPr>
              <w:t>Adjusted EBITDA attributable to</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gridSpan w:val="2"/>
          </w:tcPr>
          <w:p>
            <w:pPr>
              <w:spacing w:after="0"/>
              <w:rPr>
                <w:sz w:val="20"/>
                <w:szCs w:val="20"/>
                <w:color w:val="auto"/>
              </w:rPr>
            </w:pPr>
            <w:r>
              <w:rPr>
                <w:rFonts w:ascii="Arial" w:cs="Arial" w:eastAsia="Arial" w:hAnsi="Arial"/>
                <w:sz w:val="18"/>
                <w:szCs w:val="18"/>
                <w:color w:val="auto"/>
              </w:rPr>
              <w:t>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45,556</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50,359</w:t>
            </w:r>
          </w:p>
        </w:tc>
        <w:tc>
          <w:tcPr>
            <w:tcW w:w="20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  4,803</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101,052</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ind w:left="120"/>
              <w:spacing w:after="0"/>
              <w:rPr>
                <w:sz w:val="20"/>
                <w:szCs w:val="20"/>
                <w:color w:val="auto"/>
              </w:rPr>
            </w:pPr>
            <w:r>
              <w:rPr>
                <w:rFonts w:ascii="Arial" w:cs="Arial" w:eastAsia="Arial" w:hAnsi="Arial"/>
                <w:sz w:val="18"/>
                <w:szCs w:val="18"/>
                <w:color w:val="auto"/>
                <w:w w:val="98"/>
              </w:rPr>
              <w:t>126,658</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25,606</w:t>
            </w:r>
          </w:p>
        </w:tc>
        <w:tc>
          <w:tcPr>
            <w:tcW w:w="22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firstLine="647"/>
        <w:spacing w:after="0" w:line="238" w:lineRule="auto"/>
        <w:rPr>
          <w:sz w:val="20"/>
          <w:szCs w:val="20"/>
          <w:color w:val="auto"/>
        </w:rPr>
      </w:pPr>
      <w:r>
        <w:rPr>
          <w:rFonts w:ascii="Arial" w:cs="Arial" w:eastAsia="Arial" w:hAnsi="Arial"/>
          <w:sz w:val="18"/>
          <w:szCs w:val="18"/>
          <w:color w:val="auto"/>
        </w:rPr>
        <w:t>The increase in Federal Solutions revenue for the three months ended September 30, 2019 compared to the corresponding period last year was primarily due to incremental revenue from business acquisitions, which added $39.3 million. Revenue for the third quarter of 2018 was impact by approximately $20 million of unusually high volume on two contracts and revenue for the third quarter of 2019 included a significant incentive fee recognition. Federal Solutions organic revenue grew $3.2 million for the three months ended September 30, 2019 compared to the corresponding period last year.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4" w:name="page45"/>
    <w:bookmarkEnd w:id="44"/>
    <w:p>
      <w:pPr>
        <w:ind w:right="140" w:firstLine="647"/>
        <w:spacing w:after="0"/>
        <w:rPr>
          <w:sz w:val="20"/>
          <w:szCs w:val="20"/>
          <w:color w:val="auto"/>
        </w:rPr>
      </w:pPr>
      <w:r>
        <w:rPr>
          <w:rFonts w:ascii="Arial" w:cs="Arial" w:eastAsia="Arial" w:hAnsi="Arial"/>
          <w:sz w:val="18"/>
          <w:szCs w:val="18"/>
          <w:color w:val="auto"/>
        </w:rPr>
        <w:t>The increase in Federal Solutions revenue for the nine months ended September 30, 2019 compared to the corresponding period last year was primarily due to business acquisitions, which added $277.1 million. Federal Solutions organic revenue grew $34.3 million, which included significant incentive fee recognition.</w:t>
      </w:r>
    </w:p>
    <w:p>
      <w:pPr>
        <w:spacing w:after="0" w:line="230" w:lineRule="exact"/>
        <w:rPr>
          <w:sz w:val="20"/>
          <w:szCs w:val="20"/>
          <w:color w:val="auto"/>
        </w:rPr>
      </w:pPr>
    </w:p>
    <w:p>
      <w:pPr>
        <w:ind w:right="140" w:firstLine="647"/>
        <w:spacing w:after="0" w:line="239" w:lineRule="auto"/>
        <w:rPr>
          <w:sz w:val="20"/>
          <w:szCs w:val="20"/>
          <w:color w:val="auto"/>
        </w:rPr>
      </w:pPr>
      <w:r>
        <w:rPr>
          <w:rFonts w:ascii="Arial" w:cs="Arial" w:eastAsia="Arial" w:hAnsi="Arial"/>
          <w:sz w:val="18"/>
          <w:szCs w:val="18"/>
          <w:color w:val="auto"/>
        </w:rPr>
        <w:t>The increase in Federal Solutions Adjusted EBITDA attributable to Parsons Corporation for the three months ended September 30, 2019 compared to the corresponding period last year was primarily due to business acquisitions, and generally higher profit margins driven by significant incentive fee recognition. These increases were primarily offset by an increase in IG&amp;A, driven by an increase in bid and proposal costs and a greater allocation of corporate IG&amp;A in line with the segment’s growing share of overall business.</w:t>
      </w:r>
    </w:p>
    <w:p>
      <w:pPr>
        <w:spacing w:after="0" w:line="202" w:lineRule="exact"/>
        <w:rPr>
          <w:sz w:val="20"/>
          <w:szCs w:val="20"/>
          <w:color w:val="auto"/>
        </w:rPr>
      </w:pPr>
    </w:p>
    <w:p>
      <w:pPr>
        <w:ind w:right="180" w:firstLine="647"/>
        <w:spacing w:after="0"/>
        <w:rPr>
          <w:sz w:val="20"/>
          <w:szCs w:val="20"/>
          <w:color w:val="auto"/>
        </w:rPr>
      </w:pPr>
      <w:r>
        <w:rPr>
          <w:rFonts w:ascii="Arial" w:cs="Arial" w:eastAsia="Arial" w:hAnsi="Arial"/>
          <w:sz w:val="18"/>
          <w:szCs w:val="18"/>
          <w:color w:val="auto"/>
        </w:rPr>
        <w:t>The increase in Federal Solutions Adjusted EBITDA attributable to Parsons Corporation for the nine months ended September 30, 2019 compared to the corresponding period last year was primarily due to business acquisitions and generally higher profit margins driven by significant incentive fee recognition. These increases were primarily offset by an increase in IG&amp;A as described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4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5"/>
                <w:szCs w:val="15"/>
                <w:color w:val="auto"/>
              </w:rPr>
            </w:pPr>
          </w:p>
        </w:tc>
      </w:tr>
      <w:tr>
        <w:trPr>
          <w:trHeight w:val="156"/>
        </w:trPr>
        <w:tc>
          <w:tcPr>
            <w:tcW w:w="3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September</w:t>
            </w:r>
          </w:p>
        </w:tc>
        <w:tc>
          <w:tcPr>
            <w:tcW w:w="1180" w:type="dxa"/>
            <w:vAlign w:val="bottom"/>
            <w:gridSpan w:val="3"/>
          </w:tcPr>
          <w:p>
            <w:pPr>
              <w:spacing w:after="0" w:line="156" w:lineRule="exact"/>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39"/>
              <w:spacing w:after="0" w:line="156" w:lineRule="exact"/>
              <w:rPr>
                <w:sz w:val="20"/>
                <w:szCs w:val="20"/>
                <w:color w:val="auto"/>
              </w:rPr>
            </w:pPr>
            <w:r>
              <w:rPr>
                <w:rFonts w:ascii="Arial" w:cs="Arial" w:eastAsia="Arial" w:hAnsi="Arial"/>
                <w:sz w:val="14"/>
                <w:szCs w:val="14"/>
                <w:b w:val="1"/>
                <w:bCs w:val="1"/>
                <w:color w:val="auto"/>
              </w:rPr>
              <w:t>September</w:t>
            </w:r>
          </w:p>
        </w:tc>
        <w:tc>
          <w:tcPr>
            <w:tcW w:w="1200" w:type="dxa"/>
            <w:vAlign w:val="bottom"/>
            <w:gridSpan w:val="3"/>
          </w:tcPr>
          <w:p>
            <w:pPr>
              <w:ind w:left="200"/>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5"/>
        </w:trPr>
        <w:tc>
          <w:tcPr>
            <w:tcW w:w="33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28, 2018</w:t>
            </w:r>
          </w:p>
        </w:tc>
        <w:tc>
          <w:tcPr>
            <w:tcW w:w="2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28, 2018</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5"/>
                <w:szCs w:val="15"/>
                <w:color w:val="auto"/>
              </w:rPr>
            </w:pPr>
          </w:p>
        </w:tc>
      </w:tr>
      <w:tr>
        <w:trPr>
          <w:trHeight w:val="21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532,432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537,102</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20"/>
                <w:szCs w:val="20"/>
                <w:color w:val="auto"/>
              </w:rPr>
            </w:pPr>
            <w:r>
              <w:rPr>
                <w:rFonts w:ascii="Arial" w:cs="Arial" w:eastAsia="Arial" w:hAnsi="Arial"/>
                <w:sz w:val="18"/>
                <w:szCs w:val="18"/>
                <w:color w:val="auto"/>
              </w:rPr>
              <w:t>$ 4,670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1,555,443</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1,529,940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(25,503)</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15"/>
        </w:trPr>
        <w:tc>
          <w:tcPr>
            <w:tcW w:w="3320" w:type="dxa"/>
            <w:vAlign w:val="bottom"/>
          </w:tcPr>
          <w:p>
            <w:pPr>
              <w:spacing w:after="0"/>
              <w:rPr>
                <w:sz w:val="20"/>
                <w:szCs w:val="20"/>
                <w:color w:val="auto"/>
              </w:rPr>
            </w:pPr>
            <w:r>
              <w:rPr>
                <w:rFonts w:ascii="Arial" w:cs="Arial" w:eastAsia="Arial" w:hAnsi="Arial"/>
                <w:sz w:val="18"/>
                <w:szCs w:val="18"/>
                <w:color w:val="auto"/>
              </w:rPr>
              <w:t>Adjusted EBITDA attributable to Parsons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auto"/>
              </w:rPr>
              <w:t>Corporation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38,006</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33,976</w:t>
            </w:r>
          </w:p>
        </w:tc>
        <w:tc>
          <w:tcPr>
            <w:tcW w:w="2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 (4,030)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80,296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102,177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21,881</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r>
    </w:tbl>
    <w:p>
      <w:pPr>
        <w:spacing w:after="0" w:line="229" w:lineRule="exact"/>
        <w:rPr>
          <w:sz w:val="20"/>
          <w:szCs w:val="20"/>
          <w:color w:val="auto"/>
        </w:rPr>
      </w:pPr>
    </w:p>
    <w:p>
      <w:pPr>
        <w:ind w:right="180" w:firstLine="647"/>
        <w:spacing w:after="0" w:line="238" w:lineRule="auto"/>
        <w:rPr>
          <w:sz w:val="20"/>
          <w:szCs w:val="20"/>
          <w:color w:val="auto"/>
        </w:rPr>
      </w:pPr>
      <w:r>
        <w:rPr>
          <w:rFonts w:ascii="Arial" w:cs="Arial" w:eastAsia="Arial" w:hAnsi="Arial"/>
          <w:sz w:val="18"/>
          <w:szCs w:val="18"/>
          <w:color w:val="auto"/>
        </w:rPr>
        <w:t>Revenue for the three months ended September 30, 2019 compared to the corresponding period last year increased $ 4.7 million. As discussed above, revenue for the nine months ended September 28, 2018 included $55.1 million related to the settlement of a claim that was resolved in favor of the Company. Excluding the claim settlement, revenue for the nine months ended September 30, 2019 compared to the corresponding periods last year increased $29.6 million. This increase in revenue was primarily related to revenue growth on existing contracts.</w:t>
      </w:r>
    </w:p>
    <w:p>
      <w:pPr>
        <w:spacing w:after="0" w:line="203" w:lineRule="exact"/>
        <w:rPr>
          <w:sz w:val="20"/>
          <w:szCs w:val="20"/>
          <w:color w:val="auto"/>
        </w:rPr>
      </w:pPr>
    </w:p>
    <w:p>
      <w:pPr>
        <w:ind w:right="20" w:firstLine="647"/>
        <w:spacing w:after="0"/>
        <w:rPr>
          <w:sz w:val="20"/>
          <w:szCs w:val="20"/>
          <w:color w:val="auto"/>
        </w:rPr>
      </w:pPr>
      <w:r>
        <w:rPr>
          <w:rFonts w:ascii="Arial" w:cs="Arial" w:eastAsia="Arial" w:hAnsi="Arial"/>
          <w:sz w:val="18"/>
          <w:szCs w:val="18"/>
          <w:color w:val="auto"/>
        </w:rPr>
        <w:t>The decrease in Critical Infrastructure Adjusted EBITDA attributable to Parsons Corporation for the three months ended September 30, 2019 compared to the corresponding period last year was primarily due to the substantial completion of a significant joint venture and an increase in IG&amp;A. These decreases were partially offset by an increase in project margins from higher margin new awards.</w:t>
      </w:r>
    </w:p>
    <w:p>
      <w:pPr>
        <w:spacing w:after="0" w:line="203" w:lineRule="exact"/>
        <w:rPr>
          <w:sz w:val="20"/>
          <w:szCs w:val="20"/>
          <w:color w:val="auto"/>
        </w:rPr>
      </w:pPr>
    </w:p>
    <w:p>
      <w:pPr>
        <w:ind w:right="120" w:firstLine="647"/>
        <w:spacing w:after="0"/>
        <w:rPr>
          <w:sz w:val="20"/>
          <w:szCs w:val="20"/>
          <w:color w:val="auto"/>
        </w:rPr>
      </w:pPr>
      <w:r>
        <w:rPr>
          <w:rFonts w:ascii="Arial" w:cs="Arial" w:eastAsia="Arial" w:hAnsi="Arial"/>
          <w:sz w:val="18"/>
          <w:szCs w:val="18"/>
          <w:color w:val="auto"/>
        </w:rPr>
        <w:t>The increase in Adjusted EBITDA attributable to Parsons for the nine months ended September 30, 2019 compared to the corresponding period last year was primarily due to an increase in equity in earnings of unconsolidated joint ventures, a decrease in IG&amp;A and an increase in business volume.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820" w:firstLine="647"/>
        <w:spacing w:after="0" w:line="275" w:lineRule="auto"/>
        <w:rPr>
          <w:sz w:val="20"/>
          <w:szCs w:val="20"/>
          <w:color w:val="auto"/>
        </w:rPr>
      </w:pPr>
      <w:r>
        <w:rPr>
          <w:rFonts w:ascii="Arial" w:cs="Arial" w:eastAsia="Arial" w:hAnsi="Arial"/>
          <w:sz w:val="17"/>
          <w:szCs w:val="17"/>
          <w:color w:val="auto"/>
        </w:rPr>
        <w:t>Historically, we have financed our operations and capital expenditures and satisfied redemptions of ESOP interests through a combination of internally generated cash from operations, our Senior Notes and from borrowings under our Revolving Credit Facility.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5" w:name="page46"/>
    <w:bookmarkEnd w:id="45"/>
    <w:p>
      <w:pPr>
        <w:ind w:right="20" w:firstLine="647"/>
        <w:spacing w:after="0" w:line="23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202" w:lineRule="exact"/>
        <w:rPr>
          <w:sz w:val="20"/>
          <w:szCs w:val="20"/>
          <w:color w:val="auto"/>
        </w:rPr>
      </w:pPr>
    </w:p>
    <w:p>
      <w:pPr>
        <w:ind w:right="100" w:firstLine="647"/>
        <w:spacing w:after="0"/>
        <w:rPr>
          <w:sz w:val="20"/>
          <w:szCs w:val="20"/>
          <w:color w:val="auto"/>
        </w:rPr>
      </w:pPr>
      <w:r>
        <w:rPr>
          <w:rFonts w:ascii="Arial" w:cs="Arial" w:eastAsia="Arial" w:hAnsi="Arial"/>
          <w:sz w:val="18"/>
          <w:szCs w:val="18"/>
          <w:color w:val="auto"/>
        </w:rPr>
        <w:t>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 hand and our borrowing capacity under our Revolving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6" w:lineRule="exact"/>
        <w:rPr>
          <w:sz w:val="20"/>
          <w:szCs w:val="20"/>
          <w:color w:val="auto"/>
        </w:rPr>
      </w:pPr>
    </w:p>
    <w:p>
      <w:pPr>
        <w:ind w:firstLine="647"/>
        <w:spacing w:after="0" w:line="237" w:lineRule="auto"/>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contracts.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203"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In the last few years we have focused on collecting outstanding receivables to reduce Net DSO and working capital. Net DSO was 67 days at September 28, 2018 and 58 days at September 30, 2019. Our working capital (current assets less current liabilities) was $482.6 million at December 31, 2018 and $318.0 million at September 30, 2019.</w:t>
      </w:r>
    </w:p>
    <w:p>
      <w:pPr>
        <w:spacing w:after="0" w:line="208" w:lineRule="exact"/>
        <w:rPr>
          <w:sz w:val="20"/>
          <w:szCs w:val="20"/>
          <w:color w:val="auto"/>
        </w:rPr>
      </w:pPr>
    </w:p>
    <w:p>
      <w:pPr>
        <w:ind w:right="460" w:firstLine="647"/>
        <w:spacing w:after="0" w:line="246" w:lineRule="auto"/>
        <w:rPr>
          <w:sz w:val="20"/>
          <w:szCs w:val="20"/>
          <w:color w:val="auto"/>
        </w:rPr>
      </w:pPr>
      <w:r>
        <w:rPr>
          <w:rFonts w:ascii="Arial" w:cs="Arial" w:eastAsia="Arial" w:hAnsi="Arial"/>
          <w:sz w:val="18"/>
          <w:szCs w:val="18"/>
          <w:color w:val="auto"/>
        </w:rPr>
        <w:t>Our cash, cash equivalents and restricted cash decreased by $134.7 million to $146.5 million at September 30, 2019 from $281.2 million at December 31, 2018.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18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28, 2018</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CFF0FC"/>
            </w:tcBorders>
          </w:tcPr>
          <w:p>
            <w:pPr>
              <w:spacing w:after="0"/>
              <w:rPr>
                <w:sz w:val="14"/>
                <w:szCs w:val="14"/>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99,822</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130,628</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(503,637)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(541,710)</w:t>
            </w: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173,134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277,302</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r>
      <w:tr>
        <w:trPr>
          <w:trHeight w:val="20"/>
        </w:trPr>
        <w:tc>
          <w:tcPr>
            <w:tcW w:w="518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2200" w:type="dxa"/>
            <w:vAlign w:val="bottom"/>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(231,914)</w:t>
            </w:r>
          </w:p>
        </w:tc>
        <w:tc>
          <w:tcPr>
            <w:tcW w:w="76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(134,733)</w:t>
            </w: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22" w:lineRule="exact"/>
        <w:rPr>
          <w:sz w:val="20"/>
          <w:szCs w:val="20"/>
          <w:color w:val="auto"/>
        </w:rPr>
      </w:pPr>
    </w:p>
    <w:p>
      <w:pPr>
        <w:ind w:right="20" w:firstLine="647"/>
        <w:spacing w:after="0" w:line="237" w:lineRule="auto"/>
        <w:rPr>
          <w:sz w:val="20"/>
          <w:szCs w:val="20"/>
          <w:color w:val="auto"/>
        </w:rPr>
      </w:pPr>
      <w:r>
        <w:rPr>
          <w:rFonts w:ascii="Arial" w:cs="Arial" w:eastAsia="Arial" w:hAnsi="Arial"/>
          <w:sz w:val="18"/>
          <w:szCs w:val="18"/>
          <w:color w:val="auto"/>
        </w:rPr>
        <w:t>Net cash provided by operating activities consists primarily of net income (loss) adjusted for noncash items, such as: equity in earnings (loss)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46" w:name="page47"/>
    <w:bookmarkEnd w:id="46"/>
    <w:p>
      <w:pPr>
        <w:ind w:right="40" w:firstLine="647"/>
        <w:spacing w:after="0" w:line="238" w:lineRule="auto"/>
        <w:rPr>
          <w:sz w:val="20"/>
          <w:szCs w:val="20"/>
          <w:color w:val="auto"/>
        </w:rPr>
      </w:pPr>
      <w:r>
        <w:rPr>
          <w:rFonts w:ascii="Arial" w:cs="Arial" w:eastAsia="Arial" w:hAnsi="Arial"/>
          <w:sz w:val="18"/>
          <w:szCs w:val="18"/>
          <w:color w:val="auto"/>
        </w:rPr>
        <w:t>Net cash provided by operating activities increased $30.8 million to $130.6 million for the nine months ended September 30, 2019 compared to $99.8 million of cash provided by operating activities for the nine months ended September 28, 2018. The increase in net cash provided by operating activities is primarily from a $65.7 million increase in cash flows from our working capital accounts offset by a $35.5 million decrease in net income after adjusting for non-cash items. Net DSOs improved from 67 days to 58 days primarily driven by the increase in the Company’s revenue from business acquisitions along with net receivables decreasing.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consists primarily of cash flows associated with capital expenditures and business acquisitions.</w:t>
      </w:r>
    </w:p>
    <w:p>
      <w:pPr>
        <w:spacing w:after="0" w:line="212" w:lineRule="exact"/>
        <w:rPr>
          <w:sz w:val="20"/>
          <w:szCs w:val="20"/>
          <w:color w:val="auto"/>
        </w:rPr>
      </w:pPr>
    </w:p>
    <w:p>
      <w:pPr>
        <w:ind w:right="20" w:firstLine="647"/>
        <w:spacing w:after="0" w:line="239" w:lineRule="auto"/>
        <w:rPr>
          <w:sz w:val="20"/>
          <w:szCs w:val="20"/>
          <w:color w:val="auto"/>
        </w:rPr>
      </w:pPr>
      <w:r>
        <w:rPr>
          <w:rFonts w:ascii="Arial" w:cs="Arial" w:eastAsia="Arial" w:hAnsi="Arial"/>
          <w:sz w:val="18"/>
          <w:szCs w:val="18"/>
          <w:color w:val="auto"/>
        </w:rPr>
        <w:t>Net cash used in investing activities decreased $38.1 million to $541.7 million for the nine months ended September 30, 2019, when compared to $503.6 million for the nine months ended September 28, 2018. Cash used in investing activities for the nine months ended September 28, 2018 primarily related to the acquisition of Polaris Alpha and for the nine months ended September 30, 2019 primarily related to the acquisitions of OGSystems and QRC Technologies.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2" w:lineRule="exact"/>
        <w:rPr>
          <w:sz w:val="20"/>
          <w:szCs w:val="20"/>
          <w:color w:val="auto"/>
        </w:rPr>
      </w:pPr>
    </w:p>
    <w:p>
      <w:pPr>
        <w:ind w:right="160" w:firstLine="647"/>
        <w:spacing w:after="0" w:line="238" w:lineRule="auto"/>
        <w:rPr>
          <w:sz w:val="20"/>
          <w:szCs w:val="20"/>
          <w:color w:val="auto"/>
        </w:rPr>
      </w:pPr>
      <w:r>
        <w:rPr>
          <w:rFonts w:ascii="Arial" w:cs="Arial" w:eastAsia="Arial" w:hAnsi="Arial"/>
          <w:sz w:val="18"/>
          <w:szCs w:val="18"/>
          <w:color w:val="auto"/>
        </w:rPr>
        <w:t>Net cash provided by financing activities is primarily associated with proceeds from debt, the repayment thereof, distributions to noncontrolling interests and payments to the ESOP in connection with the redemption of ESOP participants’ interests. We spent $73.3 million and $0.8 million for the nine months ended September 28, 2018 and September 30, 2019, respectively, in connection with the redemption of ESOP participants’ interests. With a public market for the Company’s common stock, cash is no longer required for ESOP redemptions following the 180-day lock-up period which ended November 3, 2019.</w:t>
      </w:r>
    </w:p>
    <w:p>
      <w:pPr>
        <w:spacing w:after="0" w:line="203" w:lineRule="exact"/>
        <w:rPr>
          <w:sz w:val="20"/>
          <w:szCs w:val="20"/>
          <w:color w:val="auto"/>
        </w:rPr>
      </w:pPr>
    </w:p>
    <w:p>
      <w:pPr>
        <w:ind w:right="40" w:firstLine="647"/>
        <w:spacing w:after="0" w:line="238" w:lineRule="auto"/>
        <w:rPr>
          <w:sz w:val="20"/>
          <w:szCs w:val="20"/>
          <w:color w:val="auto"/>
        </w:rPr>
      </w:pPr>
      <w:r>
        <w:rPr>
          <w:rFonts w:ascii="Arial" w:cs="Arial" w:eastAsia="Arial" w:hAnsi="Arial"/>
          <w:sz w:val="18"/>
          <w:szCs w:val="18"/>
          <w:color w:val="auto"/>
        </w:rPr>
        <w:t>Net cash provided by financing activities increased $ 104.2 million to $277.3 million for the nine months ended September 30, 2019 when compared to $173.1 million for the nine months ended September 28, 2018, primarily due to $536.9 million of net proceeds from the IPO and a reduction of $72.5 million in the purchases of treasury stock. These changes in cash flows provided by financing activities were offset, in part, by a net change in repayments under the Company’s revolving credit agreement of $420.0 million, payment of the IPO dividend of $52.1 million, and an increase of $28.5 million in distributions to noncontrolling interests.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26" w:lineRule="exact"/>
        <w:rPr>
          <w:sz w:val="20"/>
          <w:szCs w:val="20"/>
          <w:color w:val="auto"/>
        </w:rPr>
      </w:pPr>
    </w:p>
    <w:p>
      <w:pPr>
        <w:ind w:right="300" w:firstLine="647"/>
        <w:spacing w:after="0"/>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$220.6 million as of September 30, 2019, including $45.2 million of letters of credit outstanding under the Credit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ind w:firstLine="647"/>
        <w:spacing w:after="0" w:line="246"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26" w:lineRule="exact"/>
        <w:rPr>
          <w:sz w:val="20"/>
          <w:szCs w:val="20"/>
          <w:color w:val="auto"/>
        </w:rPr>
      </w:pPr>
    </w:p>
    <w:p>
      <w:pPr>
        <w:jc w:val="both"/>
        <w:ind w:right="60" w:firstLine="647"/>
        <w:spacing w:after="0"/>
        <w:rPr>
          <w:sz w:val="20"/>
          <w:szCs w:val="20"/>
          <w:color w:val="auto"/>
        </w:rPr>
      </w:pPr>
      <w:r>
        <w:rPr>
          <w:rFonts w:ascii="Arial" w:cs="Arial" w:eastAsia="Arial" w:hAnsi="Arial"/>
          <w:sz w:val="18"/>
          <w:szCs w:val="18"/>
          <w:color w:val="auto"/>
        </w:rPr>
        <w:t>As of September 30, 2019,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right="60" w:firstLine="647"/>
        <w:spacing w:after="0" w:line="237" w:lineRule="auto"/>
        <w:rPr>
          <w:sz w:val="20"/>
          <w:szCs w:val="20"/>
          <w:color w:val="auto"/>
        </w:rPr>
      </w:pPr>
      <w:r>
        <w:rPr>
          <w:rFonts w:ascii="Arial" w:cs="Arial" w:eastAsia="Arial" w:hAnsi="Arial"/>
          <w:sz w:val="18"/>
          <w:szCs w:val="18"/>
          <w:color w:val="auto"/>
        </w:rPr>
        <w:t>We are exposed to interest rate risks related to the Company’s Revolving Credit Facility. As of September 30, 2019, we had no amounts outstanding under the Revolving Credit Facility. Borrowings under the Credit Facility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December 31, 2018 and September 30, 2019 were 4.253% and 3.350%,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6" w:lineRule="exact"/>
        <w:rPr>
          <w:sz w:val="20"/>
          <w:szCs w:val="20"/>
          <w:color w:val="auto"/>
        </w:rPr>
      </w:pPr>
    </w:p>
    <w:p>
      <w:pPr>
        <w:ind w:right="200" w:firstLine="647"/>
        <w:spacing w:after="0" w:line="239"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26" w:lineRule="exact"/>
        <w:rPr>
          <w:sz w:val="20"/>
          <w:szCs w:val="20"/>
          <w:color w:val="auto"/>
        </w:rPr>
      </w:pPr>
    </w:p>
    <w:p>
      <w:pPr>
        <w:ind w:firstLine="647"/>
        <w:spacing w:after="0" w:line="236" w:lineRule="auto"/>
        <w:rPr>
          <w:sz w:val="20"/>
          <w:szCs w:val="20"/>
          <w:color w:val="auto"/>
        </w:rPr>
      </w:pPr>
      <w:r>
        <w:rPr>
          <w:rFonts w:ascii="Arial" w:cs="Arial" w:eastAsia="Arial" w:hAnsi="Arial"/>
          <w:sz w:val="18"/>
          <w:szCs w:val="18"/>
          <w:color w:val="auto"/>
        </w:rPr>
        <w:t>Our management carried out, as of September 30, 2019 ,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September 30, 2019 ,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120" w:firstLine="647"/>
        <w:spacing w:after="0" w:line="246" w:lineRule="auto"/>
        <w:rPr>
          <w:sz w:val="20"/>
          <w:szCs w:val="20"/>
          <w:color w:val="auto"/>
        </w:rPr>
      </w:pPr>
      <w:r>
        <w:rPr>
          <w:rFonts w:ascii="Arial" w:cs="Arial" w:eastAsia="Arial" w:hAnsi="Arial"/>
          <w:sz w:val="18"/>
          <w:szCs w:val="18"/>
          <w:color w:val="auto"/>
        </w:rPr>
        <w:t>During the third quarter of 2019, there were no changes to our internal control over financial reporting that have materially affected, or are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48" w:name="page49"/>
    <w:bookmarkEnd w:id="48"/>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480" w:firstLine="647"/>
        <w:spacing w:after="0"/>
        <w:rPr>
          <w:sz w:val="20"/>
          <w:szCs w:val="20"/>
          <w:color w:val="auto"/>
        </w:rPr>
      </w:pPr>
      <w:r>
        <w:rPr>
          <w:rFonts w:ascii="Arial" w:cs="Arial" w:eastAsia="Arial" w:hAnsi="Arial"/>
          <w:sz w:val="18"/>
          <w:szCs w:val="18"/>
          <w:color w:val="auto"/>
        </w:rPr>
        <w:t>The information required by this Item 1 is included in “Note 13 – Commitments and Contingencies” included in the Notes to Consolidated Financial Statements appearing under Part I, Item 1 of this Quarterly Report on Form 10-Q which is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from our Risk Factors disclosed in the Company’s Form S-1/A filed on April 29, 2019.</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firstLine="647"/>
        <w:spacing w:after="0"/>
        <w:rPr>
          <w:sz w:val="20"/>
          <w:szCs w:val="20"/>
          <w:color w:val="auto"/>
        </w:rPr>
      </w:pPr>
      <w:r>
        <w:rPr>
          <w:rFonts w:ascii="Arial" w:cs="Arial" w:eastAsia="Arial" w:hAnsi="Arial"/>
          <w:sz w:val="18"/>
          <w:szCs w:val="18"/>
          <w:color w:val="auto"/>
        </w:rPr>
        <w:t>Carey Smith was appointed to the role of President of Parsons Corporation, in addition to her current duties as Chief Operating Officer effective November 11, 2019. In this position, she is responsible for Parsons operational business lines and supporting our customer’s missions. Charles L. Harrington will continue in his role as Chairman and Chief Executive Officer of Parsons Corporation.</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Parsons also announced the departure of Adam Taylor as Chief Transformation Officer effective November 11,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2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80" w:type="dxa"/>
            <w:vAlign w:val="bottom"/>
            <w:gridSpan w:val="7"/>
          </w:tcPr>
          <w:p>
            <w:pPr>
              <w:ind w:left="2540"/>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0000EE"/>
              </w:rPr>
              <w:t>Certification of Principal Executive Officer Pursuant to Rules 13a-14(a) and 15d-14(a) under the Securities Exchange Act of 1934,</w:t>
            </w:r>
          </w:p>
        </w:tc>
      </w:tr>
      <w:tr>
        <w:trPr>
          <w:trHeight w:val="183"/>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as Adopted Pursuant to Section 302 of the Sarbanes-Oxley Act of 2002.</w:t>
            </w:r>
          </w:p>
        </w:tc>
        <w:tc>
          <w:tcPr>
            <w:tcW w:w="4560" w:type="dxa"/>
            <w:vAlign w:val="bottom"/>
            <w:tcBorders>
              <w:top w:val="single" w:sz="8" w:color="0000EE"/>
            </w:tcBorders>
            <w:gridSpan w:val="3"/>
          </w:tcPr>
          <w:p>
            <w:pPr>
              <w:spacing w:after="0"/>
              <w:rPr>
                <w:sz w:val="15"/>
                <w:szCs w:val="15"/>
                <w:color w:val="auto"/>
              </w:rPr>
            </w:pPr>
          </w:p>
        </w:tc>
        <w:tc>
          <w:tcPr>
            <w:tcW w:w="200" w:type="dxa"/>
            <w:vAlign w:val="bottom"/>
            <w:gridSpan w:val="2"/>
          </w:tcPr>
          <w:p>
            <w:pPr>
              <w:spacing w:after="0"/>
              <w:rPr>
                <w:sz w:val="15"/>
                <w:szCs w:val="15"/>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500" w:type="dxa"/>
            <w:vAlign w:val="bottom"/>
            <w:gridSpan w:val="9"/>
          </w:tcPr>
          <w:p>
            <w:pPr>
              <w:spacing w:after="0"/>
              <w:rPr>
                <w:sz w:val="20"/>
                <w:szCs w:val="20"/>
                <w:color w:val="auto"/>
              </w:rPr>
            </w:pPr>
            <w:r>
              <w:rPr>
                <w:rFonts w:ascii="Arial" w:cs="Arial" w:eastAsia="Arial" w:hAnsi="Arial"/>
                <w:sz w:val="18"/>
                <w:szCs w:val="18"/>
                <w:color w:val="0000EE"/>
                <w:w w:val="99"/>
              </w:rPr>
              <w:t>Certification of Principal Financial Officer Pursuant to Rules 13a-14(a) and 15d-14(a) under the Securities Exchange Act of 1934, as</w:t>
            </w:r>
          </w:p>
        </w:tc>
      </w:tr>
      <w:tr>
        <w:trPr>
          <w:trHeight w:val="183"/>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Adopted Pursuant to Section 302 of the Sarbanes-Oxley Act of 2002.</w:t>
            </w:r>
          </w:p>
        </w:tc>
        <w:tc>
          <w:tcPr>
            <w:tcW w:w="498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500" w:type="dxa"/>
            <w:vAlign w:val="bottom"/>
            <w:gridSpan w:val="9"/>
          </w:tcPr>
          <w:p>
            <w:pPr>
              <w:spacing w:after="0"/>
              <w:rPr>
                <w:sz w:val="20"/>
                <w:szCs w:val="20"/>
                <w:color w:val="auto"/>
              </w:rPr>
            </w:pPr>
            <w:r>
              <w:rPr>
                <w:rFonts w:ascii="Arial" w:cs="Arial" w:eastAsia="Arial" w:hAnsi="Arial"/>
                <w:sz w:val="18"/>
                <w:szCs w:val="18"/>
                <w:color w:val="0000EE"/>
              </w:rPr>
              <w:t>Certification of Principal Executive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7360" w:type="dxa"/>
            <w:vAlign w:val="bottom"/>
            <w:tcBorders>
              <w:top w:val="single" w:sz="8" w:color="0000EE"/>
            </w:tcBorders>
            <w:gridSpan w:val="4"/>
          </w:tcPr>
          <w:p>
            <w:pPr>
              <w:spacing w:after="0"/>
              <w:rPr>
                <w:sz w:val="15"/>
                <w:szCs w:val="15"/>
                <w:color w:val="auto"/>
              </w:rPr>
            </w:pPr>
          </w:p>
        </w:tc>
        <w:tc>
          <w:tcPr>
            <w:tcW w:w="820" w:type="dxa"/>
            <w:vAlign w:val="bottom"/>
            <w:gridSpan w:val="3"/>
          </w:tcPr>
          <w:p>
            <w:pPr>
              <w:spacing w:after="0"/>
              <w:rPr>
                <w:sz w:val="15"/>
                <w:szCs w:val="15"/>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500" w:type="dxa"/>
            <w:vAlign w:val="bottom"/>
            <w:gridSpan w:val="9"/>
          </w:tcPr>
          <w:p>
            <w:pPr>
              <w:spacing w:after="0"/>
              <w:rPr>
                <w:sz w:val="20"/>
                <w:szCs w:val="20"/>
                <w:color w:val="auto"/>
              </w:rPr>
            </w:pPr>
            <w:r>
              <w:rPr>
                <w:rFonts w:ascii="Arial" w:cs="Arial" w:eastAsia="Arial" w:hAnsi="Arial"/>
                <w:sz w:val="18"/>
                <w:szCs w:val="18"/>
                <w:color w:val="0000EE"/>
              </w:rPr>
              <w:t>Certification of Principal Financial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Sarbanes-Oxley Act of 2002.</w:t>
            </w:r>
          </w:p>
        </w:tc>
        <w:tc>
          <w:tcPr>
            <w:tcW w:w="880" w:type="dxa"/>
            <w:vAlign w:val="bottom"/>
            <w:gridSpan w:val="4"/>
          </w:tcPr>
          <w:p>
            <w:pPr>
              <w:spacing w:after="0"/>
              <w:rPr>
                <w:sz w:val="15"/>
                <w:szCs w:val="15"/>
                <w:color w:val="auto"/>
              </w:rPr>
            </w:pPr>
          </w:p>
        </w:tc>
      </w:tr>
      <w:tr>
        <w:trPr>
          <w:trHeight w:val="345"/>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3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8200" w:type="dxa"/>
            <w:vAlign w:val="bottom"/>
            <w:gridSpan w:val="8"/>
          </w:tcPr>
          <w:p>
            <w:pPr>
              <w:spacing w:after="0"/>
              <w:rPr>
                <w:sz w:val="24"/>
                <w:szCs w:val="24"/>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5"/>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690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95"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0" w:name="page51"/>
    <w:bookmarkEnd w:id="50"/>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647"/>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Company Name</w:t>
      </w:r>
    </w:p>
    <w:p>
      <w:pPr>
        <w:spacing w:after="0" w:line="198" w:lineRule="exact"/>
        <w:rPr>
          <w:sz w:val="20"/>
          <w:szCs w:val="20"/>
          <w:color w:val="auto"/>
        </w:rPr>
      </w:pPr>
    </w:p>
    <w:p>
      <w:pPr>
        <w:spacing w:after="0"/>
        <w:tabs>
          <w:tab w:leader="none" w:pos="5960" w:val="left"/>
          <w:tab w:leader="none" w:pos="818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-1905</wp:posOffset>
            </wp:positionV>
            <wp:extent cx="32156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5" w:lineRule="exact"/>
        <w:rPr>
          <w:sz w:val="20"/>
          <w:szCs w:val="20"/>
          <w:color w:val="auto"/>
        </w:rPr>
      </w:pPr>
    </w:p>
    <w:p>
      <w:pPr>
        <w:jc w:val="center"/>
        <w:ind w:left="6360"/>
        <w:spacing w:after="0"/>
        <w:rPr>
          <w:sz w:val="20"/>
          <w:szCs w:val="20"/>
          <w:color w:val="auto"/>
        </w:rPr>
      </w:pPr>
      <w:r>
        <w:rPr>
          <w:rFonts w:ascii="Arial" w:cs="Arial" w:eastAsia="Arial" w:hAnsi="Arial"/>
          <w:sz w:val="18"/>
          <w:szCs w:val="18"/>
          <w:color w:val="auto"/>
        </w:rPr>
        <w:t>George L. Ball</w:t>
      </w:r>
    </w:p>
    <w:p>
      <w:pPr>
        <w:jc w:val="center"/>
        <w:ind w:left="63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240" w:top="333" w:right="6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Charles L. Harrington, certify that:</w:t>
      </w:r>
    </w:p>
    <w:p>
      <w:pPr>
        <w:spacing w:after="0" w:line="212"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40" w:right="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40" w:right="140" w:hanging="532"/>
        <w:spacing w:after="0" w:line="275"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40" w:right="220" w:hanging="532"/>
        <w:spacing w:after="0" w:line="24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96" w:lineRule="exact"/>
        <w:rPr>
          <w:rFonts w:ascii="Arial" w:cs="Arial" w:eastAsia="Arial" w:hAnsi="Arial"/>
          <w:sz w:val="18"/>
          <w:szCs w:val="18"/>
          <w:color w:val="auto"/>
        </w:rPr>
      </w:pPr>
    </w:p>
    <w:p>
      <w:pPr>
        <w:jc w:val="both"/>
        <w:ind w:left="1060" w:right="80" w:hanging="525"/>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60" w:right="360" w:hanging="525"/>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60" w:right="160" w:hanging="525"/>
        <w:spacing w:after="0"/>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40" w:right="12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60" w:right="40" w:hanging="525"/>
        <w:spacing w:after="0" w:line="246"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60" w:right="260" w:hanging="525"/>
        <w:spacing w:after="0" w:line="246" w:lineRule="auto"/>
        <w:tabs>
          <w:tab w:leader="none" w:pos="10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840" w:val="left"/>
          <w:tab w:leader="none" w:pos="832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wp:posOffset>
            </wp:positionV>
            <wp:extent cx="2675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Charles L. Harrington</w:t>
      </w:r>
    </w:p>
    <w:p>
      <w:pPr>
        <w:spacing w:after="0" w:line="3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George L. Ball, certify that:</w:t>
      </w:r>
    </w:p>
    <w:p>
      <w:pPr>
        <w:spacing w:after="0" w:line="21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40" w:right="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40" w:right="140" w:hanging="532"/>
        <w:spacing w:after="0" w:line="275"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40" w:right="220" w:hanging="532"/>
        <w:spacing w:after="0" w:line="24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96" w:lineRule="exact"/>
        <w:rPr>
          <w:rFonts w:ascii="Arial" w:cs="Arial" w:eastAsia="Arial" w:hAnsi="Arial"/>
          <w:sz w:val="18"/>
          <w:szCs w:val="18"/>
          <w:color w:val="auto"/>
        </w:rPr>
      </w:pPr>
    </w:p>
    <w:p>
      <w:pPr>
        <w:jc w:val="both"/>
        <w:ind w:left="1060" w:right="80" w:hanging="525"/>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60" w:right="360" w:hanging="525"/>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60" w:right="160" w:hanging="525"/>
        <w:spacing w:after="0"/>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40" w:right="12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60" w:right="40" w:hanging="525"/>
        <w:spacing w:after="0" w:line="246" w:lineRule="auto"/>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60" w:right="260" w:hanging="525"/>
        <w:spacing w:after="0" w:line="246" w:lineRule="auto"/>
        <w:tabs>
          <w:tab w:leader="none" w:pos="10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-1905</wp:posOffset>
            </wp:positionV>
            <wp:extent cx="2675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0"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George L. Ball</w:t>
      </w:r>
    </w:p>
    <w:p>
      <w:pPr>
        <w:spacing w:after="0" w:line="36"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100" w:firstLine="534"/>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2019 as filed with the Securities and Exchange Commission on the date hereof (the “Report”), I, Charles L. Harrington, Chief Executive Officer of the Company, certify, pursuant to 18 U.S.C. § 1350, as adopted pursuant to § 906 of the Sarbanes-Oxley Act of 2002, that:</w:t>
      </w:r>
    </w:p>
    <w:p>
      <w:pPr>
        <w:spacing w:after="0" w:line="203" w:lineRule="exact"/>
        <w:rPr>
          <w:sz w:val="20"/>
          <w:szCs w:val="20"/>
          <w:color w:val="auto"/>
        </w:rPr>
      </w:pPr>
    </w:p>
    <w:p>
      <w:pPr>
        <w:ind w:left="1060" w:hanging="525"/>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60" w:right="180" w:hanging="525"/>
        <w:spacing w:after="0" w:line="246"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260" w:val="left"/>
          <w:tab w:leader="none" w:pos="802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-1905</wp:posOffset>
            </wp:positionV>
            <wp:extent cx="30613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5"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Charles L. Harrington</w:t>
      </w:r>
    </w:p>
    <w:p>
      <w:pPr>
        <w:ind w:left="81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60" w:firstLine="534"/>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2019 as filed with the Securities and Exchange Commission on the date hereof (the “Report”), I, George L. Ball, Chief Financial Officer of the Company, certify, pursuant to 18 U.S.C. § 1350, as adopted pursuant to § 906 of the Sarbanes-Oxley Act of 2002, that:</w:t>
      </w:r>
    </w:p>
    <w:p>
      <w:pPr>
        <w:spacing w:after="0" w:line="203"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0" w:hanging="519"/>
        <w:spacing w:after="0" w:line="246"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spacing w:after="0"/>
        <w:tabs>
          <w:tab w:leader="none" w:pos="6260" w:val="left"/>
          <w:tab w:leader="none" w:pos="830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-1905</wp:posOffset>
            </wp:positionV>
            <wp:extent cx="30613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5"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George L. Ball</w:t>
      </w:r>
    </w:p>
    <w:p>
      <w:pPr>
        <w:jc w:val="center"/>
        <w:ind w:left="66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60" w:firstLine="518"/>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6"/>
    </w:lvl>
  </w:abstractNum>
  <w:abstractNum w:abstractNumId="10">
    <w:nsid w:val="75A2A8D4"/>
    <w:multiLevelType w:val="hybridMultilevel"/>
    <w:lvl w:ilvl="0">
      <w:lvlJc w:val="left"/>
      <w:lvlText w:val="%1."/>
      <w:numFmt w:val="decimal"/>
      <w:start w:val="7"/>
    </w:lvl>
  </w:abstractNum>
  <w:abstractNum w:abstractNumId="11">
    <w:nsid w:val="8EDBDAB"/>
    <w:multiLevelType w:val="hybridMultilevel"/>
    <w:lvl w:ilvl="0">
      <w:lvlJc w:val="left"/>
      <w:lvlText w:val="%1."/>
      <w:numFmt w:val="decimal"/>
      <w:start w:val="8"/>
    </w:lvl>
  </w:abstractNum>
  <w:abstractNum w:abstractNumId="12">
    <w:nsid w:val="79838CB2"/>
    <w:multiLevelType w:val="hybridMultilevel"/>
    <w:lvl w:ilvl="0">
      <w:lvlJc w:val="left"/>
      <w:lvlText w:val="%1."/>
      <w:numFmt w:val="decimal"/>
      <w:start w:val="9"/>
    </w:lvl>
  </w:abstractNum>
  <w:abstractNum w:abstractNumId="13">
    <w:nsid w:val="4353D0CD"/>
    <w:multiLevelType w:val="hybridMultilevel"/>
    <w:lvl w:ilvl="0">
      <w:lvlJc w:val="left"/>
      <w:lvlText w:val="%1."/>
      <w:numFmt w:val="decimal"/>
      <w:start w:val="10"/>
    </w:lvl>
  </w:abstractNum>
  <w:abstractNum w:abstractNumId="14">
    <w:nsid w:val="B03E0C6"/>
    <w:multiLevelType w:val="hybridMultilevel"/>
    <w:lvl w:ilvl="0">
      <w:lvlJc w:val="left"/>
      <w:lvlText w:val="%1."/>
      <w:numFmt w:val="decimal"/>
      <w:start w:val="11"/>
    </w:lvl>
  </w:abstractNum>
  <w:abstractNum w:abstractNumId="15">
    <w:nsid w:val="189A769B"/>
    <w:multiLevelType w:val="hybridMultilevel"/>
    <w:lvl w:ilvl="0">
      <w:lvlJc w:val="left"/>
      <w:lvlText w:val="%1."/>
      <w:numFmt w:val="decimal"/>
      <w:start w:val="12"/>
    </w:lvl>
  </w:abstractNum>
  <w:abstractNum w:abstractNumId="16">
    <w:nsid w:val="54E49EB4"/>
    <w:multiLevelType w:val="hybridMultilevel"/>
    <w:lvl w:ilvl="0">
      <w:lvlJc w:val="left"/>
      <w:lvlText w:val="%1."/>
      <w:numFmt w:val="decimal"/>
      <w:start w:val="13"/>
    </w:lvl>
  </w:abstractNum>
  <w:abstractNum w:abstractNumId="17">
    <w:nsid w:val="71F32454"/>
    <w:multiLevelType w:val="hybridMultilevel"/>
    <w:lvl w:ilvl="0">
      <w:lvlJc w:val="left"/>
      <w:lvlText w:val="%1."/>
      <w:numFmt w:val="decimal"/>
      <w:start w:val="14"/>
    </w:lvl>
  </w:abstractNum>
  <w:abstractNum w:abstractNumId="18">
    <w:nsid w:val="2CA88611"/>
    <w:multiLevelType w:val="hybridMultilevel"/>
    <w:lvl w:ilvl="0">
      <w:lvlJc w:val="left"/>
      <w:lvlText w:val="%1."/>
      <w:numFmt w:val="decimal"/>
      <w:start w:val="15"/>
    </w:lvl>
  </w:abstractNum>
  <w:abstractNum w:abstractNumId="19">
    <w:nsid w:val="836C40E"/>
    <w:multiLevelType w:val="hybridMultilevel"/>
    <w:lvl w:ilvl="0">
      <w:lvlJc w:val="left"/>
      <w:lvlText w:val="%1."/>
      <w:numFmt w:val="decimal"/>
      <w:start w:val="16"/>
    </w:lvl>
  </w:abstractNum>
  <w:abstractNum w:abstractNumId="20">
    <w:nsid w:val="2901D82"/>
    <w:multiLevelType w:val="hybridMultilevel"/>
    <w:lvl w:ilvl="0">
      <w:lvlJc w:val="left"/>
      <w:lvlText w:val="%1."/>
      <w:numFmt w:val="decimal"/>
      <w:start w:val="17"/>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8"/>
    </w:lvl>
  </w:abstractNum>
  <w:abstractNum w:abstractNumId="23">
    <w:nsid w:val="1E7FF521"/>
    <w:multiLevelType w:val="hybridMultilevel"/>
    <w:lvl w:ilvl="0">
      <w:lvlJc w:val="left"/>
      <w:lvlText w:val="%1."/>
      <w:numFmt w:val="decimal"/>
      <w:start w:val="19"/>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decimal"/>
      <w:start w:val="20"/>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2"/>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2019-11-28T09:46:25Z</dcterms:created>
  <dcterms:modified xsi:type="dcterms:W3CDTF">2019-11-28T09:46:25Z</dcterms:modified>
</cp:coreProperties>
</file>