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 w:lineRule="exact"/>
        <w:rPr>
          <w:sz w:val="24"/>
          <w:szCs w:val="24"/>
          <w:color w:val="auto"/>
        </w:rPr>
      </w:pPr>
    </w:p>
    <w:p>
      <w:pPr>
        <w:ind w:left="1860" w:hanging="788"/>
        <w:spacing w:after="0"/>
        <w:tabs>
          <w:tab w:leader="none" w:pos="18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860" w:hanging="787"/>
        <w:spacing w:after="0"/>
        <w:tabs>
          <w:tab w:leader="none" w:pos="18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80010</wp:posOffset>
            </wp:positionV>
            <wp:extent cx="252031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86"/>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0"/>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3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67" w:lineRule="exact"/>
        <w:rPr>
          <w:sz w:val="24"/>
          <w:szCs w:val="24"/>
          <w:color w:val="auto"/>
        </w:rPr>
      </w:pPr>
    </w:p>
    <w:p>
      <w:pPr>
        <w:ind w:right="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6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40" w:firstLine="599"/>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460" w:firstLine="59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00" w:right="800" w:hanging="598"/>
        <w:spacing w:after="0" w:line="273"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28, 2021, the registrant had 102,502,780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36"/>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6"/>
          </w:tcPr>
          <w:p>
            <w:pPr>
              <w:ind w:left="260"/>
              <w:spacing w:after="0"/>
              <w:rPr>
                <w:sz w:val="20"/>
                <w:szCs w:val="20"/>
                <w:color w:val="auto"/>
              </w:rPr>
            </w:pPr>
            <w:r>
              <w:rPr>
                <w:rFonts w:ascii="Arial" w:cs="Arial" w:eastAsia="Arial" w:hAnsi="Arial"/>
                <w:sz w:val="25"/>
                <w:szCs w:val="25"/>
                <w:b w:val="1"/>
                <w:bCs w:val="1"/>
                <w:color w:val="auto"/>
              </w:rPr>
              <w:t>Table of Contents</w:t>
            </w:r>
          </w:p>
        </w:tc>
      </w:tr>
      <w:tr>
        <w:trPr>
          <w:trHeight w:val="626"/>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INFORMATION</w:t>
              </w:r>
            </w:hyperlink>
          </w:p>
        </w:tc>
        <w:tc>
          <w:tcPr>
            <w:tcW w:w="4840" w:type="dxa"/>
            <w:vAlign w:val="bottom"/>
            <w:gridSpan w:val="11"/>
          </w:tcPr>
          <w:p>
            <w:pPr>
              <w:spacing w:after="0"/>
              <w:rPr>
                <w:sz w:val="24"/>
                <w:szCs w:val="24"/>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23"/>
        </w:trPr>
        <w:tc>
          <w:tcPr>
            <w:tcW w:w="1120" w:type="dxa"/>
            <w:vAlign w:val="bottom"/>
          </w:tcPr>
          <w:p>
            <w:pPr>
              <w:spacing w:after="0"/>
              <w:rPr>
                <w:sz w:val="19"/>
                <w:szCs w:val="19"/>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300" w:type="dxa"/>
            <w:vAlign w:val="bottom"/>
            <w:tcBorders>
              <w:top w:val="single" w:sz="8" w:color="0000EE"/>
            </w:tcBorders>
            <w:gridSpan w:val="2"/>
          </w:tcPr>
          <w:p>
            <w:pPr>
              <w:spacing w:after="0"/>
              <w:rPr>
                <w:sz w:val="19"/>
                <w:szCs w:val="19"/>
                <w:color w:val="auto"/>
              </w:rPr>
            </w:pPr>
          </w:p>
        </w:tc>
        <w:tc>
          <w:tcPr>
            <w:tcW w:w="4420" w:type="dxa"/>
            <w:vAlign w:val="bottom"/>
            <w:gridSpan w:val="8"/>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70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41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Comprehensive Income</w:t>
              </w:r>
            </w:hyperlink>
          </w:p>
        </w:tc>
        <w:tc>
          <w:tcPr>
            <w:tcW w:w="2920" w:type="dxa"/>
            <w:vAlign w:val="bottom"/>
            <w:gridSpan w:val="4"/>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2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w:t>
              </w:r>
            </w:hyperlink>
          </w:p>
        </w:tc>
        <w:tc>
          <w:tcPr>
            <w:tcW w:w="3880" w:type="dxa"/>
            <w:vAlign w:val="bottom"/>
            <w:gridSpan w:val="6"/>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92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Shareholders’ Equity</w:t>
              </w:r>
            </w:hyperlink>
          </w:p>
        </w:tc>
        <w:tc>
          <w:tcPr>
            <w:tcW w:w="3160" w:type="dxa"/>
            <w:vAlign w:val="bottom"/>
            <w:gridSpan w:val="5"/>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708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Management’s Discussion and Analysis of Financial Condition and Results of Operations</w:t>
              </w:r>
            </w:hyperlink>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r>
      <w:tr>
        <w:trPr>
          <w:trHeight w:val="209"/>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2380" w:type="dxa"/>
            <w:vAlign w:val="bottom"/>
            <w:gridSpan w:val="2"/>
          </w:tcPr>
          <w:p>
            <w:pPr>
              <w:spacing w:after="0"/>
              <w:rPr>
                <w:sz w:val="18"/>
                <w:szCs w:val="18"/>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5100" w:type="dxa"/>
            <w:vAlign w:val="bottom"/>
            <w:gridSpan w:val="12"/>
          </w:tcPr>
          <w:p>
            <w:pPr>
              <w:spacing w:after="0"/>
              <w:rPr>
                <w:sz w:val="20"/>
                <w:szCs w:val="20"/>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9"/>
                <w:szCs w:val="19"/>
                <w:color w:val="auto"/>
              </w:rPr>
            </w:pPr>
          </w:p>
        </w:tc>
        <w:tc>
          <w:tcPr>
            <w:tcW w:w="5600" w:type="dxa"/>
            <w:vAlign w:val="bottom"/>
            <w:gridSpan w:val="14"/>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224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4540" w:type="dxa"/>
            <w:vAlign w:val="bottom"/>
            <w:gridSpan w:val="9"/>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2"/>
          </w:tcPr>
          <w:p>
            <w:pPr>
              <w:spacing w:after="0"/>
              <w:rPr>
                <w:sz w:val="19"/>
                <w:szCs w:val="19"/>
                <w:color w:val="auto"/>
              </w:rPr>
            </w:pP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708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Signatures</w:t>
              </w:r>
            </w:hyperlink>
          </w:p>
        </w:tc>
        <w:tc>
          <w:tcPr>
            <w:tcW w:w="6220" w:type="dxa"/>
            <w:vAlign w:val="bottom"/>
            <w:gridSpan w:val="17"/>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8890</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2">
            <w:col w:w="10020" w:space="720"/>
            <w:col w:w="480"/>
          </w:cols>
          <w:pgMar w:left="320" w:top="54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736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$57,563 and $75,220 Cash of consolidated joint ventures)</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483,443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483,609</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Restricted cash and investments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1,145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15"/>
                <w:szCs w:val="15"/>
                <w:color w:val="auto"/>
              </w:rPr>
            </w:pPr>
          </w:p>
        </w:tc>
      </w:tr>
      <w:tr>
        <w:trPr>
          <w:trHeight w:val="180"/>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 (including $173,640 and $190,643 Accounts receivable of consolidated joint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36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ventures, net)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637,980</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698,578</w:t>
            </w:r>
          </w:p>
        </w:tc>
        <w:tc>
          <w:tcPr>
            <w:tcW w:w="100" w:type="dxa"/>
            <w:vAlign w:val="bottom"/>
            <w:shd w:val="clear" w:color="auto" w:fill="CFF0FC"/>
          </w:tcPr>
          <w:p>
            <w:pPr>
              <w:spacing w:after="0"/>
              <w:rPr>
                <w:sz w:val="13"/>
                <w:szCs w:val="13"/>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Contract assets (including $25,192 and $23,498 Contract assets of consolidated joint ventures)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568,239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576,568</w:t>
            </w:r>
          </w:p>
        </w:tc>
        <w:tc>
          <w:tcPr>
            <w:tcW w:w="100" w:type="dxa"/>
            <w:vAlign w:val="bottom"/>
          </w:tcPr>
          <w:p>
            <w:pPr>
              <w:spacing w:after="0"/>
              <w:rPr>
                <w:sz w:val="15"/>
                <w:szCs w:val="15"/>
                <w:color w:val="auto"/>
              </w:rPr>
            </w:pPr>
          </w:p>
        </w:tc>
      </w:tr>
      <w:tr>
        <w:trPr>
          <w:trHeight w:val="180"/>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 (including $6,657 and $3,045 Prepaid expenses and other current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36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assets of consolidated joint ventures)</w:t>
            </w:r>
          </w:p>
        </w:tc>
        <w:tc>
          <w:tcPr>
            <w:tcW w:w="1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103,599</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80,769</w:t>
            </w:r>
          </w:p>
        </w:tc>
        <w:tc>
          <w:tcPr>
            <w:tcW w:w="100" w:type="dxa"/>
            <w:vAlign w:val="bottom"/>
            <w:shd w:val="clear" w:color="auto" w:fill="CFF0FC"/>
          </w:tcPr>
          <w:p>
            <w:pPr>
              <w:spacing w:after="0"/>
              <w:rPr>
                <w:sz w:val="13"/>
                <w:szCs w:val="13"/>
                <w:color w:val="auto"/>
              </w:rPr>
            </w:pPr>
          </w:p>
        </w:tc>
      </w:tr>
      <w:tr>
        <w:trPr>
          <w:trHeight w:val="169"/>
        </w:trPr>
        <w:tc>
          <w:tcPr>
            <w:tcW w:w="736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1,794,406</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1,843,130</w:t>
            </w:r>
          </w:p>
        </w:tc>
        <w:tc>
          <w:tcPr>
            <w:tcW w:w="100" w:type="dxa"/>
            <w:vAlign w:val="bottom"/>
            <w:tcBorders>
              <w:bottom w:val="single" w:sz="8" w:color="CFF0FC"/>
            </w:tcBorders>
          </w:tcPr>
          <w:p>
            <w:pPr>
              <w:spacing w:after="0"/>
              <w:rPr>
                <w:sz w:val="14"/>
                <w:szCs w:val="14"/>
                <w:color w:val="auto"/>
              </w:rPr>
            </w:pPr>
          </w:p>
        </w:tc>
      </w:tr>
      <w:tr>
        <w:trPr>
          <w:trHeight w:val="169"/>
        </w:trPr>
        <w:tc>
          <w:tcPr>
            <w:tcW w:w="7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360" w:type="dxa"/>
            <w:vAlign w:val="bottom"/>
          </w:tcPr>
          <w:p>
            <w:pPr>
              <w:ind w:left="260"/>
              <w:spacing w:after="0"/>
              <w:rPr>
                <w:sz w:val="20"/>
                <w:szCs w:val="20"/>
                <w:color w:val="auto"/>
              </w:rPr>
            </w:pPr>
            <w:r>
              <w:rPr>
                <w:rFonts w:ascii="Arial" w:cs="Arial" w:eastAsia="Arial" w:hAnsi="Arial"/>
                <w:sz w:val="14"/>
                <w:szCs w:val="14"/>
                <w:color w:val="auto"/>
              </w:rPr>
              <w:t>Property and equipment, net (including $2,283 and $2,629 Property and equipment of consolidated joint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360" w:type="dxa"/>
            <w:vAlign w:val="bottom"/>
          </w:tcPr>
          <w:p>
            <w:pPr>
              <w:ind w:left="260"/>
              <w:spacing w:after="0" w:line="157" w:lineRule="exact"/>
              <w:rPr>
                <w:sz w:val="20"/>
                <w:szCs w:val="20"/>
                <w:color w:val="auto"/>
              </w:rPr>
            </w:pPr>
            <w:r>
              <w:rPr>
                <w:rFonts w:ascii="Arial" w:cs="Arial" w:eastAsia="Arial" w:hAnsi="Arial"/>
                <w:sz w:val="14"/>
                <w:szCs w:val="14"/>
                <w:color w:val="auto"/>
              </w:rPr>
              <w:t>ventures, net)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110,617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121,027</w:t>
            </w: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Right of use assets, operating leases</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194,484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210,398</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1,263,060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1,261,978</w:t>
            </w:r>
          </w:p>
        </w:tc>
        <w:tc>
          <w:tcPr>
            <w:tcW w:w="10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86,045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68,975</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197,985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245,958</w:t>
            </w:r>
          </w:p>
        </w:tc>
        <w:tc>
          <w:tcPr>
            <w:tcW w:w="10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147,146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130,200</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45,554</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56,038</w:t>
            </w:r>
          </w:p>
        </w:tc>
        <w:tc>
          <w:tcPr>
            <w:tcW w:w="10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assets</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3,839,297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3,937,704</w:t>
            </w:r>
          </w:p>
        </w:tc>
        <w:tc>
          <w:tcPr>
            <w:tcW w:w="100" w:type="dxa"/>
            <w:vAlign w:val="bottom"/>
            <w:shd w:val="clear" w:color="auto" w:fill="CFF0FC"/>
          </w:tcPr>
          <w:p>
            <w:pPr>
              <w:spacing w:after="0"/>
              <w:rPr>
                <w:sz w:val="14"/>
                <w:szCs w:val="14"/>
                <w:color w:val="auto"/>
              </w:rPr>
            </w:pP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6"/>
        </w:trPr>
        <w:tc>
          <w:tcPr>
            <w:tcW w:w="7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(including $85,425 and $97,810 Accounts payable of consolidated joint ventures)</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191,688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225,679</w:t>
            </w:r>
          </w:p>
        </w:tc>
        <w:tc>
          <w:tcPr>
            <w:tcW w:w="100" w:type="dxa"/>
            <w:vAlign w:val="bottom"/>
            <w:shd w:val="clear" w:color="auto" w:fill="CFF0FC"/>
          </w:tcPr>
          <w:p>
            <w:pPr>
              <w:spacing w:after="0"/>
              <w:rPr>
                <w:sz w:val="15"/>
                <w:szCs w:val="15"/>
                <w:color w:val="auto"/>
              </w:rPr>
            </w:pPr>
          </w:p>
        </w:tc>
      </w:tr>
      <w:tr>
        <w:trPr>
          <w:trHeight w:val="180"/>
        </w:trPr>
        <w:tc>
          <w:tcPr>
            <w:tcW w:w="736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 (including $70,015 and $68,801 Accrued expenses and other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360" w:type="dxa"/>
            <w:vAlign w:val="bottom"/>
          </w:tcPr>
          <w:p>
            <w:pPr>
              <w:ind w:left="260"/>
              <w:spacing w:after="0" w:line="157" w:lineRule="exact"/>
              <w:rPr>
                <w:sz w:val="20"/>
                <w:szCs w:val="20"/>
                <w:color w:val="auto"/>
              </w:rPr>
            </w:pPr>
            <w:r>
              <w:rPr>
                <w:rFonts w:ascii="Arial" w:cs="Arial" w:eastAsia="Arial" w:hAnsi="Arial"/>
                <w:sz w:val="14"/>
                <w:szCs w:val="14"/>
                <w:color w:val="auto"/>
              </w:rPr>
              <w:t>current liabilities of consolidated joint ventures)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582,610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650,753</w:t>
            </w: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 (including $35,260 and $33,922 Contract liabilities of consolidated joint ventures)</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196,547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201,864</w:t>
            </w: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Pr>
          <w:p>
            <w:pPr>
              <w:ind w:left="260"/>
              <w:spacing w:after="0"/>
              <w:rPr>
                <w:sz w:val="20"/>
                <w:szCs w:val="20"/>
                <w:color w:val="auto"/>
              </w:rPr>
            </w:pPr>
            <w:r>
              <w:rPr>
                <w:rFonts w:ascii="Arial" w:cs="Arial" w:eastAsia="Arial" w:hAnsi="Arial"/>
                <w:sz w:val="14"/>
                <w:szCs w:val="14"/>
                <w:color w:val="auto"/>
              </w:rPr>
              <w:t>Short-term lease liabilities, operating leases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53,997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54,133</w:t>
            </w:r>
          </w:p>
        </w:tc>
        <w:tc>
          <w:tcPr>
            <w:tcW w:w="10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payable</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4,980</w:t>
            </w: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Short-term debt</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1,077,424</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1,187,409</w:t>
            </w:r>
          </w:p>
        </w:tc>
        <w:tc>
          <w:tcPr>
            <w:tcW w:w="100" w:type="dxa"/>
            <w:vAlign w:val="bottom"/>
            <w:shd w:val="clear" w:color="auto" w:fill="CFF0FC"/>
          </w:tcPr>
          <w:p>
            <w:pPr>
              <w:spacing w:after="0"/>
              <w:rPr>
                <w:sz w:val="14"/>
                <w:szCs w:val="14"/>
                <w:color w:val="auto"/>
              </w:rPr>
            </w:pPr>
          </w:p>
        </w:tc>
      </w:tr>
      <w:tr>
        <w:trPr>
          <w:trHeight w:val="169"/>
        </w:trPr>
        <w:tc>
          <w:tcPr>
            <w:tcW w:w="7360" w:type="dxa"/>
            <w:vAlign w:val="bottom"/>
          </w:tcPr>
          <w:p>
            <w:pPr>
              <w:ind w:left="260"/>
              <w:spacing w:after="0"/>
              <w:rPr>
                <w:sz w:val="20"/>
                <w:szCs w:val="20"/>
                <w:color w:val="auto"/>
              </w:rPr>
            </w:pPr>
            <w:r>
              <w:rPr>
                <w:rFonts w:ascii="Arial" w:cs="Arial" w:eastAsia="Arial" w:hAnsi="Arial"/>
                <w:sz w:val="14"/>
                <w:szCs w:val="14"/>
                <w:color w:val="auto"/>
              </w:rPr>
              <w:t>Long-term employee incentives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23,222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21,828</w:t>
            </w:r>
          </w:p>
        </w:tc>
        <w:tc>
          <w:tcPr>
            <w:tcW w:w="100" w:type="dxa"/>
            <w:vAlign w:val="bottom"/>
          </w:tcPr>
          <w:p>
            <w:pPr>
              <w:spacing w:after="0"/>
              <w:rPr>
                <w:sz w:val="14"/>
                <w:szCs w:val="14"/>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590,876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539,998</w:t>
            </w:r>
          </w:p>
        </w:tc>
        <w:tc>
          <w:tcPr>
            <w:tcW w:w="10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Long-term lease liabilities, operating leases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164,754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182,467</w:t>
            </w:r>
          </w:p>
        </w:tc>
        <w:tc>
          <w:tcPr>
            <w:tcW w:w="10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12,690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12,285</w:t>
            </w: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119,881</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132,300</w:t>
            </w:r>
          </w:p>
        </w:tc>
        <w:tc>
          <w:tcPr>
            <w:tcW w:w="10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1,988,847</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2,076,287</w:t>
            </w:r>
          </w:p>
        </w:tc>
        <w:tc>
          <w:tcPr>
            <w:tcW w:w="100" w:type="dxa"/>
            <w:vAlign w:val="bottom"/>
            <w:shd w:val="clear" w:color="auto" w:fill="CFF0FC"/>
          </w:tcPr>
          <w:p>
            <w:pPr>
              <w:spacing w:after="0"/>
              <w:rPr>
                <w:sz w:val="14"/>
                <w:szCs w:val="14"/>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color w:val="auto"/>
              </w:rPr>
              <w:t>Contingencies (Note 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7360" w:type="dxa"/>
            <w:vAlign w:val="bottom"/>
          </w:tcPr>
          <w:p>
            <w:pPr>
              <w:ind w:left="260"/>
              <w:spacing w:after="0"/>
              <w:rPr>
                <w:sz w:val="20"/>
                <w:szCs w:val="20"/>
                <w:color w:val="auto"/>
              </w:rPr>
            </w:pPr>
            <w:r>
              <w:rPr>
                <w:rFonts w:ascii="Arial" w:cs="Arial" w:eastAsia="Arial" w:hAnsi="Arial"/>
                <w:sz w:val="14"/>
                <w:szCs w:val="14"/>
                <w:color w:val="auto"/>
              </w:rPr>
              <w:t>Common stock, $1 par value; authorized 1,000,000,000 shares; 146,751,406 and 146,609,288 shares issued;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360" w:type="dxa"/>
            <w:vAlign w:val="bottom"/>
          </w:tcPr>
          <w:p>
            <w:pPr>
              <w:ind w:left="260"/>
              <w:spacing w:after="0" w:line="157" w:lineRule="exact"/>
              <w:rPr>
                <w:sz w:val="20"/>
                <w:szCs w:val="20"/>
                <w:color w:val="auto"/>
              </w:rPr>
            </w:pPr>
            <w:r>
              <w:rPr>
                <w:rFonts w:ascii="Arial" w:cs="Arial" w:eastAsia="Arial" w:hAnsi="Arial"/>
                <w:sz w:val="14"/>
                <w:szCs w:val="14"/>
                <w:color w:val="auto"/>
              </w:rPr>
              <w:t>30,213,867 and 25,719,350 public shares outstanding; 72,288,913 and 76,641,312 ESOP shares outstanding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146,752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146,609</w:t>
            </w: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stock, 44,248,626 shares at cost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(899,328)</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(899,328)</w:t>
            </w:r>
          </w:p>
        </w:tc>
      </w:tr>
      <w:tr>
        <w:trPr>
          <w:trHeight w:val="191"/>
        </w:trPr>
        <w:tc>
          <w:tcPr>
            <w:tcW w:w="736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2,673,965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2,700,925</w:t>
            </w:r>
          </w:p>
        </w:tc>
        <w:tc>
          <w:tcPr>
            <w:tcW w:w="100" w:type="dxa"/>
            <w:vAlign w:val="bottom"/>
          </w:tcPr>
          <w:p>
            <w:pPr>
              <w:spacing w:after="0"/>
              <w:rPr>
                <w:sz w:val="16"/>
                <w:szCs w:val="16"/>
                <w:color w:val="auto"/>
              </w:rPr>
            </w:pPr>
          </w:p>
        </w:tc>
      </w:tr>
      <w:tr>
        <w:trPr>
          <w:trHeight w:val="160"/>
        </w:trPr>
        <w:tc>
          <w:tcPr>
            <w:tcW w:w="736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4"/>
                <w:szCs w:val="14"/>
                <w:color w:val="auto"/>
              </w:rPr>
              <w:t>(102,019)</w:t>
            </w:r>
          </w:p>
        </w:tc>
        <w:tc>
          <w:tcPr>
            <w:tcW w:w="120" w:type="dxa"/>
            <w:vAlign w:val="bottom"/>
          </w:tcPr>
          <w:p>
            <w:pPr>
              <w:spacing w:after="0"/>
              <w:rPr>
                <w:sz w:val="13"/>
                <w:szCs w:val="13"/>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(120,569)</w:t>
            </w: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(5,905)</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(13,865)</w:t>
            </w:r>
          </w:p>
        </w:tc>
      </w:tr>
      <w:tr>
        <w:trPr>
          <w:trHeight w:val="169"/>
        </w:trPr>
        <w:tc>
          <w:tcPr>
            <w:tcW w:w="7360" w:type="dxa"/>
            <w:vAlign w:val="bottom"/>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1,813,465</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1,813,772</w:t>
            </w:r>
          </w:p>
        </w:tc>
        <w:tc>
          <w:tcPr>
            <w:tcW w:w="100" w:type="dxa"/>
            <w:vAlign w:val="bottom"/>
          </w:tcPr>
          <w:p>
            <w:pPr>
              <w:spacing w:after="0"/>
              <w:rPr>
                <w:sz w:val="14"/>
                <w:szCs w:val="14"/>
                <w:color w:val="auto"/>
              </w:rPr>
            </w:pPr>
          </w:p>
        </w:tc>
      </w:tr>
      <w:tr>
        <w:trPr>
          <w:trHeight w:val="176"/>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36,985</w:t>
            </w:r>
          </w:p>
        </w:tc>
        <w:tc>
          <w:tcPr>
            <w:tcW w:w="2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47,645</w:t>
            </w:r>
          </w:p>
        </w:tc>
        <w:tc>
          <w:tcPr>
            <w:tcW w:w="100" w:type="dxa"/>
            <w:vAlign w:val="bottom"/>
            <w:shd w:val="clear" w:color="auto" w:fill="CFF0FC"/>
          </w:tcPr>
          <w:p>
            <w:pPr>
              <w:spacing w:after="0"/>
              <w:rPr>
                <w:sz w:val="15"/>
                <w:szCs w:val="15"/>
                <w:color w:val="auto"/>
              </w:rPr>
            </w:pPr>
          </w:p>
        </w:tc>
      </w:tr>
      <w:tr>
        <w:trPr>
          <w:trHeight w:val="169"/>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Total shareholders' equity</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1,850,450</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1,861,417</w:t>
            </w:r>
          </w:p>
        </w:tc>
        <w:tc>
          <w:tcPr>
            <w:tcW w:w="100" w:type="dxa"/>
            <w:vAlign w:val="bottom"/>
            <w:tcBorders>
              <w:bottom w:val="single" w:sz="8" w:color="CFF0FC"/>
            </w:tcBorders>
          </w:tcPr>
          <w:p>
            <w:pPr>
              <w:spacing w:after="0"/>
              <w:rPr>
                <w:sz w:val="14"/>
                <w:szCs w:val="14"/>
                <w:color w:val="auto"/>
              </w:rPr>
            </w:pPr>
          </w:p>
        </w:tc>
      </w:tr>
      <w:tr>
        <w:trPr>
          <w:trHeight w:val="169"/>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liabilities and shareholders' equity</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3,839,297</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3,937,704</w:t>
            </w:r>
          </w:p>
        </w:tc>
        <w:tc>
          <w:tcPr>
            <w:tcW w:w="100" w:type="dxa"/>
            <w:vAlign w:val="bottom"/>
            <w:shd w:val="clear" w:color="auto" w:fill="CFF0FC"/>
          </w:tcPr>
          <w:p>
            <w:pPr>
              <w:spacing w:after="0"/>
              <w:rPr>
                <w:sz w:val="14"/>
                <w:szCs w:val="14"/>
                <w:color w:val="auto"/>
              </w:rPr>
            </w:pP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For the Three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4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9"/>
                <w:szCs w:val="19"/>
                <w:color w:val="auto"/>
              </w:rPr>
            </w:pPr>
          </w:p>
        </w:tc>
        <w:tc>
          <w:tcPr>
            <w:tcW w:w="242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rPr>
              <w:t>For the Six Months Ended</w:t>
            </w:r>
          </w:p>
        </w:tc>
      </w:tr>
      <w:tr>
        <w:trPr>
          <w:trHeight w:val="187"/>
        </w:trPr>
        <w:tc>
          <w:tcPr>
            <w:tcW w:w="4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0"/>
              <w:spacing w:after="0" w:line="187" w:lineRule="exact"/>
              <w:rPr>
                <w:sz w:val="20"/>
                <w:szCs w:val="20"/>
                <w:color w:val="auto"/>
              </w:rPr>
            </w:pPr>
            <w:r>
              <w:rPr>
                <w:rFonts w:ascii="Arial" w:cs="Arial" w:eastAsia="Arial" w:hAnsi="Arial"/>
                <w:sz w:val="18"/>
                <w:szCs w:val="18"/>
                <w:b w:val="1"/>
                <w:bCs w:val="1"/>
                <w:color w:val="auto"/>
                <w:w w:val="99"/>
              </w:rPr>
              <w:t>June 30,</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0"/>
              <w:spacing w:after="0" w:line="187"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0"/>
              <w:spacing w:after="0" w:line="187" w:lineRule="exact"/>
              <w:rPr>
                <w:sz w:val="20"/>
                <w:szCs w:val="20"/>
                <w:color w:val="auto"/>
              </w:rPr>
            </w:pPr>
            <w:r>
              <w:rPr>
                <w:rFonts w:ascii="Arial" w:cs="Arial" w:eastAsia="Arial" w:hAnsi="Arial"/>
                <w:sz w:val="18"/>
                <w:szCs w:val="18"/>
                <w:b w:val="1"/>
                <w:bCs w:val="1"/>
                <w:color w:val="auto"/>
                <w:w w:val="99"/>
              </w:rPr>
              <w:t>June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0"/>
              <w:spacing w:after="0" w:line="187"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6"/>
                <w:szCs w:val="16"/>
                <w:color w:val="auto"/>
              </w:rPr>
            </w:pPr>
          </w:p>
        </w:tc>
      </w:tr>
      <w:tr>
        <w:trPr>
          <w:trHeight w:val="225"/>
        </w:trPr>
        <w:tc>
          <w:tcPr>
            <w:tcW w:w="46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879,356</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979,459</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1,754,053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1,950,452</w:t>
            </w:r>
          </w:p>
        </w:tc>
        <w:tc>
          <w:tcPr>
            <w:tcW w:w="12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1,349,410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1,518,956</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w:t>
            </w:r>
          </w:p>
        </w:tc>
        <w:tc>
          <w:tcPr>
            <w:tcW w:w="120" w:type="dxa"/>
            <w:vAlign w:val="bottom"/>
            <w:shd w:val="clear" w:color="auto" w:fill="CFF0FC"/>
          </w:tcPr>
          <w:p>
            <w:pPr>
              <w:spacing w:after="0"/>
              <w:rPr>
                <w:sz w:val="18"/>
                <w:szCs w:val="18"/>
                <w:color w:val="auto"/>
              </w:rPr>
            </w:pPr>
          </w:p>
        </w:tc>
      </w:tr>
      <w:tr>
        <w:trPr>
          <w:trHeight w:val="216"/>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188,238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187,640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375,760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371,414</w:t>
            </w:r>
          </w:p>
        </w:tc>
        <w:tc>
          <w:tcPr>
            <w:tcW w:w="120" w:type="dxa"/>
            <w:vAlign w:val="bottom"/>
            <w:tcBorders>
              <w:bottom w:val="single" w:sz="8" w:color="CFF0FC"/>
            </w:tcBorders>
          </w:tcPr>
          <w:p>
            <w:pPr>
              <w:spacing w:after="0"/>
              <w:rPr>
                <w:sz w:val="18"/>
                <w:szCs w:val="18"/>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69,965</w:t>
            </w:r>
          </w:p>
        </w:tc>
        <w:tc>
          <w:tcPr>
            <w:tcW w:w="120" w:type="dxa"/>
            <w:vAlign w:val="bottom"/>
            <w:shd w:val="clear" w:color="auto" w:fill="CFF0FC"/>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(9,451)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(8,181)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(10,587)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(7,494)</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62,471</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(11,891)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(9,213)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(16,975)</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45,496</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(5,325)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(7,826)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(9,224)</w:t>
            </w:r>
          </w:p>
        </w:tc>
      </w:tr>
      <w:tr>
        <w:trPr>
          <w:trHeight w:val="20"/>
        </w:trPr>
        <w:tc>
          <w:tcPr>
            <w:tcW w:w="4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23,299</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15,741</w:t>
            </w:r>
          </w:p>
        </w:tc>
        <w:tc>
          <w:tcPr>
            <w:tcW w:w="12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36,272</w:t>
            </w:r>
          </w:p>
        </w:tc>
        <w:tc>
          <w:tcPr>
            <w:tcW w:w="120" w:type="dxa"/>
            <w:vAlign w:val="bottom"/>
          </w:tcPr>
          <w:p>
            <w:pPr>
              <w:spacing w:after="0"/>
              <w:rPr>
                <w:sz w:val="21"/>
                <w:szCs w:val="21"/>
                <w:color w:val="auto"/>
              </w:rPr>
            </w:pPr>
          </w:p>
        </w:tc>
      </w:tr>
      <w:tr>
        <w:trPr>
          <w:trHeight w:val="196"/>
        </w:trPr>
        <w:tc>
          <w:tcPr>
            <w:tcW w:w="46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6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8"/>
                <w:szCs w:val="18"/>
                <w:color w:val="auto"/>
              </w:rPr>
              <w:t>Basic</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4" w:name="page5"/>
    <w:bookmarkEnd w:id="4"/>
    <w:p>
      <w:pPr>
        <w:spacing w:after="0" w:line="199" w:lineRule="auto"/>
        <w:framePr w:w="180" w:h="163" w:wrap="auto" w:vAnchor="page" w:hAnchor="page" w:x="5860" w:y="4446"/>
        <w:rPr>
          <w:rFonts w:ascii="Arial" w:cs="Arial" w:eastAsia="Arial" w:hAnsi="Arial"/>
          <w:sz w:val="17"/>
          <w:szCs w:val="17"/>
          <w:color w:val="auto"/>
        </w:rPr>
      </w:pPr>
      <w:r>
        <w:rPr>
          <w:rFonts w:ascii="Arial" w:cs="Arial" w:eastAsia="Arial" w:hAnsi="Arial"/>
          <w:sz w:val="17"/>
          <w:szCs w:val="17"/>
          <w:color w:val="auto"/>
        </w:rPr>
        <w:t>3</w:t>
      </w:r>
    </w:p>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rFonts w:ascii="Arial" w:cs="Arial" w:eastAsia="Arial" w:hAnsi="Arial"/>
          <w:sz w:val="17"/>
          <w:szCs w:val="17"/>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rFonts w:ascii="Arial" w:cs="Arial" w:eastAsia="Arial" w:hAnsi="Arial"/>
          <w:sz w:val="17"/>
          <w:szCs w:val="17"/>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94"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5"/>
                <w:szCs w:val="15"/>
                <w:color w:val="auto"/>
              </w:rPr>
            </w:pPr>
          </w:p>
        </w:tc>
      </w:tr>
      <w:tr>
        <w:trPr>
          <w:trHeight w:val="169"/>
        </w:trPr>
        <w:tc>
          <w:tcPr>
            <w:tcW w:w="5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FF0FC"/>
            </w:tcBorders>
          </w:tcPr>
          <w:p>
            <w:pPr>
              <w:spacing w:after="0"/>
              <w:rPr>
                <w:sz w:val="14"/>
                <w:szCs w:val="14"/>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12,027</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26,041</w:t>
            </w: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45,496</w:t>
            </w:r>
          </w:p>
        </w:tc>
        <w:tc>
          <w:tcPr>
            <w:tcW w:w="1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(5,696)</w:t>
            </w:r>
          </w:p>
        </w:tc>
      </w:tr>
      <w:tr>
        <w:trPr>
          <w:trHeight w:val="216"/>
        </w:trPr>
        <w:tc>
          <w:tcPr>
            <w:tcW w:w="5200" w:type="dxa"/>
            <w:vAlign w:val="bottom"/>
          </w:tcPr>
          <w:p>
            <w:pPr>
              <w:ind w:left="240"/>
              <w:spacing w:after="0"/>
              <w:rPr>
                <w:sz w:val="20"/>
                <w:szCs w:val="20"/>
                <w:color w:val="auto"/>
              </w:rPr>
            </w:pPr>
            <w:r>
              <w:rPr>
                <w:rFonts w:ascii="Arial" w:cs="Arial" w:eastAsia="Arial" w:hAnsi="Arial"/>
                <w:sz w:val="18"/>
                <w:szCs w:val="18"/>
                <w:color w:val="auto"/>
              </w:rPr>
              <w:t>Pension adjustments, net of tax</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09"/>
        </w:trPr>
        <w:tc>
          <w:tcPr>
            <w:tcW w:w="5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Comprehensive income including noncontrolling</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200" w:type="dxa"/>
            <w:vAlign w:val="bottom"/>
            <w:shd w:val="clear" w:color="auto" w:fill="CFF0FC"/>
          </w:tcPr>
          <w:p>
            <w:pPr>
              <w:ind w:left="480"/>
              <w:spacing w:after="0" w:line="203" w:lineRule="exact"/>
              <w:rPr>
                <w:sz w:val="20"/>
                <w:szCs w:val="20"/>
                <w:color w:val="auto"/>
              </w:rPr>
            </w:pPr>
            <w:r>
              <w:rPr>
                <w:rFonts w:ascii="Arial" w:cs="Arial" w:eastAsia="Arial" w:hAnsi="Arial"/>
                <w:sz w:val="18"/>
                <w:szCs w:val="18"/>
                <w:color w:val="auto"/>
              </w:rPr>
              <w:t>interests, net of tax</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15,058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34,252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34,005</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39,762</w:t>
            </w:r>
          </w:p>
        </w:tc>
        <w:tc>
          <w:tcPr>
            <w:tcW w:w="120" w:type="dxa"/>
            <w:vAlign w:val="bottom"/>
            <w:shd w:val="clear" w:color="auto" w:fill="CFF0FC"/>
          </w:tcPr>
          <w:p>
            <w:pPr>
              <w:spacing w:after="0"/>
              <w:rPr>
                <w:sz w:val="17"/>
                <w:szCs w:val="17"/>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(5,324)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(7,830)</w:t>
            </w: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(10,304)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(9,220)</w:t>
            </w: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Parsons Corporation,</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20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9,734</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9"/>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26,422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23,701</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9"/>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30,542</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3305810</wp:posOffset>
            </wp:positionH>
            <wp:positionV relativeFrom="paragraph">
              <wp:posOffset>8255</wp:posOffset>
            </wp:positionV>
            <wp:extent cx="30346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6" w:lineRule="exact"/>
        <w:rPr>
          <w:rFonts w:ascii="Arial" w:cs="Arial" w:eastAsia="Arial" w:hAnsi="Arial"/>
          <w:sz w:val="17"/>
          <w:szCs w:val="17"/>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-375285</wp:posOffset>
            </wp:positionH>
            <wp:positionV relativeFrom="paragraph">
              <wp:posOffset>319405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5"/>
                <w:szCs w:val="15"/>
                <w:color w:val="auto"/>
              </w:rPr>
            </w:pPr>
          </w:p>
        </w:tc>
      </w:tr>
      <w:tr>
        <w:trPr>
          <w:trHeight w:val="196"/>
        </w:trPr>
        <w:tc>
          <w:tcPr>
            <w:tcW w:w="7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2020</w:t>
            </w:r>
          </w:p>
        </w:tc>
      </w:tr>
      <w:tr>
        <w:trPr>
          <w:trHeight w:val="196"/>
        </w:trPr>
        <w:tc>
          <w:tcPr>
            <w:tcW w:w="7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720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26,041</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45,496</w:t>
            </w: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69,308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64,490</w:t>
            </w: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Pr>
          <w:p>
            <w:pPr>
              <w:ind w:left="420"/>
              <w:spacing w:after="0"/>
              <w:rPr>
                <w:sz w:val="20"/>
                <w:szCs w:val="20"/>
                <w:color w:val="auto"/>
              </w:rPr>
            </w:pPr>
            <w:r>
              <w:rPr>
                <w:rFonts w:ascii="Arial" w:cs="Arial" w:eastAsia="Arial" w:hAnsi="Arial"/>
                <w:sz w:val="16"/>
                <w:szCs w:val="16"/>
                <w:color w:val="auto"/>
              </w:rPr>
              <w:t>Loss (gain) on disposal of property and equipment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doubtful accounts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Pr>
          <w:p>
            <w:pPr>
              <w:ind w:left="420"/>
              <w:spacing w:after="0"/>
              <w:rPr>
                <w:sz w:val="20"/>
                <w:szCs w:val="20"/>
                <w:color w:val="auto"/>
              </w:rPr>
            </w:pPr>
            <w:r>
              <w:rPr>
                <w:rFonts w:ascii="Arial" w:cs="Arial" w:eastAsia="Arial" w:hAnsi="Arial"/>
                <w:sz w:val="16"/>
                <w:szCs w:val="16"/>
                <w:color w:val="auto"/>
              </w:rPr>
              <w:t>Deferred taxes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(4,217)</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w:t>
            </w: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(16,958)</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(9,883)</w:t>
            </w: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18,132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15,893</w:t>
            </w:r>
          </w:p>
        </w:tc>
        <w:tc>
          <w:tcPr>
            <w:tcW w:w="120" w:type="dxa"/>
            <w:vAlign w:val="bottom"/>
            <w:shd w:val="clear" w:color="auto" w:fill="CFF0FC"/>
          </w:tcPr>
          <w:p>
            <w:pPr>
              <w:spacing w:after="0"/>
              <w:rPr>
                <w:sz w:val="17"/>
                <w:szCs w:val="17"/>
                <w:color w:val="auto"/>
              </w:rPr>
            </w:pPr>
          </w:p>
        </w:tc>
      </w:tr>
      <w:tr>
        <w:trPr>
          <w:trHeight w:val="202"/>
        </w:trPr>
        <w:tc>
          <w:tcPr>
            <w:tcW w:w="720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11,361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6,432</w:t>
            </w: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26,518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29,468</w:t>
            </w:r>
          </w:p>
        </w:tc>
        <w:tc>
          <w:tcPr>
            <w:tcW w:w="120" w:type="dxa"/>
            <w:vAlign w:val="bottom"/>
            <w:shd w:val="clear" w:color="auto" w:fill="CFF0FC"/>
          </w:tcPr>
          <w:p>
            <w:pPr>
              <w:spacing w:after="0"/>
              <w:rPr>
                <w:sz w:val="17"/>
                <w:szCs w:val="17"/>
                <w:color w:val="auto"/>
              </w:rPr>
            </w:pPr>
          </w:p>
        </w:tc>
      </w:tr>
      <w:tr>
        <w:trPr>
          <w:trHeight w:val="204"/>
        </w:trPr>
        <w:tc>
          <w:tcPr>
            <w:tcW w:w="720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720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58,146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(49,618)</w:t>
            </w:r>
          </w:p>
        </w:tc>
      </w:tr>
      <w:tr>
        <w:trPr>
          <w:trHeight w:val="203"/>
        </w:trPr>
        <w:tc>
          <w:tcPr>
            <w:tcW w:w="720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8,360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(70,739)</w:t>
            </w: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other assets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(11,153)</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(999)</w:t>
            </w:r>
          </w:p>
        </w:tc>
      </w:tr>
      <w:tr>
        <w:trPr>
          <w:trHeight w:val="203"/>
        </w:trPr>
        <w:tc>
          <w:tcPr>
            <w:tcW w:w="720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(34,372)</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(6,228)</w:t>
            </w: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(97,541)</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(21,983)</w:t>
            </w:r>
          </w:p>
        </w:tc>
      </w:tr>
      <w:tr>
        <w:trPr>
          <w:trHeight w:val="203"/>
        </w:trPr>
        <w:tc>
          <w:tcPr>
            <w:tcW w:w="7200" w:type="dxa"/>
            <w:vAlign w:val="bottom"/>
          </w:tcPr>
          <w:p>
            <w:pPr>
              <w:ind w:left="420"/>
              <w:spacing w:after="0"/>
              <w:rPr>
                <w:sz w:val="20"/>
                <w:szCs w:val="20"/>
                <w:color w:val="auto"/>
              </w:rPr>
            </w:pPr>
            <w:r>
              <w:rPr>
                <w:rFonts w:ascii="Arial" w:cs="Arial" w:eastAsia="Arial" w:hAnsi="Arial"/>
                <w:sz w:val="16"/>
                <w:szCs w:val="16"/>
                <w:color w:val="auto"/>
              </w:rPr>
              <w:t>Contract liabilities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(5,957)</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(11,047)</w:t>
            </w:r>
          </w:p>
        </w:tc>
      </w:tr>
      <w:tr>
        <w:trPr>
          <w:trHeight w:val="203"/>
        </w:trPr>
        <w:tc>
          <w:tcPr>
            <w:tcW w:w="72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(2,402)</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4,048</w:t>
            </w: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Pr>
          <w:p>
            <w:pPr>
              <w:ind w:left="420"/>
              <w:spacing w:after="0"/>
              <w:rPr>
                <w:sz w:val="20"/>
                <w:szCs w:val="20"/>
                <w:color w:val="auto"/>
              </w:rPr>
            </w:pPr>
            <w:r>
              <w:rPr>
                <w:rFonts w:ascii="Arial" w:cs="Arial" w:eastAsia="Arial" w:hAnsi="Arial"/>
                <w:sz w:val="16"/>
                <w:szCs w:val="16"/>
                <w:color w:val="auto"/>
              </w:rPr>
              <w:t>Other long-term liabilities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(11,025)</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(28,648)</w:t>
            </w:r>
          </w:p>
        </w:tc>
      </w:tr>
      <w:tr>
        <w:trPr>
          <w:trHeight w:val="20"/>
        </w:trPr>
        <w:tc>
          <w:tcPr>
            <w:tcW w:w="72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provided by (used in) operating activities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(31,444)</w:t>
            </w:r>
          </w:p>
        </w:tc>
      </w:tr>
      <w:tr>
        <w:trPr>
          <w:trHeight w:val="196"/>
        </w:trPr>
        <w:tc>
          <w:tcPr>
            <w:tcW w:w="72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(9,171)</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(22,938)</w:t>
            </w:r>
          </w:p>
        </w:tc>
      </w:tr>
      <w:tr>
        <w:trPr>
          <w:trHeight w:val="203"/>
        </w:trPr>
        <w:tc>
          <w:tcPr>
            <w:tcW w:w="720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(26,373)</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(3,844)</w:t>
            </w: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5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14,335</w:t>
            </w:r>
          </w:p>
        </w:tc>
        <w:tc>
          <w:tcPr>
            <w:tcW w:w="2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r>
      <w:tr>
        <w:trPr>
          <w:trHeight w:val="196"/>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investing activities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(19,842)</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(25,822)</w:t>
            </w:r>
          </w:p>
        </w:tc>
      </w:tr>
      <w:tr>
        <w:trPr>
          <w:trHeight w:val="196"/>
        </w:trPr>
        <w:tc>
          <w:tcPr>
            <w:tcW w:w="72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5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borrowings under credit agreement</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180,600</w:t>
            </w: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Pr>
          <w:p>
            <w:pPr>
              <w:ind w:left="300"/>
              <w:spacing w:after="0"/>
              <w:rPr>
                <w:sz w:val="20"/>
                <w:szCs w:val="20"/>
                <w:color w:val="auto"/>
              </w:rPr>
            </w:pPr>
            <w:r>
              <w:rPr>
                <w:rFonts w:ascii="Arial" w:cs="Arial" w:eastAsia="Arial" w:hAnsi="Arial"/>
                <w:sz w:val="16"/>
                <w:szCs w:val="16"/>
                <w:color w:val="auto"/>
              </w:rPr>
              <w:t>Repayments of borrowings under credit agreement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(180,600)</w:t>
            </w: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(1,826)</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7"/>
                <w:szCs w:val="17"/>
                <w:color w:val="auto"/>
              </w:rPr>
            </w:pP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(21,836)</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(1,605)</w:t>
            </w:r>
          </w:p>
        </w:tc>
      </w:tr>
      <w:tr>
        <w:trPr>
          <w:trHeight w:val="203"/>
        </w:trPr>
        <w:tc>
          <w:tcPr>
            <w:tcW w:w="720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(2,242)</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(1,149)</w:t>
            </w: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common stock</w:t>
            </w:r>
          </w:p>
        </w:tc>
        <w:tc>
          <w:tcPr>
            <w:tcW w:w="5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2,773</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CFF0FC"/>
          </w:tcPr>
          <w:p>
            <w:pPr>
              <w:spacing w:after="0"/>
              <w:rPr>
                <w:sz w:val="17"/>
                <w:szCs w:val="17"/>
                <w:color w:val="auto"/>
              </w:rPr>
            </w:pPr>
          </w:p>
        </w:tc>
      </w:tr>
      <w:tr>
        <w:trPr>
          <w:trHeight w:val="196"/>
        </w:trPr>
        <w:tc>
          <w:tcPr>
            <w:tcW w:w="7200" w:type="dxa"/>
            <w:vAlign w:val="bottom"/>
          </w:tcPr>
          <w:p>
            <w:pPr>
              <w:ind w:left="300"/>
              <w:spacing w:after="0"/>
              <w:rPr>
                <w:sz w:val="20"/>
                <w:szCs w:val="20"/>
                <w:color w:val="auto"/>
              </w:rPr>
            </w:pPr>
            <w:r>
              <w:rPr>
                <w:rFonts w:ascii="Arial" w:cs="Arial" w:eastAsia="Arial" w:hAnsi="Arial"/>
                <w:sz w:val="16"/>
                <w:szCs w:val="16"/>
                <w:color w:val="auto"/>
              </w:rPr>
              <w:t>Net cash used in financing activities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(22,259)</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(847)</w:t>
            </w: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Effect of exchange rate changes</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(641)</w:t>
            </w:r>
          </w:p>
        </w:tc>
      </w:tr>
      <w:tr>
        <w:trPr>
          <w:trHeight w:val="203"/>
        </w:trPr>
        <w:tc>
          <w:tcPr>
            <w:tcW w:w="7200" w:type="dxa"/>
            <w:vAlign w:val="bottom"/>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(2,627)</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(58,754)</w:t>
            </w:r>
          </w:p>
        </w:tc>
      </w:tr>
      <w:tr>
        <w:trPr>
          <w:trHeight w:val="203"/>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20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Beginning of year</w:t>
            </w:r>
          </w:p>
        </w:tc>
        <w:tc>
          <w:tcPr>
            <w:tcW w:w="5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487,215</w:t>
            </w:r>
          </w:p>
        </w:tc>
        <w:tc>
          <w:tcPr>
            <w:tcW w:w="2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195,374</w:t>
            </w:r>
          </w:p>
        </w:tc>
        <w:tc>
          <w:tcPr>
            <w:tcW w:w="120" w:type="dxa"/>
            <w:vAlign w:val="bottom"/>
            <w:tcBorders>
              <w:bottom w:val="single" w:sz="8" w:color="CFF0FC"/>
            </w:tcBorders>
          </w:tcPr>
          <w:p>
            <w:pPr>
              <w:spacing w:after="0"/>
              <w:rPr>
                <w:sz w:val="17"/>
                <w:szCs w:val="17"/>
                <w:color w:val="auto"/>
              </w:rPr>
            </w:pPr>
          </w:p>
        </w:tc>
      </w:tr>
      <w:tr>
        <w:trPr>
          <w:trHeight w:val="196"/>
        </w:trPr>
        <w:tc>
          <w:tcPr>
            <w:tcW w:w="72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End of period</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484,588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136,620</w:t>
            </w:r>
          </w:p>
        </w:tc>
        <w:tc>
          <w:tcPr>
            <w:tcW w:w="120" w:type="dxa"/>
            <w:vAlign w:val="bottom"/>
            <w:shd w:val="clear" w:color="auto" w:fill="CFF0FC"/>
          </w:tcPr>
          <w:p>
            <w:pPr>
              <w:spacing w:after="0"/>
              <w:rPr>
                <w:sz w:val="17"/>
                <w:szCs w:val="17"/>
                <w:color w:val="auto"/>
              </w:rPr>
            </w:pPr>
          </w:p>
        </w:tc>
      </w:tr>
      <w:tr>
        <w:trPr>
          <w:trHeight w:val="20"/>
        </w:trPr>
        <w:tc>
          <w:tcPr>
            <w:tcW w:w="7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36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For the Three Months Ended June 30, 2021 and June 30, 2020</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8"/>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640" w:type="dxa"/>
            <w:vAlign w:val="bottom"/>
          </w:tcPr>
          <w:p>
            <w:pPr>
              <w:jc w:val="right"/>
              <w:ind w:right="10"/>
              <w:spacing w:after="0"/>
              <w:rPr>
                <w:sz w:val="20"/>
                <w:szCs w:val="20"/>
                <w:color w:val="auto"/>
              </w:rPr>
            </w:pPr>
            <w:r>
              <w:rPr>
                <w:rFonts w:ascii="Arial" w:cs="Arial" w:eastAsia="Arial" w:hAnsi="Arial"/>
                <w:sz w:val="11"/>
                <w:szCs w:val="11"/>
                <w:b w:val="1"/>
                <w:bCs w:val="1"/>
                <w:color w:val="auto"/>
              </w:rPr>
              <w:t>Common</w:t>
            </w:r>
          </w:p>
        </w:tc>
        <w:tc>
          <w:tcPr>
            <w:tcW w:w="2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Treasury</w:t>
            </w: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Paid-in</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Comprehensive</w:t>
            </w: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6"/>
              </w:rPr>
              <w:t>Parsons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7"/>
              </w:rPr>
              <w:t>Noncontrolling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4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24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Capital</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6"/>
              </w:rPr>
              <w:t>Income (Loss)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Equity</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Interests</w:t>
            </w:r>
          </w:p>
        </w:tc>
        <w:tc>
          <w:tcPr>
            <w:tcW w:w="2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2021</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$ 146,654</w:t>
            </w: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$ 2,667,130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(108,720)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(8,937)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$ 1,796,799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43,643</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$ 1,840,442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6,702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6,702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5,325</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12,027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260"/>
              <w:spacing w:after="0"/>
              <w:rPr>
                <w:sz w:val="20"/>
                <w:szCs w:val="20"/>
                <w:color w:val="auto"/>
              </w:rPr>
            </w:pPr>
            <w:r>
              <w:rPr>
                <w:rFonts w:ascii="Arial" w:cs="Arial" w:eastAsia="Arial" w:hAnsi="Arial"/>
                <w:sz w:val="14"/>
                <w:szCs w:val="14"/>
                <w:color w:val="auto"/>
              </w:rPr>
              <w:t>Foreign currency translation gain, 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3,013</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3,013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780" w:type="dxa"/>
            <w:vAlign w:val="bottom"/>
          </w:tcPr>
          <w:p>
            <w:pPr>
              <w:jc w:val="right"/>
              <w:spacing w:after="0"/>
              <w:rPr>
                <w:sz w:val="20"/>
                <w:szCs w:val="20"/>
                <w:color w:val="auto"/>
              </w:rPr>
            </w:pPr>
            <w:r>
              <w:rPr>
                <w:rFonts w:ascii="Arial" w:cs="Arial" w:eastAsia="Arial" w:hAnsi="Arial"/>
                <w:sz w:val="14"/>
                <w:szCs w:val="14"/>
                <w:color w:val="auto"/>
              </w:rPr>
              <w:t>3,012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(12,847)</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(12,847)</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tcPr>
          <w:p>
            <w:pPr>
              <w:jc w:val="right"/>
              <w:spacing w:after="0"/>
              <w:rPr>
                <w:sz w:val="20"/>
                <w:szCs w:val="20"/>
                <w:color w:val="auto"/>
              </w:rPr>
            </w:pPr>
            <w:r>
              <w:rPr>
                <w:rFonts w:ascii="Arial" w:cs="Arial" w:eastAsia="Arial" w:hAnsi="Arial"/>
                <w:sz w:val="14"/>
                <w:szCs w:val="14"/>
                <w:color w:val="auto"/>
              </w:rPr>
              <w:t>98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2,777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4,155</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4,155</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20"/>
                <w:szCs w:val="20"/>
                <w:color w:val="auto"/>
              </w:rPr>
            </w:pPr>
            <w:r>
              <w:rPr>
                <w:rFonts w:ascii="Arial" w:cs="Arial" w:eastAsia="Arial" w:hAnsi="Arial"/>
                <w:sz w:val="14"/>
                <w:szCs w:val="14"/>
                <w:b w:val="1"/>
                <w:bCs w:val="1"/>
                <w:color w:val="auto"/>
              </w:rPr>
              <w:t>Balance at June 30, 2021</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$ 146,752</w:t>
            </w: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tcPr>
          <w:p>
            <w:pPr>
              <w:jc w:val="right"/>
              <w:spacing w:after="0"/>
              <w:rPr>
                <w:sz w:val="20"/>
                <w:szCs w:val="20"/>
                <w:color w:val="auto"/>
              </w:rPr>
            </w:pPr>
            <w:r>
              <w:rPr>
                <w:rFonts w:ascii="Arial" w:cs="Arial" w:eastAsia="Arial" w:hAnsi="Arial"/>
                <w:sz w:val="14"/>
                <w:szCs w:val="14"/>
                <w:color w:val="auto"/>
              </w:rPr>
              <w:t>$ 2,673,965</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(102,019)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(5,905)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$ 1,813,465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36,985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$ 1,850,450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2020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140" w:type="dxa"/>
            <w:vAlign w:val="bottom"/>
            <w:vMerge w:val="continue"/>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$ 146,441</w:t>
            </w: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 (934,240)</w:t>
            </w:r>
          </w:p>
        </w:tc>
        <w:tc>
          <w:tcPr>
            <w:tcW w:w="780" w:type="dxa"/>
            <w:vAlign w:val="bottom"/>
          </w:tcPr>
          <w:p>
            <w:pPr>
              <w:jc w:val="right"/>
              <w:spacing w:after="0"/>
              <w:rPr>
                <w:sz w:val="20"/>
                <w:szCs w:val="20"/>
                <w:color w:val="auto"/>
              </w:rPr>
            </w:pPr>
            <w:r>
              <w:rPr>
                <w:rFonts w:ascii="Arial" w:cs="Arial" w:eastAsia="Arial" w:hAnsi="Arial"/>
                <w:sz w:val="14"/>
                <w:szCs w:val="14"/>
                <w:color w:val="auto"/>
              </w:rPr>
              <w:t>$ 2,652,227</w:t>
            </w:r>
          </w:p>
        </w:tc>
        <w:tc>
          <w:tcPr>
            <w:tcW w:w="2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(206,052)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(23,114)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$ 1,635,262</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32,117</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$ 1,667,379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4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23,299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23,299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7,826</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31,125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260"/>
              <w:spacing w:after="0"/>
              <w:rPr>
                <w:sz w:val="20"/>
                <w:szCs w:val="20"/>
                <w:color w:val="auto"/>
              </w:rPr>
            </w:pPr>
            <w:r>
              <w:rPr>
                <w:rFonts w:ascii="Arial" w:cs="Arial" w:eastAsia="Arial" w:hAnsi="Arial"/>
                <w:sz w:val="14"/>
                <w:szCs w:val="14"/>
                <w:color w:val="auto"/>
              </w:rPr>
              <w:t>Foreign currency translation gain, 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3,100</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3,100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(1,245)</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tcPr>
          <w:p>
            <w:pPr>
              <w:jc w:val="right"/>
              <w:spacing w:after="0"/>
              <w:rPr>
                <w:sz w:val="20"/>
                <w:szCs w:val="20"/>
                <w:color w:val="auto"/>
              </w:rPr>
            </w:pPr>
            <w:r>
              <w:rPr>
                <w:rFonts w:ascii="Arial" w:cs="Arial" w:eastAsia="Arial" w:hAnsi="Arial"/>
                <w:sz w:val="14"/>
                <w:szCs w:val="14"/>
                <w:color w:val="auto"/>
              </w:rPr>
              <w:t>55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1,684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4,180</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4,180</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40" w:type="dxa"/>
            <w:vAlign w:val="bottom"/>
          </w:tcPr>
          <w:p>
            <w:pPr>
              <w:spacing w:after="0"/>
              <w:rPr>
                <w:sz w:val="20"/>
                <w:szCs w:val="20"/>
                <w:color w:val="auto"/>
              </w:rPr>
            </w:pPr>
            <w:r>
              <w:rPr>
                <w:rFonts w:ascii="Arial" w:cs="Arial" w:eastAsia="Arial" w:hAnsi="Arial"/>
                <w:sz w:val="14"/>
                <w:szCs w:val="14"/>
                <w:b w:val="1"/>
                <w:bCs w:val="1"/>
                <w:color w:val="auto"/>
              </w:rPr>
              <w:t>Balance at June 30, 2020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$ 146,496</w:t>
            </w: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 (934,240)</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$ 2,658,036</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(182,753)</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(19,991)</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$ 1,667,548</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38,704</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$ 1,706,252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2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306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For the Six Months Ended June 30, 2021 and June 30, 2020</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(In thousands)</w:t>
      </w:r>
    </w:p>
    <w:p>
      <w:pPr>
        <w:jc w:val="center"/>
        <w:ind w:right="20"/>
        <w:spacing w:after="0"/>
        <w:rPr>
          <w:sz w:val="20"/>
          <w:szCs w:val="20"/>
          <w:color w:val="auto"/>
        </w:rPr>
      </w:pPr>
      <w:r>
        <w:rPr>
          <w:rFonts w:ascii="Arial" w:cs="Arial" w:eastAsia="Arial" w:hAnsi="Arial"/>
          <w:sz w:val="18"/>
          <w:szCs w:val="18"/>
          <w:color w:val="auto"/>
        </w:rPr>
        <w:t>(Unaudited)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Accumulated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Common</w:t>
            </w:r>
          </w:p>
        </w:tc>
        <w:tc>
          <w:tcPr>
            <w:tcW w:w="9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Treasury</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Paid-in</w:t>
            </w:r>
          </w:p>
        </w:tc>
        <w:tc>
          <w:tcPr>
            <w:tcW w:w="92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Parsons</w:t>
            </w:r>
          </w:p>
        </w:tc>
        <w:tc>
          <w:tcPr>
            <w:tcW w:w="106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w w:val="99"/>
              </w:rPr>
              <w:t>Noncontrolling</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Deficit)</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Equity</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Interests</w:t>
            </w: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2020</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$ 146,609</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 (899,328)</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$ 2,700,925</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 (120,569)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(13,865)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$ 1,813,772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47,645</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$ 1,861,417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Comprehensive income</w:t>
            </w: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15,741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15,741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10,300</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26,041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40" w:type="dxa"/>
            <w:vAlign w:val="bottom"/>
          </w:tcPr>
          <w:p>
            <w:pPr>
              <w:ind w:left="240"/>
              <w:spacing w:after="0" w:line="157" w:lineRule="exact"/>
              <w:rPr>
                <w:sz w:val="20"/>
                <w:szCs w:val="20"/>
                <w:color w:val="auto"/>
              </w:rPr>
            </w:pPr>
            <w:r>
              <w:rPr>
                <w:rFonts w:ascii="Arial" w:cs="Arial" w:eastAsia="Arial" w:hAnsi="Arial"/>
                <w:sz w:val="14"/>
                <w:szCs w:val="14"/>
                <w:color w:val="auto"/>
              </w:rPr>
              <w:t>(loss), net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7,922</w:t>
            </w:r>
          </w:p>
        </w:tc>
        <w:tc>
          <w:tcPr>
            <w:tcW w:w="12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7,922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7,926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Pension adjustments, net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20"/>
                <w:szCs w:val="20"/>
                <w:color w:val="auto"/>
              </w:rPr>
            </w:pPr>
            <w:r>
              <w:rPr>
                <w:rFonts w:ascii="Arial" w:cs="Arial" w:eastAsia="Arial" w:hAnsi="Arial"/>
                <w:sz w:val="14"/>
                <w:szCs w:val="14"/>
                <w:color w:val="auto"/>
              </w:rPr>
              <w:t>Adoption of ASU 2020-06</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(40,002)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2,782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(37,220)</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(37,220)</w:t>
            </w: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20"/>
                <w:szCs w:val="20"/>
                <w:color w:val="auto"/>
              </w:rPr>
            </w:pPr>
            <w:r>
              <w:rPr>
                <w:rFonts w:ascii="Arial" w:cs="Arial" w:eastAsia="Arial" w:hAnsi="Arial"/>
                <w:sz w:val="14"/>
                <w:szCs w:val="14"/>
                <w:color w:val="auto"/>
              </w:rPr>
              <w:t>Distributions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(21,836)</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(21,836)</w:t>
            </w: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Issuance of equity securities, net of</w:t>
            </w: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retirement</w:t>
            </w: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143</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1,681</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1,851</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2021</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$ 146,752</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 (899,328)</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$ 2,673,965</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 (102,019)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(5,905)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$ 1,813,465</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36,985</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$ 1,850,450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Balance at December 31, 2019</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540" w:type="dxa"/>
            <w:vAlign w:val="bottom"/>
            <w:vMerge w:val="continue"/>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$ 146,441</w:t>
            </w:r>
          </w:p>
        </w:tc>
        <w:tc>
          <w:tcPr>
            <w:tcW w:w="200" w:type="dxa"/>
            <w:vAlign w:val="bottom"/>
          </w:tcPr>
          <w:p>
            <w:pPr>
              <w:spacing w:after="0"/>
              <w:rPr>
                <w:sz w:val="24"/>
                <w:szCs w:val="2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(934,240)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7"/>
              </w:rPr>
              <w:t>$ 2,649,975</w:t>
            </w:r>
          </w:p>
        </w:tc>
        <w:tc>
          <w:tcPr>
            <w:tcW w:w="120" w:type="dxa"/>
            <w:vAlign w:val="bottom"/>
          </w:tcPr>
          <w:p>
            <w:pPr>
              <w:spacing w:after="0"/>
              <w:rPr>
                <w:sz w:val="24"/>
                <w:szCs w:val="24"/>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 (218,025)</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(14,261)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$ 1,629,890</w:t>
            </w:r>
          </w:p>
        </w:tc>
        <w:tc>
          <w:tcPr>
            <w:tcW w:w="2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30,866</w:t>
            </w:r>
          </w:p>
        </w:tc>
        <w:tc>
          <w:tcPr>
            <w:tcW w:w="2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7"/>
              </w:rPr>
              <w:t>$ 1,660,756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4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36,272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36,272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9,224</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45,496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gain,</w:t>
            </w: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40" w:type="dxa"/>
            <w:vAlign w:val="bottom"/>
            <w:shd w:val="clear" w:color="auto" w:fill="CFF0FC"/>
          </w:tcPr>
          <w:p>
            <w:pPr>
              <w:ind w:left="240"/>
              <w:spacing w:after="0" w:line="157" w:lineRule="exact"/>
              <w:rPr>
                <w:sz w:val="20"/>
                <w:szCs w:val="20"/>
                <w:color w:val="auto"/>
              </w:rPr>
            </w:pPr>
            <w:r>
              <w:rPr>
                <w:rFonts w:ascii="Arial" w:cs="Arial" w:eastAsia="Arial" w:hAnsi="Arial"/>
                <w:sz w:val="14"/>
                <w:szCs w:val="14"/>
                <w:color w:val="auto"/>
              </w:rPr>
              <w:t>net</w:t>
            </w: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(5,692)</w:t>
            </w:r>
          </w:p>
        </w:tc>
        <w:tc>
          <w:tcPr>
            <w:tcW w:w="1040" w:type="dxa"/>
            <w:vAlign w:val="bottom"/>
            <w:gridSpan w:val="3"/>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(5,692)</w:t>
            </w: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(4)</w:t>
            </w:r>
          </w:p>
        </w:tc>
        <w:tc>
          <w:tcPr>
            <w:tcW w:w="86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(5,696)</w:t>
            </w:r>
          </w:p>
        </w:tc>
        <w:tc>
          <w:tcPr>
            <w:tcW w:w="0" w:type="dxa"/>
            <w:vAlign w:val="bottom"/>
          </w:tcPr>
          <w:p>
            <w:pPr>
              <w:spacing w:after="0"/>
              <w:rPr>
                <w:sz w:val="1"/>
                <w:szCs w:val="1"/>
                <w:color w:val="auto"/>
              </w:rPr>
            </w:pPr>
          </w:p>
        </w:tc>
      </w:tr>
      <w:tr>
        <w:trPr>
          <w:trHeight w:val="190"/>
        </w:trPr>
        <w:tc>
          <w:tcPr>
            <w:tcW w:w="2540" w:type="dxa"/>
            <w:vAlign w:val="bottom"/>
          </w:tcPr>
          <w:p>
            <w:pPr>
              <w:ind w:left="240"/>
              <w:spacing w:after="0"/>
              <w:rPr>
                <w:sz w:val="20"/>
                <w:szCs w:val="20"/>
                <w:color w:val="auto"/>
              </w:rPr>
            </w:pPr>
            <w:r>
              <w:rPr>
                <w:rFonts w:ascii="Arial" w:cs="Arial" w:eastAsia="Arial" w:hAnsi="Arial"/>
                <w:sz w:val="14"/>
                <w:szCs w:val="14"/>
                <w:color w:val="auto"/>
              </w:rPr>
              <w:t>Pension adjustments, net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(38)</w:t>
            </w: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Adoption of ASU 2016-13</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(1,000)</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1"/>
        </w:trPr>
        <w:tc>
          <w:tcPr>
            <w:tcW w:w="2540" w:type="dxa"/>
            <w:vAlign w:val="bottom"/>
          </w:tcPr>
          <w:p>
            <w:pPr>
              <w:spacing w:after="0"/>
              <w:rPr>
                <w:sz w:val="20"/>
                <w:szCs w:val="20"/>
                <w:color w:val="auto"/>
              </w:rPr>
            </w:pPr>
            <w:r>
              <w:rPr>
                <w:rFonts w:ascii="Arial" w:cs="Arial" w:eastAsia="Arial" w:hAnsi="Arial"/>
                <w:sz w:val="14"/>
                <w:szCs w:val="14"/>
                <w:color w:val="auto"/>
              </w:rPr>
              <w:t>Contributions</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(1,605)</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Arial" w:cs="Arial" w:eastAsia="Arial" w:hAnsi="Arial"/>
                <w:sz w:val="14"/>
                <w:szCs w:val="14"/>
                <w:color w:val="auto"/>
              </w:rPr>
              <w:t>Issuance of equity securities, net of</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line="157" w:lineRule="exact"/>
              <w:rPr>
                <w:sz w:val="20"/>
                <w:szCs w:val="20"/>
                <w:color w:val="auto"/>
              </w:rPr>
            </w:pPr>
            <w:r>
              <w:rPr>
                <w:rFonts w:ascii="Arial" w:cs="Arial" w:eastAsia="Arial" w:hAnsi="Arial"/>
                <w:sz w:val="14"/>
                <w:szCs w:val="14"/>
                <w:color w:val="auto"/>
              </w:rPr>
              <w:t>retirement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1,629</w:t>
            </w:r>
          </w:p>
        </w:tc>
        <w:tc>
          <w:tcPr>
            <w:tcW w:w="120" w:type="dxa"/>
            <w:vAlign w:val="bottom"/>
          </w:tcPr>
          <w:p>
            <w:pPr>
              <w:spacing w:after="0"/>
              <w:rPr>
                <w:sz w:val="13"/>
                <w:szCs w:val="13"/>
                <w:color w:val="auto"/>
              </w:rPr>
            </w:pPr>
          </w:p>
        </w:tc>
        <w:tc>
          <w:tcPr>
            <w:tcW w:w="8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1,684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1,684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6,432</w:t>
            </w:r>
          </w:p>
        </w:tc>
        <w:tc>
          <w:tcPr>
            <w:tcW w:w="2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20"/>
                <w:szCs w:val="20"/>
                <w:color w:val="auto"/>
              </w:rPr>
            </w:pPr>
            <w:r>
              <w:rPr>
                <w:rFonts w:ascii="Arial" w:cs="Arial" w:eastAsia="Arial" w:hAnsi="Arial"/>
                <w:sz w:val="14"/>
                <w:szCs w:val="14"/>
                <w:b w:val="1"/>
                <w:bCs w:val="1"/>
                <w:color w:val="auto"/>
              </w:rPr>
              <w:t>Balance at June 30, 2020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$ 146,496</w:t>
            </w:r>
          </w:p>
        </w:tc>
        <w:tc>
          <w:tcPr>
            <w:tcW w:w="20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(934,240)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7"/>
              </w:rPr>
              <w:t>$ 2,658,036</w:t>
            </w:r>
          </w:p>
        </w:tc>
        <w:tc>
          <w:tcPr>
            <w:tcW w:w="120" w:type="dxa"/>
            <w:vAlign w:val="bottom"/>
          </w:tcPr>
          <w:p>
            <w:pPr>
              <w:spacing w:after="0"/>
              <w:rPr>
                <w:sz w:val="16"/>
                <w:szCs w:val="16"/>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 (182,753)</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(19,991)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$ 1,667,548</w:t>
            </w:r>
          </w:p>
        </w:tc>
        <w:tc>
          <w:tcPr>
            <w:tcW w:w="2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38,704</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7"/>
              </w:rPr>
              <w:t>$ 1,706,252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640" w:right="8380" w:hanging="632"/>
        <w:spacing w:after="0" w:line="560"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Parsons Corporation, a Delaware corporation, and its subsidiaries (collectively, the “Company”) is a leading provider of technology-driven solutions in the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interconnected world.</w:t>
      </w:r>
    </w:p>
    <w:p>
      <w:pPr>
        <w:spacing w:after="0" w:line="20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34" w:lineRule="exact"/>
        <w:rPr>
          <w:sz w:val="20"/>
          <w:szCs w:val="20"/>
          <w:color w:val="auto"/>
        </w:rPr>
      </w:pPr>
    </w:p>
    <w:p>
      <w:pPr>
        <w:ind w:right="400" w:firstLine="637"/>
        <w:spacing w:after="0" w:line="238"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2020.</w:t>
      </w:r>
    </w:p>
    <w:p>
      <w:pPr>
        <w:spacing w:after="0" w:line="202"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203"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calculation of allowance for doubtful accounts;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2020,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During the second quarter of fiscal 2020, initial purchases of the Company’s common Stock were made under the Parsons Employee Stock Purchase Program (“ESPP”). Under the ESPP, eligible employees who elect to participate are granted the right to purchase shares of the common stock of Parsons at a discount that is limited to 5% of the per-share market value on the day shares are sold to employees. Purchases of common stock under the ESPP are included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“proceeds from issuance of common stock” in cash flows from financing activities in the Consolidated Statements of Cash Flows.</w:t>
      </w:r>
    </w:p>
    <w:p>
      <w:pPr>
        <w:spacing w:after="0" w:line="298"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4"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In the first quarter of 2021, the Company early adopted Accounting Standards Update (“ASU”) ASU 2020-06, Debt – Debt with Conversion and Other Options (Subtopic 470-20) and Derivatives and Hedging – Contracts in Entity’s Own Equity (Subtopic 815-40) (“ASU 2020-06)”. The update simplifies the accounting for convertible debt instruments 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adopted ASU 2020-06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207"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In the first quarter of 2021, the Company adopted ASU No. 2019-12, “Income Taxes (Topic 740): Simplifying the Accounting for Income Taxes (“ASU 2019-12”)”. ASU 2019-12 was issued as a means to reduce the complexity of accounting for income taxes.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The adoption of ASU 2019-12 did not have a material impact on the consolidated financial statements.</w:t>
      </w:r>
    </w:p>
    <w:p>
      <w:pPr>
        <w:spacing w:after="0" w:line="205" w:lineRule="exact"/>
        <w:rPr>
          <w:sz w:val="20"/>
          <w:szCs w:val="20"/>
          <w:color w:val="auto"/>
        </w:rPr>
      </w:pPr>
    </w:p>
    <w:p>
      <w:pPr>
        <w:ind w:right="300" w:firstLine="510"/>
        <w:spacing w:after="0" w:line="238" w:lineRule="auto"/>
        <w:rPr>
          <w:sz w:val="20"/>
          <w:szCs w:val="20"/>
          <w:color w:val="auto"/>
        </w:rPr>
      </w:pPr>
      <w:r>
        <w:rPr>
          <w:rFonts w:ascii="Arial" w:cs="Arial" w:eastAsia="Arial" w:hAnsi="Arial"/>
          <w:sz w:val="18"/>
          <w:szCs w:val="18"/>
          <w:color w:val="auto"/>
        </w:rPr>
        <w:t>In the first quarter of 2020, the Company adopted ASU 2016-13, “Measurement of Credit Losses on Financial Instruments.” The amendments in ASU 2016-13 replaced the incurred loss impairment methodology in current practice with a methodology that reflects expected credit losses and requires consideration of a broader range of reasonable and supportable information to estimate credit losses. The adoption of ASU 2016-13 did not have a material impact on the consolidated financial statements.</w:t>
      </w:r>
    </w:p>
    <w:p>
      <w:pPr>
        <w:spacing w:after="0" w:line="183"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Braxton Science &amp; Technology Group</w:t>
      </w:r>
    </w:p>
    <w:p>
      <w:pPr>
        <w:spacing w:after="0" w:line="126"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On November 19, 2020, the Company acquired a 100% ownership interest in Braxton Science &amp; Technology Group (“Braxton”), a privately-owned company, for $ 309.5 million in cash. Braxton operates at the forefront of satellite operations, ground system automation, flight dynamics, and spacecraft and antenna simulation for the U.S. Department of Defense and Intelligence Community. The acquisition was entirely funded by cash on hand in August 2020, as described in “Note 12—Debt and Credit Facilities”. In connection with this acquisition, the Company recognized $0.6 million of acquisition related “Selling, general and administrative expense” in the consolidated statements of income for the six months ended June 30, 2021, including legal fees, consulting fees, and other miscellaneous direct expenses associated with the acquisition. Braxton allows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 w:name="page11"/>
    <w:bookmarkEnd w:id="10"/>
    <w:p>
      <w:pPr>
        <w:ind w:right="200" w:firstLine="510"/>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3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20" w:type="dxa"/>
            <w:vAlign w:val="bottom"/>
            <w:tcBorders>
              <w:bottom w:val="single" w:sz="8" w:color="CFF0FC"/>
            </w:tcBorders>
          </w:tcPr>
          <w:p>
            <w:pPr>
              <w:spacing w:after="0"/>
              <w:rPr>
                <w:sz w:val="15"/>
                <w:szCs w:val="15"/>
                <w:color w:val="auto"/>
              </w:rPr>
            </w:pPr>
          </w:p>
        </w:tc>
        <w:tc>
          <w:tcPr>
            <w:tcW w:w="23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5"/>
                <w:szCs w:val="15"/>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Accounts receivable</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18,163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212,185</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74,950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(7,464)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(9,845)</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(1,915)</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(8,873)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(1,694)</w:t>
            </w:r>
          </w:p>
        </w:tc>
      </w:tr>
      <w:tr>
        <w:trPr>
          <w:trHeight w:val="20"/>
        </w:trPr>
        <w:tc>
          <w:tcPr>
            <w:tcW w:w="59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2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309,501</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9"/>
        </w:trPr>
        <w:tc>
          <w:tcPr>
            <w:tcW w:w="4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Backlog</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38,200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$4.0 million and $8.1 million related to these intangible assets was recorded for the three and six months</w:t>
      </w:r>
    </w:p>
    <w:p>
      <w:pPr>
        <w:spacing w:after="0" w:line="36"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ended June 30, 2021, respectively. The entire value of goodwill was assigned to the Federal Solutions reporting unit and represents synergies expected to be realized from this business combination. Goodwill of $196.3 million is deductible for tax purposes.</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8"/>
          <w:szCs w:val="18"/>
          <w:color w:val="auto"/>
        </w:rPr>
        <w:t>The amount of revenue generated by Braxton and included within consolidated revenues is $29.3 million and $60.3 million for the three and six months ended June 30, 2021, respectively. The Company has determined that the presentation of net income from the date of acquisition is impracticable due to the integration of general corporate functions upon acquisition.</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6"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Supplemental information of unaudited pro forma operating results assuming the Braxton acquisition had been consummated as of the beginning of fiscal year 2019 (in thousands) is as follows: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Pro forma Revenue</w:t>
            </w:r>
          </w:p>
        </w:tc>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879,356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1,003,369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1,754,053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2,004,706</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45,600</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1" w:name="page12"/>
    <w:bookmarkEnd w:id="11"/>
    <w:p>
      <w:pPr>
        <w:ind w:left="640" w:right="8260" w:hanging="632"/>
        <w:spacing w:after="0" w:line="372"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spacing w:after="0" w:line="1" w:lineRule="exact"/>
        <w:rPr>
          <w:sz w:val="20"/>
          <w:szCs w:val="20"/>
          <w:color w:val="auto"/>
        </w:rPr>
      </w:pPr>
    </w:p>
    <w:p>
      <w:pPr>
        <w:ind w:right="200" w:firstLine="637"/>
        <w:spacing w:after="0" w:line="274"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FF0FC"/>
            </w:tcBorders>
          </w:tcPr>
          <w:p>
            <w:pPr>
              <w:spacing w:after="0"/>
              <w:rPr>
                <w:sz w:val="14"/>
                <w:szCs w:val="14"/>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233,231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311,368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463,173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619,676</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Time-and-Materials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253,365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259,381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493,030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511,820</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392,760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408,710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797,850</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818,956</w:t>
            </w:r>
          </w:p>
        </w:tc>
        <w:tc>
          <w:tcPr>
            <w:tcW w:w="100" w:type="dxa"/>
            <w:vAlign w:val="bottom"/>
            <w:shd w:val="clear" w:color="auto" w:fill="CFF0FC"/>
          </w:tcPr>
          <w:p>
            <w:pPr>
              <w:spacing w:after="0"/>
              <w:rPr>
                <w:sz w:val="18"/>
                <w:szCs w:val="18"/>
                <w:color w:val="auto"/>
              </w:rPr>
            </w:pPr>
          </w:p>
        </w:tc>
      </w:tr>
      <w:tr>
        <w:trPr>
          <w:trHeight w:val="209"/>
        </w:trPr>
        <w:tc>
          <w:tcPr>
            <w:tcW w:w="4940" w:type="dxa"/>
            <w:vAlign w:val="bottom"/>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879,356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979,459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1,754,053</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1,950,452</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June 30, 2021 and December 31, 2020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568,239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576,568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(8,329)</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196,547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(5,317)</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0"/>
        </w:trPr>
        <w:tc>
          <w:tcPr>
            <w:tcW w:w="49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371,692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374,704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(3,012)</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40" w:right="120" w:hanging="632"/>
        <w:spacing w:after="0" w:line="24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$94.7 million as of June 30, 2021, of which $50.8 million are not expected to be paid in the next 12 months. Total contract retentions included in net contract assets (liabilities) were $93.8 million as of December 31, 2020. Contract assets at June 30, 2021 and December 31, 2020 include $103.4 million and $116.6 million, respectively, related to unapproved change orders, claims, and requests for equitable adjustment. For the three and six months ended June 30, 2021 and June 30, 2020, there were no material losses recognized related to the collectability of claims, unapproved change orders, and requests for equitable adjustment.</w:t>
      </w:r>
    </w:p>
    <w:p>
      <w:pPr>
        <w:spacing w:after="0" w:line="201" w:lineRule="exact"/>
        <w:rPr>
          <w:sz w:val="20"/>
          <w:szCs w:val="20"/>
          <w:color w:val="auto"/>
        </w:rPr>
      </w:pPr>
    </w:p>
    <w:p>
      <w:pPr>
        <w:ind w:right="20" w:firstLine="637"/>
        <w:spacing w:after="0" w:line="254" w:lineRule="auto"/>
        <w:rPr>
          <w:sz w:val="20"/>
          <w:szCs w:val="20"/>
          <w:color w:val="auto"/>
        </w:rPr>
      </w:pPr>
      <w:r>
        <w:rPr>
          <w:rFonts w:ascii="Arial" w:cs="Arial" w:eastAsia="Arial" w:hAnsi="Arial"/>
          <w:sz w:val="18"/>
          <w:szCs w:val="18"/>
          <w:color w:val="auto"/>
        </w:rPr>
        <w:t>During the three months ended June 30, 2021 and June 30, 2020, the Company recognized revenue of $23.5 million and $28.4 million, respectively, and $92.6 million and $122.7 million during the six months ended June 30, 2021 and June 30, 2020, respectively, that was included in the corresponding contract liability balances at December 31, 2020 and December 31, 2019, respectively. Certain changes in contract assets and contract liabilities consisted of the following:</w:t>
      </w: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0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FF0FC"/>
            </w:tcBorders>
          </w:tcPr>
          <w:p>
            <w:pPr>
              <w:spacing w:after="0"/>
              <w:rPr>
                <w:sz w:val="15"/>
                <w:szCs w:val="15"/>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700" w:type="dxa"/>
            <w:vAlign w:val="bottom"/>
            <w:gridSpan w:val="2"/>
            <w:shd w:val="clear" w:color="auto" w:fill="CFF0FC"/>
          </w:tcPr>
          <w:p>
            <w:pPr>
              <w:jc w:val="right"/>
              <w:ind w:right="134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FF0FC"/>
          </w:tcPr>
          <w:p>
            <w:pPr>
              <w:spacing w:after="0"/>
              <w:rPr>
                <w:sz w:val="18"/>
                <w:szCs w:val="18"/>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was no significant impairment of contract assets recognized during the three and six months ended June 30, 2021 and June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30, 2020.</w:t>
      </w:r>
    </w:p>
    <w:p>
      <w:pPr>
        <w:spacing w:after="0" w:line="239" w:lineRule="exact"/>
        <w:rPr>
          <w:sz w:val="20"/>
          <w:szCs w:val="20"/>
          <w:color w:val="auto"/>
        </w:rPr>
      </w:pPr>
    </w:p>
    <w:p>
      <w:pPr>
        <w:ind w:right="280" w:firstLine="691"/>
        <w:spacing w:after="0" w:line="293"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302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Revenue impact, net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(20,827)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(20,827)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39"/>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June 30, 2021 and December 31, 2020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CFF0FC"/>
            </w:tcBorders>
          </w:tcPr>
          <w:p>
            <w:pPr>
              <w:spacing w:after="0"/>
              <w:rPr>
                <w:sz w:val="17"/>
                <w:szCs w:val="17"/>
                <w:color w:val="auto"/>
              </w:rPr>
            </w:pPr>
          </w:p>
        </w:tc>
        <w:tc>
          <w:tcPr>
            <w:tcW w:w="230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7"/>
                <w:szCs w:val="17"/>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Billed</w:t>
            </w:r>
          </w:p>
        </w:tc>
        <w:tc>
          <w:tcPr>
            <w:tcW w:w="336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458,686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512,357</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183,293</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190,222</w:t>
            </w:r>
          </w:p>
        </w:tc>
        <w:tc>
          <w:tcPr>
            <w:tcW w:w="120" w:type="dxa"/>
            <w:vAlign w:val="bottom"/>
            <w:tcBorders>
              <w:bottom w:val="single" w:sz="8" w:color="CFF0FC"/>
            </w:tcBorders>
          </w:tcPr>
          <w:p>
            <w:pPr>
              <w:spacing w:after="0"/>
              <w:rPr>
                <w:sz w:val="18"/>
                <w:szCs w:val="18"/>
                <w:color w:val="auto"/>
              </w:rPr>
            </w:pPr>
          </w:p>
        </w:tc>
      </w:tr>
      <w:tr>
        <w:trPr>
          <w:trHeight w:val="210"/>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641,979</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702,579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(3,999)</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(4,001)</w:t>
            </w:r>
          </w:p>
        </w:tc>
      </w:tr>
      <w:tr>
        <w:trPr>
          <w:trHeight w:val="20"/>
        </w:trPr>
        <w:tc>
          <w:tcPr>
            <w:tcW w:w="50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336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637,980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698,578</w:t>
            </w:r>
          </w:p>
        </w:tc>
        <w:tc>
          <w:tcPr>
            <w:tcW w:w="120" w:type="dxa"/>
            <w:vAlign w:val="bottom"/>
            <w:shd w:val="clear" w:color="auto" w:fill="CFF0FC"/>
          </w:tcPr>
          <w:p>
            <w:pPr>
              <w:spacing w:after="0"/>
              <w:rPr>
                <w:sz w:val="18"/>
                <w:szCs w:val="18"/>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203" w:lineRule="exact"/>
        <w:rPr>
          <w:sz w:val="20"/>
          <w:szCs w:val="20"/>
          <w:color w:val="auto"/>
        </w:rPr>
      </w:pPr>
    </w:p>
    <w:p>
      <w:pPr>
        <w:ind w:right="220" w:firstLine="637"/>
        <w:spacing w:after="0" w:line="238"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We have not seen and do not expect there to be a risk of non-payment from either our government agency or commercial customers related to COVID-19 impacts; however, we have experienced payment delays due to administrative limitations from both types of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22"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The Company’s remaining unsatisfied performance obligations (“RUPO”) as of June 30, 2021 represent a measure of the total dollar value of work to be performed on contracts awarded and in-progress. The Company had $5.1 billion in RUPO as of June 30, 2021.</w:t>
      </w:r>
    </w:p>
    <w:p>
      <w:pPr>
        <w:spacing w:after="0" w:line="197" w:lineRule="exact"/>
        <w:rPr>
          <w:sz w:val="20"/>
          <w:szCs w:val="20"/>
          <w:color w:val="auto"/>
        </w:rPr>
      </w:pPr>
    </w:p>
    <w:p>
      <w:pPr>
        <w:ind w:right="120" w:firstLine="637"/>
        <w:spacing w:after="0" w:line="238"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205" w:lineRule="exact"/>
        <w:rPr>
          <w:sz w:val="20"/>
          <w:szCs w:val="20"/>
          <w:color w:val="auto"/>
        </w:rPr>
      </w:pPr>
    </w:p>
    <w:p>
      <w:pPr>
        <w:ind w:right="20" w:firstLine="637"/>
        <w:spacing w:after="0" w:line="234"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spacing w:after="0" w:line="1" w:lineRule="exact"/>
        <w:rPr>
          <w:sz w:val="20"/>
          <w:szCs w:val="20"/>
          <w:color w:val="auto"/>
        </w:rPr>
      </w:pPr>
    </w:p>
    <w:p>
      <w:pPr>
        <w:ind w:right="740" w:firstLine="8"/>
        <w:spacing w:after="0" w:line="246"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June 30, 2021 over the following periods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1,071,149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461,928</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1,581,878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760,048</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2,653,027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1,221,976</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1,216,700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53" w:lineRule="exact"/>
        <w:rPr>
          <w:sz w:val="20"/>
          <w:szCs w:val="20"/>
          <w:color w:val="auto"/>
        </w:rPr>
      </w:pPr>
    </w:p>
    <w:p>
      <w:pPr>
        <w:ind w:firstLine="745"/>
        <w:spacing w:after="0" w:line="264"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9 years, some of which may include options to extend the leases for up to five years, and some of which may include options to terminate the leases after the third year.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and six months ended June 30, 2021 and June 30, 2020 are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4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 2021</w:t>
            </w:r>
          </w:p>
        </w:tc>
        <w:tc>
          <w:tcPr>
            <w:tcW w:w="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Borders>
              <w:bottom w:val="single" w:sz="8" w:color="CFF0FC"/>
            </w:tcBorders>
          </w:tcPr>
          <w:p>
            <w:pPr>
              <w:spacing w:after="0"/>
              <w:rPr>
                <w:sz w:val="14"/>
                <w:szCs w:val="14"/>
                <w:color w:val="auto"/>
              </w:rPr>
            </w:pPr>
          </w:p>
        </w:tc>
      </w:tr>
      <w:tr>
        <w:trPr>
          <w:trHeight w:val="20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16,050</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15,755</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32,377</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(1,812)</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Arial" w:cs="Arial" w:eastAsia="Arial" w:hAnsi="Arial"/>
                <w:sz w:val="18"/>
                <w:szCs w:val="18"/>
                <w:color w:val="auto"/>
              </w:rPr>
              <w:t>Total lease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19,397</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36,212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39,717</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Supplemental cash flow information related to leases for the six months ended June 30, 2021 and June 30, 2020 is as follows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5"/>
          </w:tcPr>
          <w:p>
            <w:pPr>
              <w:ind w:left="9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2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FF0FC"/>
            </w:tcBorders>
          </w:tcPr>
          <w:p>
            <w:pPr>
              <w:spacing w:after="0"/>
              <w:rPr>
                <w:sz w:val="15"/>
                <w:szCs w:val="15"/>
                <w:color w:val="auto"/>
              </w:rPr>
            </w:pPr>
          </w:p>
        </w:tc>
      </w:tr>
      <w:tr>
        <w:trPr>
          <w:trHeight w:val="21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33,035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30,676</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17,034</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Supplemental balance sheet and other information related to leases as of June 30, 2021 and December 31, 2020 are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3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Right-of-use assets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194,484</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210,398</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8"/>
                <w:szCs w:val="18"/>
                <w:color w:val="auto"/>
              </w:rPr>
              <w:t>Current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53,997</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54,133</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13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164,754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182,467</w:t>
            </w:r>
          </w:p>
        </w:tc>
        <w:tc>
          <w:tcPr>
            <w:tcW w:w="180" w:type="dxa"/>
            <w:vAlign w:val="bottom"/>
            <w:shd w:val="clear" w:color="auto" w:fill="CFF0FC"/>
          </w:tcPr>
          <w:p>
            <w:pPr>
              <w:spacing w:after="0"/>
              <w:rPr>
                <w:sz w:val="18"/>
                <w:szCs w:val="18"/>
                <w:color w:val="auto"/>
              </w:rPr>
            </w:pPr>
          </w:p>
        </w:tc>
      </w:tr>
      <w:tr>
        <w:trPr>
          <w:trHeight w:val="249"/>
        </w:trPr>
        <w:tc>
          <w:tcPr>
            <w:tcW w:w="496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218,751</w:t>
            </w:r>
          </w:p>
        </w:tc>
        <w:tc>
          <w:tcPr>
            <w:tcW w:w="24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236,600</w:t>
            </w:r>
          </w:p>
        </w:tc>
        <w:tc>
          <w:tcPr>
            <w:tcW w:w="180" w:type="dxa"/>
            <w:vAlign w:val="bottom"/>
          </w:tcPr>
          <w:p>
            <w:pPr>
              <w:spacing w:after="0"/>
              <w:rPr>
                <w:sz w:val="21"/>
                <w:szCs w:val="21"/>
                <w:color w:val="auto"/>
              </w:rPr>
            </w:pPr>
          </w:p>
        </w:tc>
      </w:tr>
      <w:tr>
        <w:trPr>
          <w:trHeight w:val="197"/>
        </w:trPr>
        <w:tc>
          <w:tcPr>
            <w:tcW w:w="49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3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3,414</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3,363</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1,618</w:t>
            </w:r>
          </w:p>
        </w:tc>
        <w:tc>
          <w:tcPr>
            <w:tcW w:w="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1,733</w:t>
            </w: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 Years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 years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2.5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 years</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2021, the Company has no operating leases that have not yet commenced.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14" w:name="page15"/>
    <w:bookmarkEnd w:id="14"/>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rPr>
          <w:sz w:val="20"/>
          <w:szCs w:val="20"/>
          <w:color w:val="auto"/>
        </w:rPr>
      </w:pPr>
      <w:r>
        <w:rPr>
          <w:rFonts w:ascii="Arial" w:cs="Arial" w:eastAsia="Arial" w:hAnsi="Arial"/>
          <w:sz w:val="18"/>
          <w:szCs w:val="18"/>
          <w:color w:val="auto"/>
        </w:rPr>
        <w:t>June 30, 2021 is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80" w:type="dxa"/>
            <w:vAlign w:val="bottom"/>
            <w:tcBorders>
              <w:bottom w:val="single" w:sz="8" w:color="CFF0FC"/>
            </w:tcBorders>
          </w:tcPr>
          <w:p>
            <w:pPr>
              <w:spacing w:after="0"/>
              <w:rPr>
                <w:sz w:val="15"/>
                <w:szCs w:val="15"/>
                <w:color w:val="auto"/>
              </w:rPr>
            </w:pPr>
          </w:p>
        </w:tc>
        <w:tc>
          <w:tcPr>
            <w:tcW w:w="17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Borders>
              <w:bottom w:val="single" w:sz="8" w:color="CFF0FC"/>
            </w:tcBorders>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2021 (remaining)</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58,082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39,529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30,268</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237,321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(18,570)</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0"/>
        </w:trPr>
        <w:tc>
          <w:tcPr>
            <w:tcW w:w="468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218,751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6"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2020 to June 30, 2021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640" w:type="dxa"/>
            <w:vAlign w:val="bottom"/>
            <w:tcBorders>
              <w:bottom w:val="single" w:sz="8" w:color="CFF0FC"/>
            </w:tcBorders>
          </w:tcPr>
          <w:p>
            <w:pPr>
              <w:spacing w:after="0"/>
              <w:rPr>
                <w:sz w:val="15"/>
                <w:szCs w:val="15"/>
                <w:color w:val="auto"/>
              </w:rPr>
            </w:pPr>
          </w:p>
        </w:tc>
        <w:tc>
          <w:tcPr>
            <w:tcW w:w="198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CFF0FC"/>
            </w:tcBorders>
          </w:tcPr>
          <w:p>
            <w:pPr>
              <w:spacing w:after="0"/>
              <w:rPr>
                <w:sz w:val="15"/>
                <w:szCs w:val="15"/>
                <w:color w:val="auto"/>
              </w:rPr>
            </w:pP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280" w:type="dxa"/>
            <w:vAlign w:val="bottom"/>
            <w:gridSpan w:val="2"/>
            <w:shd w:val="clear" w:color="auto" w:fill="CFF0FC"/>
          </w:tcPr>
          <w:p>
            <w:pPr>
              <w:ind w:left="19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1,188,882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(1,292)</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1,187,590</w:t>
            </w:r>
          </w:p>
        </w:tc>
        <w:tc>
          <w:tcPr>
            <w:tcW w:w="100" w:type="dxa"/>
            <w:vAlign w:val="bottom"/>
            <w:shd w:val="clear" w:color="auto" w:fill="CFF0FC"/>
          </w:tcPr>
          <w:p>
            <w:pPr>
              <w:spacing w:after="0"/>
              <w:rPr>
                <w:sz w:val="18"/>
                <w:szCs w:val="18"/>
                <w:color w:val="auto"/>
              </w:rPr>
            </w:pPr>
          </w:p>
        </w:tc>
      </w:tr>
      <w:tr>
        <w:trPr>
          <w:trHeight w:val="216"/>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73,096</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75,470</w:t>
            </w:r>
          </w:p>
        </w:tc>
        <w:tc>
          <w:tcPr>
            <w:tcW w:w="100" w:type="dxa"/>
            <w:vAlign w:val="bottom"/>
            <w:tcBorders>
              <w:bottom w:val="single" w:sz="8" w:color="CFF0FC"/>
            </w:tcBorders>
          </w:tcPr>
          <w:p>
            <w:pPr>
              <w:spacing w:after="0"/>
              <w:rPr>
                <w:sz w:val="18"/>
                <w:szCs w:val="18"/>
                <w:color w:val="auto"/>
              </w:rPr>
            </w:pP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shd w:val="clear" w:color="auto" w:fill="CFF0FC"/>
          </w:tcPr>
          <w:p>
            <w:pPr>
              <w:ind w:left="19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1,261,978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(1,292)</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1,263,060</w:t>
            </w:r>
          </w:p>
        </w:tc>
        <w:tc>
          <w:tcPr>
            <w:tcW w:w="100" w:type="dxa"/>
            <w:vAlign w:val="bottom"/>
            <w:shd w:val="clear" w:color="auto" w:fill="CFF0FC"/>
          </w:tcPr>
          <w:p>
            <w:pPr>
              <w:spacing w:after="0"/>
              <w:rPr>
                <w:sz w:val="18"/>
                <w:szCs w:val="18"/>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right="200" w:firstLine="637"/>
        <w:spacing w:after="0" w:line="238"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 Although the Company does not anticipate a material change to our financial condition or results of operations, the Company performed a qualitative triggering analysis and determined there was no triggering event indicating a potential impairment to the carrying value of its goodwill at June 30, 2021 and concluded there has not been an impairment.</w:t>
      </w:r>
    </w:p>
    <w:p>
      <w:pPr>
        <w:spacing w:after="0" w:line="288"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3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56"/>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56"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760" w:type="dxa"/>
            <w:vAlign w:val="bottom"/>
          </w:tcPr>
          <w:p>
            <w:pPr>
              <w:jc w:val="center"/>
              <w:ind w:right="55"/>
              <w:spacing w:after="0" w:line="156"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5"/>
              <w:spacing w:after="0" w:line="156"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5"/>
        </w:trPr>
        <w:tc>
          <w:tcPr>
            <w:tcW w:w="37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(in years)</w:t>
            </w:r>
          </w:p>
        </w:tc>
        <w:tc>
          <w:tcPr>
            <w:tcW w:w="100" w:type="dxa"/>
            <w:vAlign w:val="bottom"/>
            <w:tcBorders>
              <w:bottom w:val="single" w:sz="8" w:color="CFF0FC"/>
            </w:tcBorders>
          </w:tcPr>
          <w:p>
            <w:pPr>
              <w:spacing w:after="0"/>
              <w:rPr>
                <w:sz w:val="15"/>
                <w:szCs w:val="15"/>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147,455</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(112,066)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145,855</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(101,038)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262,830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(133,908)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128,922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(110,450)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153,679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112,939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(82,793)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112,039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(68,968)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(8,167)</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(7,967)</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538,419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(340,434)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197,985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537,218</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(291,260)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245,958</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60" w:firstLine="637"/>
        <w:spacing w:after="0"/>
        <w:rPr>
          <w:sz w:val="20"/>
          <w:szCs w:val="20"/>
          <w:color w:val="auto"/>
        </w:rPr>
      </w:pPr>
      <w:r>
        <w:rPr>
          <w:rFonts w:ascii="Arial" w:cs="Arial" w:eastAsia="Arial" w:hAnsi="Arial"/>
          <w:sz w:val="18"/>
          <w:szCs w:val="18"/>
          <w:color w:val="auto"/>
        </w:rPr>
        <w:t>The aggregate amortization expense of intangible assets for the three months ended June 30, 2021 and June 30, 2020 was $24.5 million and $22.1 million, respectively, and $49.0 million and $44.8 million for the six months ended June 30, 2021 and June 30, 2020,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5" w:name="page16"/>
    <w:bookmarkEnd w:id="15"/>
    <w:p>
      <w:pPr>
        <w:ind w:right="520" w:firstLine="637"/>
        <w:spacing w:after="0" w:line="246"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2021</w:t>
            </w:r>
          </w:p>
        </w:tc>
      </w:tr>
      <w:tr>
        <w:trPr>
          <w:trHeight w:val="216"/>
        </w:trPr>
        <w:tc>
          <w:tcPr>
            <w:tcW w:w="8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48,806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52,230</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38,595</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tcBorders>
              <w:bottom w:val="single" w:sz="8" w:color="CFF0FC"/>
            </w:tcBorders>
          </w:tcPr>
          <w:p>
            <w:pPr>
              <w:spacing w:after="0"/>
              <w:rPr>
                <w:sz w:val="18"/>
                <w:szCs w:val="18"/>
                <w:color w:val="auto"/>
              </w:rPr>
            </w:pPr>
          </w:p>
        </w:tc>
      </w:tr>
      <w:tr>
        <w:trPr>
          <w:trHeight w:val="209"/>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June 30, 2021 and December 31, 2020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Useful life</w:t>
            </w:r>
          </w:p>
        </w:tc>
      </w:tr>
      <w:tr>
        <w:trPr>
          <w:trHeight w:val="175"/>
        </w:trPr>
        <w:tc>
          <w:tcPr>
            <w:tcW w:w="4560" w:type="dxa"/>
            <w:vAlign w:val="bottom"/>
            <w:tcBorders>
              <w:bottom w:val="single" w:sz="8" w:color="CFF0FC"/>
            </w:tcBorders>
          </w:tcPr>
          <w:p>
            <w:pPr>
              <w:spacing w:after="0"/>
              <w:rPr>
                <w:sz w:val="15"/>
                <w:szCs w:val="15"/>
                <w:color w:val="auto"/>
              </w:rPr>
            </w:pPr>
          </w:p>
        </w:tc>
        <w:tc>
          <w:tcPr>
            <w:tcW w:w="14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97,167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88,403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91,036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164,302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160,305</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Construction equipment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8,920</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9,202</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367,539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367,614</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(256,922)</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(246,587)</w:t>
            </w:r>
          </w:p>
        </w:tc>
        <w:tc>
          <w:tcPr>
            <w:tcW w:w="1660" w:type="dxa"/>
            <w:vAlign w:val="bottom"/>
            <w:shd w:val="clear" w:color="auto" w:fill="CFF0FC"/>
          </w:tcPr>
          <w:p>
            <w:pPr>
              <w:spacing w:after="0"/>
              <w:rPr>
                <w:sz w:val="18"/>
                <w:szCs w:val="18"/>
                <w:color w:val="auto"/>
              </w:rPr>
            </w:pPr>
          </w:p>
        </w:tc>
      </w:tr>
      <w:tr>
        <w:trPr>
          <w:trHeight w:val="209"/>
        </w:trPr>
        <w:tc>
          <w:tcPr>
            <w:tcW w:w="45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110,617</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121,027</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637"/>
        <w:spacing w:after="0" w:line="246" w:lineRule="auto"/>
        <w:rPr>
          <w:sz w:val="20"/>
          <w:szCs w:val="20"/>
          <w:color w:val="auto"/>
        </w:rPr>
      </w:pPr>
      <w:r>
        <w:rPr>
          <w:rFonts w:ascii="Arial" w:cs="Arial" w:eastAsia="Arial" w:hAnsi="Arial"/>
          <w:sz w:val="18"/>
          <w:szCs w:val="18"/>
          <w:color w:val="auto"/>
        </w:rPr>
        <w:t>Depreciation expense for the three months ended June 30, 2021 and June 30, 2020 was $9.5 million and $9.8 million, respectively, and $19.2 million and $19.4 million, respectively, for the six months ended June 30, 2021 and June 30, 2020.</w:t>
      </w:r>
    </w:p>
    <w:p>
      <w:pPr>
        <w:spacing w:after="0" w:line="31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134620</wp:posOffset>
            </wp:positionV>
            <wp:extent cx="2442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5"/>
                <w:szCs w:val="15"/>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Short-Term:</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notes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FF0FC"/>
            </w:tcBorders>
          </w:tcPr>
          <w:p>
            <w:pPr>
              <w:spacing w:after="0"/>
              <w:rPr>
                <w:sz w:val="20"/>
                <w:szCs w:val="20"/>
                <w:color w:val="auto"/>
              </w:rPr>
            </w:pPr>
          </w:p>
        </w:tc>
      </w:tr>
      <w:tr>
        <w:trPr>
          <w:trHeight w:val="237"/>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w:t>
            </w:r>
          </w:p>
        </w:tc>
        <w:tc>
          <w:tcPr>
            <w:tcW w:w="2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senior notes</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Debt discount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(51,138)</w:t>
            </w: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(9,124)</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(8,864)</w:t>
            </w:r>
          </w:p>
        </w:tc>
      </w:tr>
      <w:tr>
        <w:trPr>
          <w:trHeight w:val="21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w:t>
            </w:r>
          </w:p>
        </w:tc>
        <w:tc>
          <w:tcPr>
            <w:tcW w:w="2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590,876</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539,998</w:t>
            </w:r>
          </w:p>
        </w:tc>
        <w:tc>
          <w:tcPr>
            <w:tcW w:w="100" w:type="dxa"/>
            <w:vAlign w:val="bottom"/>
            <w:tcBorders>
              <w:bottom w:val="single" w:sz="8" w:color="CFF0FC"/>
            </w:tcBorders>
          </w:tcPr>
          <w:p>
            <w:pPr>
              <w:spacing w:after="0"/>
              <w:rPr>
                <w:sz w:val="18"/>
                <w:szCs w:val="18"/>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640,876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589,998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4" w:lineRule="exact"/>
        <w:rPr>
          <w:sz w:val="20"/>
          <w:szCs w:val="20"/>
          <w:color w:val="auto"/>
        </w:rPr>
      </w:pPr>
    </w:p>
    <w:p>
      <w:pPr>
        <w:ind w:right="140" w:firstLine="637"/>
        <w:spacing w:after="0" w:line="237"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$2.0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 foreign currencies, and each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p>
      <w:pPr>
        <w:ind w:right="40"/>
        <w:spacing w:after="0" w:line="252" w:lineRule="auto"/>
        <w:rPr>
          <w:sz w:val="20"/>
          <w:szCs w:val="20"/>
          <w:color w:val="auto"/>
        </w:rPr>
      </w:pPr>
      <w:r>
        <w:rPr>
          <w:rFonts w:ascii="Arial" w:cs="Arial" w:eastAsia="Arial" w:hAnsi="Arial"/>
          <w:sz w:val="18"/>
          <w:szCs w:val="18"/>
          <w:color w:val="auto"/>
        </w:rPr>
        <w:t>other currency that may be approved in accordance with the 2021 Facility. The borrowings under the Credit Agreement bear interest at either a eurocurrency rate plus a margin between 1.0% and 1.625% or a base rate (as defined in the Credit Agreement) plus a margin of between 0% and 0.625%. The rates on June 30, 2021 and December 31, 2020 were 1.34% and 1.87%, respectively. Borrowings under this Credit Agreement are guaranteed by certain Company operating subsidiaries. Letters of credit commitments outstanding under this agreement aggregated to $45.0 million and $44.9 million at June 30, 2021 and December 31, 2020, respectively, which reduced borrowing limits available to the Company. Interest expense related to the Credit Agreement was $0.3 million and $0.3 million for the three months ended June 30, 2021 and June 30, 2020, respectively, and was $0.5 million and $0.7 million for six months ended June 30, 2021 and June 30, 2020, respectively. There were no loan amounts outstanding under the Credit Agreement on June 30, 2021.</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47"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32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Interest Rates</w:t>
            </w:r>
          </w:p>
        </w:tc>
        <w:tc>
          <w:tcPr>
            <w:tcW w:w="180" w:type="dxa"/>
            <w:vAlign w:val="bottom"/>
            <w:tcBorders>
              <w:bottom w:val="single" w:sz="8" w:color="CFF0FC"/>
            </w:tcBorders>
          </w:tcPr>
          <w:p>
            <w:pPr>
              <w:spacing w:after="0"/>
              <w:rPr>
                <w:sz w:val="14"/>
                <w:szCs w:val="14"/>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2021</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r>
      <w:tr>
        <w:trPr>
          <w:trHeight w:val="229"/>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bl>
    <w:p>
      <w:pPr>
        <w:spacing w:after="0" w:line="200" w:lineRule="exact"/>
        <w:rPr>
          <w:sz w:val="20"/>
          <w:szCs w:val="20"/>
          <w:color w:val="auto"/>
        </w:rPr>
      </w:pPr>
    </w:p>
    <w:p>
      <w:pPr>
        <w:spacing w:after="0" w:line="218" w:lineRule="exact"/>
        <w:rPr>
          <w:sz w:val="20"/>
          <w:szCs w:val="20"/>
          <w:color w:val="auto"/>
        </w:rPr>
      </w:pPr>
    </w:p>
    <w:p>
      <w:pPr>
        <w:ind w:right="320" w:firstLine="644"/>
        <w:spacing w:after="0" w:line="237"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both the three and six months ended June 30, 2021 and June 30, 2020 was $3.1 million and $6.2 million, respectively. The amortization of debt issuance costs and interest expense is recorded in “Interest expense” on the consolidated statements of income. The Company made interest payments of $6.2 million for both the three and six months ended June 30, 2021 and</w:t>
      </w:r>
    </w:p>
    <w:p>
      <w:pPr>
        <w:spacing w:after="0" w:line="1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June 30, 2020, respectively. Interest payable of $5.5 million is recorded in “Accrued expenses and other current liabilities” on the consolidated balance sheets on both June 30, 2021 and December 31, 2020, respectively, related to the Senior Notes. The Company paid the $50 million Series A tranche of the Senior Note as scheduled in July 2021.</w:t>
      </w:r>
    </w:p>
    <w:p>
      <w:pPr>
        <w:spacing w:after="0" w:line="195"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June 30, 2021 and December 31, 2020.</w:t>
      </w:r>
    </w:p>
    <w:p>
      <w:pPr>
        <w:spacing w:after="0" w:line="203" w:lineRule="exact"/>
        <w:rPr>
          <w:sz w:val="20"/>
          <w:szCs w:val="20"/>
          <w:color w:val="auto"/>
        </w:rPr>
      </w:pPr>
    </w:p>
    <w:p>
      <w:pPr>
        <w:ind w:right="320" w:firstLine="637"/>
        <w:spacing w:after="0"/>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$219.2 million and $193.1 million at June 30, 2021 and December 31, 2020, respectively.</w:t>
      </w:r>
    </w:p>
    <w:p>
      <w:pPr>
        <w:spacing w:after="0" w:line="203" w:lineRule="exact"/>
        <w:rPr>
          <w:sz w:val="20"/>
          <w:szCs w:val="20"/>
          <w:color w:val="auto"/>
        </w:rPr>
      </w:pPr>
    </w:p>
    <w:p>
      <w:pPr>
        <w:jc w:val="both"/>
        <w:ind w:right="80" w:firstLine="637"/>
        <w:spacing w:after="0"/>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the fair value (Level 2) of its Senior Notes at June 30, 2021 approximates $273.9 million. See “Note 16 – Fair Value of Financial Instruments” for the definition of Level 2 of the fair value hierarchy.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4" w:lineRule="exact"/>
        <w:rPr>
          <w:sz w:val="20"/>
          <w:szCs w:val="20"/>
          <w:color w:val="auto"/>
        </w:rPr>
      </w:pPr>
    </w:p>
    <w:p>
      <w:pPr>
        <w:ind w:right="80" w:firstLine="644"/>
        <w:spacing w:after="0" w:line="238"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202" w:lineRule="exact"/>
        <w:rPr>
          <w:sz w:val="20"/>
          <w:szCs w:val="20"/>
          <w:color w:val="auto"/>
        </w:rPr>
      </w:pPr>
    </w:p>
    <w:p>
      <w:pPr>
        <w:ind w:right="160" w:firstLine="644"/>
        <w:spacing w:after="0" w:line="246"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 w:name="page18"/>
    <w:bookmarkEnd w:id="17"/>
    <w:p>
      <w:pPr>
        <w:ind w:right="120"/>
        <w:spacing w:after="0"/>
        <w:rPr>
          <w:sz w:val="20"/>
          <w:szCs w:val="20"/>
          <w:color w:val="auto"/>
        </w:rPr>
      </w:pPr>
      <w:r>
        <w:rPr>
          <w:rFonts w:ascii="Arial" w:cs="Arial" w:eastAsia="Arial" w:hAnsi="Arial"/>
          <w:sz w:val="18"/>
          <w:szCs w:val="18"/>
          <w:color w:val="auto"/>
        </w:rPr>
        <w:t>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203" w:lineRule="exact"/>
        <w:rPr>
          <w:sz w:val="20"/>
          <w:szCs w:val="20"/>
          <w:color w:val="auto"/>
        </w:rPr>
      </w:pPr>
    </w:p>
    <w:p>
      <w:pPr>
        <w:ind w:right="80" w:firstLine="644"/>
        <w:spacing w:after="0" w:line="238"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205" w:lineRule="exact"/>
        <w:rPr>
          <w:sz w:val="20"/>
          <w:szCs w:val="20"/>
          <w:color w:val="auto"/>
        </w:rPr>
      </w:pPr>
    </w:p>
    <w:p>
      <w:pPr>
        <w:ind w:right="100" w:firstLine="644"/>
        <w:spacing w:after="0" w:line="246"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97" w:lineRule="exact"/>
        <w:rPr>
          <w:sz w:val="20"/>
          <w:szCs w:val="20"/>
          <w:color w:val="auto"/>
        </w:rPr>
      </w:pPr>
    </w:p>
    <w:p>
      <w:pPr>
        <w:ind w:left="1380" w:right="120" w:hanging="360"/>
        <w:spacing w:after="0" w:line="23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4" w:lineRule="exact"/>
        <w:rPr>
          <w:rFonts w:ascii="Arial" w:cs="Arial" w:eastAsia="Arial" w:hAnsi="Arial"/>
          <w:sz w:val="18"/>
          <w:szCs w:val="18"/>
          <w:color w:val="auto"/>
        </w:rPr>
      </w:pPr>
    </w:p>
    <w:p>
      <w:pPr>
        <w:ind w:left="1380" w:right="60" w:hanging="360"/>
        <w:spacing w:after="0" w:line="23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204" w:lineRule="exact"/>
        <w:rPr>
          <w:rFonts w:ascii="Arial" w:cs="Arial" w:eastAsia="Arial" w:hAnsi="Arial"/>
          <w:sz w:val="18"/>
          <w:szCs w:val="18"/>
          <w:color w:val="auto"/>
        </w:rPr>
      </w:pPr>
    </w:p>
    <w:p>
      <w:pPr>
        <w:ind w:left="1380" w:hanging="360"/>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Company calls such Convertible Senior Notes for redemption; or</w:t>
      </w:r>
    </w:p>
    <w:p>
      <w:pPr>
        <w:spacing w:after="0" w:line="252" w:lineRule="exact"/>
        <w:rPr>
          <w:rFonts w:ascii="Arial" w:cs="Arial" w:eastAsia="Arial" w:hAnsi="Arial"/>
          <w:sz w:val="18"/>
          <w:szCs w:val="18"/>
          <w:color w:val="auto"/>
        </w:rPr>
      </w:pPr>
    </w:p>
    <w:p>
      <w:pPr>
        <w:ind w:left="1380" w:hanging="360"/>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252" w:lineRule="exact"/>
        <w:rPr>
          <w:sz w:val="20"/>
          <w:szCs w:val="20"/>
          <w:color w:val="auto"/>
        </w:rPr>
      </w:pPr>
    </w:p>
    <w:p>
      <w:pPr>
        <w:ind w:right="60" w:firstLine="644"/>
        <w:spacing w:after="0" w:line="237"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15"/>
          <w:szCs w:val="15"/>
          <w:color w:val="auto"/>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205"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205"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202" w:lineRule="exact"/>
        <w:rPr>
          <w:sz w:val="20"/>
          <w:szCs w:val="20"/>
          <w:color w:val="auto"/>
        </w:rPr>
      </w:pPr>
    </w:p>
    <w:p>
      <w:pPr>
        <w:ind w:right="100" w:firstLine="644"/>
        <w:spacing w:after="0" w:line="236" w:lineRule="auto"/>
        <w:rPr>
          <w:sz w:val="20"/>
          <w:szCs w:val="20"/>
          <w:color w:val="auto"/>
        </w:rPr>
      </w:pPr>
      <w:r>
        <w:rPr>
          <w:rFonts w:ascii="Arial" w:cs="Arial" w:eastAsia="Arial" w:hAnsi="Arial"/>
          <w:sz w:val="18"/>
          <w:szCs w:val="18"/>
          <w:color w:val="auto"/>
        </w:rPr>
        <w:t>Under existing GAAP at the time of issuance during 2020, convertible debt instruments that may be settled in cash on conversion were required to be separated into liability and equity components in a manner that reflects the issuer’s non-convertible debt borrowing rate. The carrying amount of the liability component is based on the fair value of a similar instrument that does not contain an equity conversion option. The carrying amount allocated to the equity component, which is recognized as a debt discount, represents the difference between the proceeds from the issuance of the notes and the fair value of the liability component of the notes. Based on this debt to equity ratio, debt issuance costs are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represents the debt discount, which the Company amortized to interest expense over the term of the Convertible Senior Notes using 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ind w:right="140"/>
        <w:spacing w:after="0" w:line="246" w:lineRule="auto"/>
        <w:rPr>
          <w:sz w:val="20"/>
          <w:szCs w:val="20"/>
          <w:color w:val="auto"/>
        </w:rPr>
      </w:pPr>
      <w:r>
        <w:rPr>
          <w:rFonts w:ascii="Arial" w:cs="Arial" w:eastAsia="Arial" w:hAnsi="Arial"/>
          <w:sz w:val="18"/>
          <w:szCs w:val="18"/>
          <w:color w:val="auto"/>
        </w:rPr>
        <w:t>effective interest rate of 3.25%. During the year ended December 31, 2020, the Company recognized interest expense of $4.4 million. As of December 31, 2020, the net carrying value of the Notes was $340.6 million.</w:t>
      </w:r>
    </w:p>
    <w:p>
      <w:pPr>
        <w:spacing w:after="0" w:line="197" w:lineRule="exact"/>
        <w:rPr>
          <w:sz w:val="20"/>
          <w:szCs w:val="20"/>
          <w:color w:val="auto"/>
        </w:rPr>
      </w:pPr>
    </w:p>
    <w:p>
      <w:pPr>
        <w:ind w:right="20" w:firstLine="644"/>
        <w:spacing w:after="0" w:line="236" w:lineRule="auto"/>
        <w:rPr>
          <w:sz w:val="20"/>
          <w:szCs w:val="20"/>
          <w:color w:val="auto"/>
        </w:rPr>
      </w:pPr>
      <w:r>
        <w:rPr>
          <w:rFonts w:ascii="Arial" w:cs="Arial" w:eastAsia="Arial" w:hAnsi="Arial"/>
          <w:sz w:val="18"/>
          <w:szCs w:val="18"/>
          <w:color w:val="auto"/>
        </w:rPr>
        <w:t>In the first quarter of 2021, the Company early adopted ASU 2020-06, “Debt – Debt with Conversion and Other Options (Subtopic 470-20) and Derivatives and Hedging – Contracts in Equity’s Own Equity (Subtopic 815-40)”. The Company used the modified retrospective method which resulted in a reduction in non-cash interest expense and reclassification of equity component of the convertible senior notes of $55.0 million and equity component of the debt issuance costs of $1.4 million to liabilities on the consolidated balance sheet. The Company also adjusted the carrying amount of the convertible senior notes to what it would have been if the Company had applied ASU 2020-06 from the inception of the Notes and recorded the offset of the carrying amount adjustment of $ 3.7 million in retained earnings on January 1, 2021. During the three and six months ended June 30, 2021, the Company recognized interest expense of $0.7 million and $1.5 million, respectively. As of June 30, 2021, the carrying value of the Notes was $400.0 million.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34"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205" w:lineRule="exact"/>
        <w:rPr>
          <w:sz w:val="20"/>
          <w:szCs w:val="20"/>
          <w:color w:val="auto"/>
        </w:rPr>
      </w:pPr>
    </w:p>
    <w:p>
      <w:pPr>
        <w:jc w:val="both"/>
        <w:ind w:right="300" w:firstLine="644"/>
        <w:spacing w:after="0" w:line="238"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$ 66.46 per share and are subject to customary adjustments upon the occurrence of certain events, such as the payment of dividends. The Company received $13.8 million in cash proceeds from the sales of these warrants.</w:t>
      </w:r>
    </w:p>
    <w:p>
      <w:pPr>
        <w:spacing w:after="0" w:line="205" w:lineRule="exact"/>
        <w:rPr>
          <w:sz w:val="20"/>
          <w:szCs w:val="20"/>
          <w:color w:val="auto"/>
        </w:rPr>
      </w:pPr>
    </w:p>
    <w:p>
      <w:pPr>
        <w:ind w:right="260" w:firstLine="644"/>
        <w:spacing w:after="0"/>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203" w:lineRule="exact"/>
        <w:rPr>
          <w:sz w:val="20"/>
          <w:szCs w:val="20"/>
          <w:color w:val="auto"/>
        </w:rPr>
      </w:pPr>
    </w:p>
    <w:p>
      <w:pPr>
        <w:jc w:val="both"/>
        <w:ind w:right="260" w:firstLine="644"/>
        <w:spacing w:after="0"/>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203" w:lineRule="exact"/>
        <w:rPr>
          <w:sz w:val="20"/>
          <w:szCs w:val="20"/>
          <w:color w:val="auto"/>
        </w:rPr>
      </w:pPr>
    </w:p>
    <w:p>
      <w:pPr>
        <w:ind w:right="80" w:firstLine="644"/>
        <w:spacing w:after="0" w:line="236" w:lineRule="auto"/>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ASU2020-06, the Company reversed the deferred tax liability of $13.9 million that the Company had recorded at issuance related to the Convertible Senior Note debt discount and recorded an additional deferred tax liability of $ 0.4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94"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right="100" w:firstLine="688"/>
        <w:spacing w:after="0"/>
        <w:rPr>
          <w:sz w:val="20"/>
          <w:szCs w:val="20"/>
          <w:color w:val="auto"/>
        </w:rPr>
      </w:pPr>
      <w:r>
        <w:rPr>
          <w:rFonts w:ascii="Arial" w:cs="Arial" w:eastAsia="Arial" w:hAnsi="Arial"/>
          <w:sz w:val="18"/>
          <w:szCs w:val="18"/>
          <w:color w:val="auto"/>
        </w:rPr>
        <w:t>On January 5, 2021, the Treasury Department and Internal Revenue Service issued final regulations which provide guidance on applying the limitations on the deductibility of business interest expense under IRC Section 163(j). On January 6, 2021, the government published final regulations under IRC Section 451. The final regulations include guidance related to (1) timing of income inclusion for taxpayers with an applicable financial statement using an accrual method of accounting under IRC Section 451(b), and (2) advance payments for goods, services, and certain other items under IRC Section 451(c). The Company is currently assessing the impact of the new regulations but does not expect any material impact to its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9" w:name="page20"/>
    <w:bookmarkEnd w:id="19"/>
    <w:p>
      <w:pPr>
        <w:ind w:right="20" w:firstLine="674"/>
        <w:spacing w:after="0" w:line="236" w:lineRule="auto"/>
        <w:rPr>
          <w:sz w:val="20"/>
          <w:szCs w:val="20"/>
          <w:color w:val="auto"/>
        </w:rPr>
      </w:pPr>
      <w:r>
        <w:rPr>
          <w:rFonts w:ascii="Arial" w:cs="Arial" w:eastAsia="Arial" w:hAnsi="Arial"/>
          <w:sz w:val="18"/>
          <w:szCs w:val="18"/>
          <w:color w:val="auto"/>
        </w:rPr>
        <w:t>The Company’s effective tax rate was 24.2% and 27.6% for the three months ended June 30, 2021 and 2020, respectively. The change in the effective tax rate was due primarily to an increase in untaxed income attributable to noncontrolling interests and a change in jurisdictional earnings. The Company’s effective tax rate for the six months ended June 30, 2021 and June 30, 2020 was 26.1% and 27.2%. The change in effective tax rate was due primarily to an increase in untaxed income attributed to noncontrolling interests and a change in jurisdictional earnings and partially offset by an increase of foreign tax losses which will not provide any tax benefit and a settlement of a state tax audit. The difference between the effective tax rate and the statutory U.S. Federal income tax rate of 21.0% for the three and six months ended June 30, 2021 primarily relates to state income taxes and a recorded valuation allowance on foreign tax credits, partially offset by benefits related to untaxed income attributable to noncontrolling interests and federal research tax credits.</w:t>
      </w:r>
    </w:p>
    <w:p>
      <w:pPr>
        <w:spacing w:after="0" w:line="221" w:lineRule="exact"/>
        <w:rPr>
          <w:sz w:val="20"/>
          <w:szCs w:val="20"/>
          <w:color w:val="auto"/>
        </w:rPr>
      </w:pPr>
    </w:p>
    <w:p>
      <w:pPr>
        <w:ind w:right="80" w:firstLine="674"/>
        <w:spacing w:after="0" w:line="237" w:lineRule="auto"/>
        <w:rPr>
          <w:sz w:val="20"/>
          <w:szCs w:val="20"/>
          <w:color w:val="auto"/>
        </w:rPr>
      </w:pPr>
      <w:r>
        <w:rPr>
          <w:rFonts w:ascii="Arial" w:cs="Arial" w:eastAsia="Arial" w:hAnsi="Arial"/>
          <w:sz w:val="18"/>
          <w:szCs w:val="18"/>
          <w:color w:val="auto"/>
        </w:rPr>
        <w:t>As of June 30, 2021, the Company’s deferred tax assets were subject to a valuation allowance of $31.3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218" w:lineRule="exact"/>
        <w:rPr>
          <w:sz w:val="20"/>
          <w:szCs w:val="20"/>
          <w:color w:val="auto"/>
        </w:rPr>
      </w:pPr>
    </w:p>
    <w:p>
      <w:pPr>
        <w:ind w:right="120" w:firstLine="674"/>
        <w:spacing w:after="0"/>
        <w:rPr>
          <w:sz w:val="20"/>
          <w:szCs w:val="20"/>
          <w:color w:val="auto"/>
        </w:rPr>
      </w:pPr>
      <w:r>
        <w:rPr>
          <w:rFonts w:ascii="Arial" w:cs="Arial" w:eastAsia="Arial" w:hAnsi="Arial"/>
          <w:sz w:val="18"/>
          <w:szCs w:val="18"/>
          <w:color w:val="auto"/>
        </w:rPr>
        <w:t>As of June 30, 2021 and December 31, 2020, the liability for income taxes associated with uncertain tax positions was $ 18.0 million and $16.4 million, respectively. It is reasonably possible that the Company may realize a decrease in our uncertain tax positions of approximately $0.2 million during the next 12 months as a result of various tax audits and closing tax years.</w:t>
      </w:r>
    </w:p>
    <w:p>
      <w:pPr>
        <w:spacing w:after="0" w:line="203" w:lineRule="exact"/>
        <w:rPr>
          <w:sz w:val="20"/>
          <w:szCs w:val="20"/>
          <w:color w:val="auto"/>
        </w:rPr>
      </w:pPr>
    </w:p>
    <w:p>
      <w:pPr>
        <w:ind w:right="40" w:firstLine="674"/>
        <w:spacing w:after="0" w:line="238"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91"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ind w:right="60" w:firstLine="644"/>
        <w:spacing w:after="0" w:line="236"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25" w:lineRule="exact"/>
        <w:rPr>
          <w:sz w:val="20"/>
          <w:szCs w:val="20"/>
          <w:color w:val="auto"/>
        </w:rPr>
      </w:pPr>
    </w:p>
    <w:p>
      <w:pPr>
        <w:ind w:firstLine="698"/>
        <w:spacing w:after="0" w:line="238" w:lineRule="auto"/>
        <w:rPr>
          <w:sz w:val="20"/>
          <w:szCs w:val="20"/>
          <w:color w:val="auto"/>
        </w:rPr>
      </w:pPr>
      <w:r>
        <w:rPr>
          <w:rFonts w:ascii="Arial" w:cs="Arial" w:eastAsia="Arial" w:hAnsi="Arial"/>
          <w:sz w:val="18"/>
          <w:szCs w:val="18"/>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the Company is unable to determine the probability of the outcome of the litigation or determine a potential range of loss, if any. The Company has also filed a third-party claim against a subcontractor for indemnification in connection with this matter.</w:t>
      </w:r>
    </w:p>
    <w:p>
      <w:pPr>
        <w:spacing w:after="0" w:line="205"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United States government did not intervene in this matter as it is allowed to do so under the statute.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ind w:right="40"/>
        <w:spacing w:after="0" w:line="237" w:lineRule="auto"/>
        <w:rPr>
          <w:sz w:val="20"/>
          <w:szCs w:val="20"/>
          <w:color w:val="auto"/>
        </w:rPr>
      </w:pPr>
      <w:r>
        <w:rPr>
          <w:rFonts w:ascii="Arial" w:cs="Arial" w:eastAsia="Arial" w:hAnsi="Arial"/>
          <w:sz w:val="18"/>
          <w:szCs w:val="18"/>
          <w:color w:val="auto"/>
        </w:rPr>
        <w:t>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 position of the Relator. The case was thus remanded to the United States District Court for the Northern District of Alabama. The defendants, including Parsons, will file appropriate pleadings opposing the allegations. At this time, the Company is unable to determine the probability of the outcome of the litigation or determine a potential range of loss, if any.</w:t>
      </w:r>
    </w:p>
    <w:p>
      <w:pPr>
        <w:spacing w:after="0" w:line="203" w:lineRule="exact"/>
        <w:rPr>
          <w:sz w:val="20"/>
          <w:szCs w:val="20"/>
          <w:color w:val="auto"/>
        </w:rPr>
      </w:pPr>
    </w:p>
    <w:p>
      <w:pPr>
        <w:ind w:right="40" w:firstLine="637"/>
        <w:spacing w:after="0" w:line="236"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208"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8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6" w:lineRule="exact"/>
        <w:rPr>
          <w:sz w:val="20"/>
          <w:szCs w:val="20"/>
          <w:color w:val="auto"/>
        </w:rPr>
      </w:pPr>
    </w:p>
    <w:p>
      <w:pPr>
        <w:ind w:right="280" w:firstLine="637"/>
        <w:spacing w:after="0" w:line="255"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June 30, 2021 and December 31, 2020, total shares of the</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Company’s common stock outstanding were 102,502,780 and 102,360,662, respectively, of which 72,288,913 and 76,641,312, respectively, were held by the ESOP.</w:t>
      </w:r>
    </w:p>
    <w:p>
      <w:pPr>
        <w:spacing w:after="0" w:line="184" w:lineRule="exact"/>
        <w:rPr>
          <w:sz w:val="20"/>
          <w:szCs w:val="20"/>
          <w:color w:val="auto"/>
        </w:rPr>
      </w:pPr>
    </w:p>
    <w:p>
      <w:pPr>
        <w:ind w:right="380" w:firstLine="644"/>
        <w:spacing w:after="0" w:line="238"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202" w:lineRule="exact"/>
        <w:rPr>
          <w:sz w:val="20"/>
          <w:szCs w:val="20"/>
          <w:color w:val="auto"/>
        </w:rPr>
      </w:pPr>
    </w:p>
    <w:p>
      <w:pPr>
        <w:ind w:right="20" w:firstLine="644"/>
        <w:spacing w:after="0" w:line="264" w:lineRule="auto"/>
        <w:rPr>
          <w:sz w:val="20"/>
          <w:szCs w:val="20"/>
          <w:color w:val="auto"/>
        </w:rPr>
      </w:pPr>
      <w:r>
        <w:rPr>
          <w:rFonts w:ascii="Arial" w:cs="Arial" w:eastAsia="Arial" w:hAnsi="Arial"/>
          <w:sz w:val="18"/>
          <w:szCs w:val="18"/>
          <w:color w:val="auto"/>
        </w:rPr>
        <w:t>Total ESOP contribution expense was $13.4 million and $14.6 million for the three months ended June 30, 2021 and June 30, 2020, respectively, and $ 26.5 million and $29.5 million for the six months ended June 30, 2021 and June 30, 2020, respectively. The expense is recorded in “Direct costs of contracts” and “Selling, general and administrative expense” in the consolidated statements of income. The fiscal 2021 ESOP contribution has not yet been made. The amount is currently included in accrued liabilities.</w:t>
      </w:r>
    </w:p>
    <w:p>
      <w:pPr>
        <w:spacing w:after="0" w:line="282"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26"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203"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1" w:name="page22"/>
    <w:bookmarkEnd w:id="21"/>
    <w:p>
      <w:pPr>
        <w:ind w:right="300" w:firstLine="637"/>
        <w:spacing w:after="0" w:line="238"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205"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224" w:lineRule="exact"/>
        <w:rPr>
          <w:sz w:val="20"/>
          <w:szCs w:val="20"/>
          <w:color w:val="auto"/>
        </w:rPr>
      </w:pPr>
    </w:p>
    <w:p>
      <w:pPr>
        <w:ind w:right="240" w:firstLine="637"/>
        <w:spacing w:after="0" w:line="261"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$67.5 million and $59.3 million at June 30, 2021 and December 31, 2020, respectively.</w:t>
      </w:r>
    </w:p>
    <w:p>
      <w:pPr>
        <w:spacing w:after="0" w:line="184" w:lineRule="exact"/>
        <w:rPr>
          <w:sz w:val="20"/>
          <w:szCs w:val="20"/>
          <w:color w:val="auto"/>
        </w:rPr>
      </w:pPr>
    </w:p>
    <w:p>
      <w:pPr>
        <w:jc w:val="both"/>
        <w:ind w:right="320" w:firstLine="637"/>
        <w:spacing w:after="0"/>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26" w:lineRule="exact"/>
        <w:rPr>
          <w:sz w:val="20"/>
          <w:szCs w:val="20"/>
          <w:color w:val="auto"/>
        </w:rPr>
      </w:pPr>
    </w:p>
    <w:p>
      <w:pPr>
        <w:ind w:right="380" w:firstLine="637"/>
        <w:spacing w:after="0" w:line="246"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80" w:type="dxa"/>
            <w:vAlign w:val="bottom"/>
            <w:tcBorders>
              <w:bottom w:val="single" w:sz="8" w:color="CFF0FC"/>
            </w:tcBorders>
          </w:tcPr>
          <w:p>
            <w:pPr>
              <w:spacing w:after="0"/>
              <w:rPr>
                <w:sz w:val="15"/>
                <w:szCs w:val="15"/>
                <w:color w:val="auto"/>
              </w:rPr>
            </w:pPr>
          </w:p>
        </w:tc>
        <w:tc>
          <w:tcPr>
            <w:tcW w:w="20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FF0FC"/>
            </w:tcBorders>
          </w:tcPr>
          <w:p>
            <w:pPr>
              <w:spacing w:after="0"/>
              <w:rPr>
                <w:sz w:val="15"/>
                <w:szCs w:val="15"/>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263,051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292,407</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265,692</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295,397</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201,270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191,223</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201,270</w:t>
            </w:r>
          </w:p>
        </w:tc>
        <w:tc>
          <w:tcPr>
            <w:tcW w:w="120" w:type="dxa"/>
            <w:vAlign w:val="bottom"/>
            <w:shd w:val="clear" w:color="auto" w:fill="CFF0FC"/>
          </w:tcPr>
          <w:p>
            <w:pPr>
              <w:spacing w:after="0"/>
              <w:rPr>
                <w:sz w:val="18"/>
                <w:szCs w:val="18"/>
                <w:color w:val="auto"/>
              </w:rPr>
            </w:pPr>
          </w:p>
        </w:tc>
      </w:tr>
      <w:tr>
        <w:trPr>
          <w:trHeight w:val="209"/>
        </w:trPr>
        <w:tc>
          <w:tcPr>
            <w:tcW w:w="418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74,469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94,127</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98,245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117,889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194,869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218,167</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87,097</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101,935</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173,403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199,085</w:t>
            </w:r>
          </w:p>
        </w:tc>
        <w:tc>
          <w:tcPr>
            <w:tcW w:w="100" w:type="dxa"/>
            <w:vAlign w:val="bottom"/>
            <w:shd w:val="clear" w:color="auto" w:fill="CFF0FC"/>
          </w:tcPr>
          <w:p>
            <w:pPr>
              <w:spacing w:after="0"/>
              <w:rPr>
                <w:sz w:val="18"/>
                <w:szCs w:val="18"/>
                <w:color w:val="auto"/>
              </w:rPr>
            </w:pPr>
          </w:p>
        </w:tc>
      </w:tr>
      <w:tr>
        <w:trPr>
          <w:trHeight w:val="24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15,954</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21,466</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100" w:type="dxa"/>
            <w:vAlign w:val="bottom"/>
            <w:tcBorders>
              <w:bottom w:val="single" w:sz="8" w:color="CFF0FC"/>
            </w:tcBorders>
          </w:tcPr>
          <w:p>
            <w:pPr>
              <w:spacing w:after="0"/>
              <w:rPr>
                <w:sz w:val="21"/>
                <w:szCs w:val="21"/>
                <w:color w:val="auto"/>
              </w:rPr>
            </w:pPr>
          </w:p>
        </w:tc>
      </w:tr>
      <w:tr>
        <w:trPr>
          <w:trHeight w:val="197"/>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5,325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7,826</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9,224</w:t>
            </w:r>
          </w:p>
        </w:tc>
        <w:tc>
          <w:tcPr>
            <w:tcW w:w="10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right="320" w:firstLine="637"/>
        <w:spacing w:after="0" w:line="246"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205" w:lineRule="exact"/>
        <w:rPr>
          <w:sz w:val="20"/>
          <w:szCs w:val="20"/>
          <w:color w:val="auto"/>
        </w:rPr>
      </w:pPr>
    </w:p>
    <w:p>
      <w:pPr>
        <w:ind w:right="340" w:firstLine="637"/>
        <w:spacing w:after="0" w:line="246"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1,042,978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774,646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614,916</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1,657,894</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1,360,448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805,616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565,249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1,370,865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1,220,984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287,029</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86,045</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736,284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238,188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972,801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691,447</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696,198</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223,686</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907,045</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650,691</w:t>
            </w:r>
          </w:p>
        </w:tc>
        <w:tc>
          <w:tcPr>
            <w:tcW w:w="100" w:type="dxa"/>
            <w:vAlign w:val="bottom"/>
            <w:shd w:val="clear" w:color="auto" w:fill="CFF0FC"/>
          </w:tcPr>
          <w:p>
            <w:pPr>
              <w:spacing w:after="0"/>
              <w:rPr>
                <w:sz w:val="18"/>
                <w:szCs w:val="18"/>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40,086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14,502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65,756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40,756</w:t>
            </w:r>
          </w:p>
        </w:tc>
        <w:tc>
          <w:tcPr>
            <w:tcW w:w="100" w:type="dxa"/>
            <w:vAlign w:val="bottom"/>
          </w:tcPr>
          <w:p>
            <w:pPr>
              <w:spacing w:after="0"/>
              <w:rPr>
                <w:sz w:val="19"/>
                <w:szCs w:val="19"/>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3,769</w:t>
            </w:r>
          </w:p>
        </w:tc>
        <w:tc>
          <w:tcPr>
            <w:tcW w:w="3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16,958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9,883</w:t>
            </w:r>
          </w:p>
        </w:tc>
        <w:tc>
          <w:tcPr>
            <w:tcW w:w="100" w:type="dxa"/>
            <w:vAlign w:val="bottom"/>
            <w:shd w:val="clear" w:color="auto" w:fill="CFF0FC"/>
          </w:tcPr>
          <w:p>
            <w:pPr>
              <w:spacing w:after="0"/>
              <w:rPr>
                <w:sz w:val="17"/>
                <w:szCs w:val="17"/>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received net distributions from and sale proceeds for its unconsolidated joint ventures for the three months ended</w:t>
      </w:r>
    </w:p>
    <w:p>
      <w:pPr>
        <w:spacing w:after="0" w:line="234" w:lineRule="auto"/>
        <w:rPr>
          <w:sz w:val="20"/>
          <w:szCs w:val="20"/>
          <w:color w:val="auto"/>
        </w:rPr>
      </w:pPr>
      <w:r>
        <w:rPr>
          <w:rFonts w:ascii="Arial" w:cs="Arial" w:eastAsia="Arial" w:hAnsi="Arial"/>
          <w:sz w:val="18"/>
          <w:szCs w:val="18"/>
          <w:color w:val="auto"/>
        </w:rPr>
        <w:t>June 30, 2021 and June 30, 2020 of $1.5 million and $5.6 million, respectively, and $6.8 million and $12.1 million for the six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June 30, 2020, respectively.</w:t>
      </w:r>
    </w:p>
    <w:p>
      <w:pPr>
        <w:spacing w:after="0" w:line="212" w:lineRule="exact"/>
        <w:rPr>
          <w:sz w:val="20"/>
          <w:szCs w:val="20"/>
          <w:color w:val="auto"/>
        </w:rPr>
      </w:pPr>
    </w:p>
    <w:p>
      <w:pPr>
        <w:ind w:right="20" w:firstLine="637"/>
        <w:spacing w:after="0" w:line="256" w:lineRule="auto"/>
        <w:rPr>
          <w:sz w:val="20"/>
          <w:szCs w:val="20"/>
          <w:color w:val="auto"/>
        </w:rPr>
      </w:pPr>
      <w:r>
        <w:rPr>
          <w:rFonts w:ascii="Arial" w:cs="Arial" w:eastAsia="Arial" w:hAnsi="Arial"/>
          <w:sz w:val="17"/>
          <w:szCs w:val="17"/>
          <w:color w:val="auto"/>
        </w:rPr>
        <w:t>For the three and six months ended June 30, 2021, the Company recorded write-downs of $1.6 million and $ 5.1 million, respectively, on an unconsolidated joint venture in the Critical Infrastructure segment as a result of changes in estimates made by the managing partner. The write-downs decreased operating and net income by $1.6 million and $ 1.2 million, respectively for the three months ended June 2021. Operating and net income were decreased by $5.1 million and $3.8 million, respectively, for the six months ended June 30, 2021.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write-downs decreased diluted earnings per share by $0.01 and $0.03 for the three and six months ended June 30, 2021.</w:t>
      </w:r>
    </w:p>
    <w:p>
      <w:pPr>
        <w:spacing w:after="0" w:line="311"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w:t>
      </w:r>
    </w:p>
    <w:p>
      <w:pPr>
        <w:spacing w:after="0" w:line="234" w:lineRule="auto"/>
        <w:rPr>
          <w:sz w:val="20"/>
          <w:szCs w:val="20"/>
          <w:color w:val="auto"/>
        </w:rPr>
      </w:pPr>
      <w:r>
        <w:rPr>
          <w:rFonts w:ascii="Arial" w:cs="Arial" w:eastAsia="Arial" w:hAnsi="Arial"/>
          <w:sz w:val="18"/>
          <w:szCs w:val="18"/>
          <w:color w:val="auto"/>
        </w:rPr>
        <w:t>these services. Revenues related to services the Company provided to unconsolidated joint ventures for the three months ended June 30,</w:t>
      </w:r>
    </w:p>
    <w:p>
      <w:pPr>
        <w:spacing w:after="0" w:line="235" w:lineRule="auto"/>
        <w:rPr>
          <w:sz w:val="20"/>
          <w:szCs w:val="20"/>
          <w:color w:val="auto"/>
        </w:rPr>
      </w:pPr>
      <w:r>
        <w:rPr>
          <w:rFonts w:ascii="Arial" w:cs="Arial" w:eastAsia="Arial" w:hAnsi="Arial"/>
          <w:sz w:val="18"/>
          <w:szCs w:val="18"/>
          <w:color w:val="auto"/>
        </w:rPr>
        <w:t>2021 and June 30, 2020 were $40.5 million and $42.4 million, respectively, and for the six months ended June 30, 2021 and June 30, 2020</w:t>
      </w:r>
    </w:p>
    <w:p>
      <w:pPr>
        <w:spacing w:after="0" w:line="235" w:lineRule="auto"/>
        <w:rPr>
          <w:sz w:val="20"/>
          <w:szCs w:val="20"/>
          <w:color w:val="auto"/>
        </w:rPr>
      </w:pPr>
      <w:r>
        <w:rPr>
          <w:rFonts w:ascii="Arial" w:cs="Arial" w:eastAsia="Arial" w:hAnsi="Arial"/>
          <w:sz w:val="18"/>
          <w:szCs w:val="18"/>
          <w:color w:val="auto"/>
        </w:rPr>
        <w:t>were $82.4 million and $82.8 million, respectively. For the three months ended June 30, 2021 and June 30, 2020, the Company incurred</w:t>
      </w:r>
    </w:p>
    <w:p>
      <w:pPr>
        <w:spacing w:after="0" w:line="235" w:lineRule="auto"/>
        <w:rPr>
          <w:sz w:val="20"/>
          <w:szCs w:val="20"/>
          <w:color w:val="auto"/>
        </w:rPr>
      </w:pPr>
      <w:r>
        <w:rPr>
          <w:rFonts w:ascii="Arial" w:cs="Arial" w:eastAsia="Arial" w:hAnsi="Arial"/>
          <w:sz w:val="18"/>
          <w:szCs w:val="18"/>
          <w:color w:val="auto"/>
        </w:rPr>
        <w:t>$30.6 million and $34.6 million, respectively, and for the six months ended June 30, 2021 and June 30, 2020, $61.9 million and $66.1 million,</w:t>
      </w:r>
    </w:p>
    <w:p>
      <w:pPr>
        <w:spacing w:after="0" w:line="235" w:lineRule="auto"/>
        <w:rPr>
          <w:sz w:val="20"/>
          <w:szCs w:val="20"/>
          <w:color w:val="auto"/>
        </w:rPr>
      </w:pPr>
      <w:r>
        <w:rPr>
          <w:rFonts w:ascii="Arial" w:cs="Arial" w:eastAsia="Arial" w:hAnsi="Arial"/>
          <w:sz w:val="18"/>
          <w:szCs w:val="18"/>
          <w:color w:val="auto"/>
        </w:rPr>
        <w:t>respectively, of reimbursable costs. Amounts included in the consolidated balance sheets related to services the Company provided to</w:t>
      </w:r>
    </w:p>
    <w:p>
      <w:pPr>
        <w:spacing w:after="0"/>
        <w:rPr>
          <w:sz w:val="20"/>
          <w:szCs w:val="20"/>
          <w:color w:val="auto"/>
        </w:rPr>
      </w:pPr>
      <w:r>
        <w:rPr>
          <w:rFonts w:ascii="Arial" w:cs="Arial" w:eastAsia="Arial" w:hAnsi="Arial"/>
          <w:sz w:val="18"/>
          <w:szCs w:val="18"/>
          <w:color w:val="auto"/>
        </w:rPr>
        <w:t>unconsolidated joint ventures are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280" w:type="dxa"/>
            <w:vAlign w:val="bottom"/>
            <w:tcBorders>
              <w:bottom w:val="single" w:sz="8" w:color="CFF0FC"/>
            </w:tcBorders>
          </w:tcPr>
          <w:p>
            <w:pPr>
              <w:spacing w:after="0"/>
              <w:rPr>
                <w:sz w:val="15"/>
                <w:szCs w:val="15"/>
                <w:color w:val="auto"/>
              </w:rPr>
            </w:pPr>
          </w:p>
        </w:tc>
        <w:tc>
          <w:tcPr>
            <w:tcW w:w="3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Contract assets</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75"/>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40" w:type="dxa"/>
            <w:vAlign w:val="bottom"/>
          </w:tcPr>
          <w:p>
            <w:pPr>
              <w:jc w:val="right"/>
              <w:ind w:right="139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June 30, 2021 and December 31, 2020, the Company’s financial instruments include cash, cash equivalents, accounts receivable, accounts payable, and other liabilities. The fair values of these financial instruments approximate their carrying values due to their short-term maturities.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86" w:lineRule="exact"/>
        <w:rPr>
          <w:sz w:val="20"/>
          <w:szCs w:val="20"/>
          <w:color w:val="auto"/>
        </w:rPr>
      </w:pPr>
    </w:p>
    <w:p>
      <w:pPr>
        <w:ind w:left="880" w:right="500" w:hanging="238"/>
        <w:spacing w:after="0" w:line="26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52" w:lineRule="exact"/>
        <w:rPr>
          <w:rFonts w:ascii="Arial" w:cs="Arial" w:eastAsia="Arial" w:hAnsi="Arial"/>
          <w:sz w:val="18"/>
          <w:szCs w:val="18"/>
          <w:color w:val="auto"/>
        </w:rPr>
      </w:pPr>
    </w:p>
    <w:p>
      <w:pPr>
        <w:ind w:left="880" w:hanging="23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44" w:lineRule="exact"/>
        <w:rPr>
          <w:rFonts w:ascii="Arial" w:cs="Arial" w:eastAsia="Arial" w:hAnsi="Arial"/>
          <w:sz w:val="18"/>
          <w:szCs w:val="18"/>
          <w:color w:val="auto"/>
        </w:rPr>
      </w:pPr>
    </w:p>
    <w:p>
      <w:pPr>
        <w:ind w:left="880" w:right="340" w:hanging="238"/>
        <w:spacing w:after="0" w:line="26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78"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220" w:hanging="580"/>
        <w:spacing w:after="0" w:line="246"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80" w:firstLine="637"/>
        <w:spacing w:after="0" w:line="238"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5"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2020 for a more complete discussion of the various items within the consolidated financial statements measured at fair value and the methods used to determine fair value.</w:t>
      </w:r>
    </w:p>
    <w:p>
      <w:pPr>
        <w:spacing w:after="0" w:line="73"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and six months ended June 30, 2021 and June 30, 2020.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Senior Note dilution impact is calculated using the if-converted method which was required upon adoption of ASU 2020-</w:t>
      </w:r>
    </w:p>
    <w:p>
      <w:pPr>
        <w:ind w:right="60" w:firstLine="8"/>
        <w:spacing w:after="0" w:line="238"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when the Convertible Senior Notes were issued during the third quarter of 2020.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94" w:lineRule="exact"/>
        <w:rPr>
          <w:sz w:val="20"/>
          <w:szCs w:val="20"/>
          <w:color w:val="auto"/>
        </w:rPr>
      </w:pPr>
    </w:p>
    <w:p>
      <w:pPr>
        <w:ind w:right="120" w:firstLine="637"/>
        <w:spacing w:after="0" w:line="255" w:lineRule="auto"/>
        <w:rPr>
          <w:sz w:val="20"/>
          <w:szCs w:val="20"/>
          <w:color w:val="auto"/>
        </w:rPr>
      </w:pPr>
      <w:r>
        <w:rPr>
          <w:rFonts w:ascii="Arial" w:cs="Arial" w:eastAsia="Arial" w:hAnsi="Arial"/>
          <w:sz w:val="17"/>
          <w:szCs w:val="17"/>
          <w:color w:val="auto"/>
        </w:rPr>
        <w:t>Dilutive potential common shares include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June 30, 2021 and June 30, 2020 were 9,271 and 4,939, respectively, and for the six months ended June 30, 2021 and June 30, 2020 were 1,644 and 4,066,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86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102,509,245</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100,694,938</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102,456,219</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100,682,315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Stock-based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744,322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290,649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636,162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266,369</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112,170,097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100,985,587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112,008,911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100,948,684</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52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23,299</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36,272</w:t>
            </w:r>
          </w:p>
        </w:tc>
        <w:tc>
          <w:tcPr>
            <w:tcW w:w="100" w:type="dxa"/>
            <w:vAlign w:val="bottom"/>
          </w:tcPr>
          <w:p>
            <w:pPr>
              <w:spacing w:after="0"/>
              <w:rPr>
                <w:sz w:val="18"/>
                <w:szCs w:val="18"/>
                <w:color w:val="auto"/>
              </w:rPr>
            </w:pPr>
          </w:p>
        </w:tc>
      </w:tr>
      <w:tr>
        <w:trPr>
          <w:trHeight w:val="215"/>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 if-converted method interest</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2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adjustment</w:t>
            </w: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531</w:t>
            </w:r>
          </w:p>
        </w:tc>
        <w:tc>
          <w:tcPr>
            <w:tcW w:w="20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1,059</w:t>
            </w:r>
          </w:p>
        </w:tc>
        <w:tc>
          <w:tcPr>
            <w:tcW w:w="22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36,272</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340" w:firstLine="637"/>
        <w:spacing w:after="0" w:line="238"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205"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205"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374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FF0FC"/>
            </w:tcBorders>
          </w:tcPr>
          <w:p>
            <w:pPr>
              <w:spacing w:after="0"/>
              <w:rPr>
                <w:sz w:val="14"/>
                <w:szCs w:val="14"/>
                <w:color w:val="auto"/>
              </w:rPr>
            </w:pPr>
          </w:p>
        </w:tc>
      </w:tr>
      <w:tr>
        <w:trPr>
          <w:trHeight w:val="20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6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442,675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482,210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894,744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959,781</w:t>
            </w:r>
          </w:p>
        </w:tc>
        <w:tc>
          <w:tcPr>
            <w:tcW w:w="120" w:type="dxa"/>
            <w:vAlign w:val="bottom"/>
            <w:shd w:val="clear" w:color="auto" w:fill="CFF0FC"/>
          </w:tcPr>
          <w:p>
            <w:pPr>
              <w:spacing w:after="0"/>
              <w:rPr>
                <w:sz w:val="18"/>
                <w:szCs w:val="18"/>
                <w:color w:val="auto"/>
              </w:rPr>
            </w:pPr>
          </w:p>
        </w:tc>
      </w:tr>
      <w:tr>
        <w:trPr>
          <w:trHeight w:val="21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436,681</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497,249</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859,309</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990,671</w:t>
            </w:r>
          </w:p>
        </w:tc>
        <w:tc>
          <w:tcPr>
            <w:tcW w:w="120" w:type="dxa"/>
            <w:vAlign w:val="bottom"/>
            <w:tcBorders>
              <w:bottom w:val="single" w:sz="8" w:color="CFF0FC"/>
            </w:tcBorders>
          </w:tcPr>
          <w:p>
            <w:pPr>
              <w:spacing w:after="0"/>
              <w:rPr>
                <w:sz w:val="18"/>
                <w:szCs w:val="18"/>
                <w:color w:val="auto"/>
              </w:rPr>
            </w:pPr>
          </w:p>
        </w:tc>
      </w:tr>
      <w:tr>
        <w:trPr>
          <w:trHeight w:val="20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879,356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979,459</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1,754,053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1,950,452</w:t>
            </w:r>
          </w:p>
        </w:tc>
        <w:tc>
          <w:tcPr>
            <w:tcW w:w="120" w:type="dxa"/>
            <w:vAlign w:val="bottom"/>
            <w:shd w:val="clear" w:color="auto" w:fill="CFF0FC"/>
          </w:tcPr>
          <w:p>
            <w:pPr>
              <w:spacing w:after="0"/>
              <w:rPr>
                <w:sz w:val="18"/>
                <w:szCs w:val="18"/>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300" w:firstLine="637"/>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2" w:right="419" w:bottom="1440" w:gutter="0" w:footer="0" w:header="0"/>
        </w:sectPr>
      </w:pPr>
    </w:p>
    <w:bookmarkStart w:id="25" w:name="page26"/>
    <w:bookmarkEnd w:id="25"/>
    <w:p>
      <w:pPr>
        <w:ind w:right="40"/>
        <w:spacing w:after="0" w:line="237" w:lineRule="auto"/>
        <w:rPr>
          <w:sz w:val="20"/>
          <w:szCs w:val="20"/>
          <w:color w:val="auto"/>
        </w:rPr>
      </w:pPr>
      <w:r>
        <w:rPr>
          <w:rFonts w:ascii="Arial" w:cs="Arial" w:eastAsia="Arial" w:hAnsi="Arial"/>
          <w:sz w:val="18"/>
          <w:szCs w:val="18"/>
          <w:color w:val="auto"/>
        </w:rPr>
        <w:t>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209"/>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FF0FC"/>
            </w:tcBorders>
          </w:tcPr>
          <w:p>
            <w:pPr>
              <w:spacing w:after="0"/>
              <w:rPr>
                <w:sz w:val="18"/>
                <w:szCs w:val="18"/>
                <w:color w:val="auto"/>
              </w:rPr>
            </w:pPr>
          </w:p>
        </w:tc>
      </w:tr>
      <w:tr>
        <w:trPr>
          <w:trHeight w:val="21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6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47,700</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64,482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79,317</w:t>
            </w:r>
          </w:p>
        </w:tc>
        <w:tc>
          <w:tcPr>
            <w:tcW w:w="120" w:type="dxa"/>
            <w:vAlign w:val="bottom"/>
            <w:shd w:val="clear" w:color="auto" w:fill="CFF0FC"/>
          </w:tcPr>
          <w:p>
            <w:pPr>
              <w:spacing w:after="0"/>
              <w:rPr>
                <w:sz w:val="18"/>
                <w:szCs w:val="18"/>
                <w:color w:val="auto"/>
              </w:rPr>
            </w:pPr>
          </w:p>
        </w:tc>
      </w:tr>
      <w:tr>
        <w:trPr>
          <w:trHeight w:val="216"/>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27,817</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59,474</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62,876</w:t>
            </w:r>
          </w:p>
        </w:tc>
        <w:tc>
          <w:tcPr>
            <w:tcW w:w="120" w:type="dxa"/>
            <w:vAlign w:val="bottom"/>
            <w:tcBorders>
              <w:bottom w:val="single" w:sz="8" w:color="CFF0FC"/>
            </w:tcBorders>
          </w:tcPr>
          <w:p>
            <w:pPr>
              <w:spacing w:after="0"/>
              <w:rPr>
                <w:sz w:val="18"/>
                <w:szCs w:val="18"/>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60,317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123,956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142,193</w:t>
            </w:r>
          </w:p>
        </w:tc>
        <w:tc>
          <w:tcPr>
            <w:tcW w:w="12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9,464</w:t>
            </w:r>
          </w:p>
        </w:tc>
        <w:tc>
          <w:tcPr>
            <w:tcW w:w="12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(34,635)</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(32,081)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(69,308)</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(64,490)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(4,758)</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(9,201)</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(7,757)</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(3,838)</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(11,891)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(9,213)</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(16,975)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(4,921)</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(11,901)</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(5,133)</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Transaction-related costs (a)</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(4,086)</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(6,732)</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(9,526)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Restructuring expense (b)</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(1,110)</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(1,389)</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(1,880)</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(1,170)</w:t>
            </w: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26,041</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45,496</w:t>
            </w:r>
          </w:p>
        </w:tc>
        <w:tc>
          <w:tcPr>
            <w:tcW w:w="12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10,300</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9,224</w:t>
            </w:r>
          </w:p>
        </w:tc>
        <w:tc>
          <w:tcPr>
            <w:tcW w:w="120" w:type="dxa"/>
            <w:vAlign w:val="bottom"/>
            <w:shd w:val="clear" w:color="auto" w:fill="CFF0FC"/>
          </w:tcPr>
          <w:p>
            <w:pPr>
              <w:spacing w:after="0"/>
              <w:rPr>
                <w:sz w:val="18"/>
                <w:szCs w:val="18"/>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6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23,299</w:t>
            </w:r>
          </w:p>
        </w:tc>
        <w:tc>
          <w:tcPr>
            <w:tcW w:w="180" w:type="dxa"/>
            <w:vAlign w:val="bottom"/>
          </w:tcPr>
          <w:p>
            <w:pPr>
              <w:spacing w:after="0"/>
              <w:rPr>
                <w:sz w:val="18"/>
                <w:szCs w:val="18"/>
                <w:color w:val="auto"/>
              </w:rPr>
            </w:pP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15,741</w:t>
            </w:r>
          </w:p>
        </w:tc>
        <w:tc>
          <w:tcPr>
            <w:tcW w:w="20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36,272</w:t>
            </w:r>
          </w:p>
        </w:tc>
        <w:tc>
          <w:tcPr>
            <w:tcW w:w="12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9" w:lineRule="exact"/>
        <w:rPr>
          <w:sz w:val="20"/>
          <w:szCs w:val="20"/>
          <w:color w:val="auto"/>
        </w:rPr>
      </w:pPr>
    </w:p>
    <w:p>
      <w:pPr>
        <w:ind w:left="640" w:right="140" w:hanging="632"/>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120" w:hanging="632"/>
        <w:spacing w:after="0" w:line="24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5740" w:type="dxa"/>
            <w:vAlign w:val="bottom"/>
          </w:tcPr>
          <w:p>
            <w:pPr>
              <w:spacing w:after="0"/>
              <w:rPr>
                <w:sz w:val="14"/>
                <w:szCs w:val="14"/>
                <w:color w:val="auto"/>
              </w:rPr>
            </w:pPr>
          </w:p>
        </w:tc>
        <w:tc>
          <w:tcPr>
            <w:tcW w:w="11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725,047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800,044</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1,441,393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1,597,990</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147,675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301,318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343,548</w:t>
            </w: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6,634</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4,726</w:t>
            </w:r>
          </w:p>
        </w:tc>
        <w:tc>
          <w:tcPr>
            <w:tcW w:w="3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11,342</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120" w:type="dxa"/>
            <w:vAlign w:val="bottom"/>
            <w:shd w:val="clear" w:color="auto" w:fill="CFF0FC"/>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879,356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979,459</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1,754,053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1,950,452</w:t>
            </w:r>
          </w:p>
        </w:tc>
        <w:tc>
          <w:tcPr>
            <w:tcW w:w="1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271780</wp:posOffset>
            </wp:positionV>
            <wp:extent cx="2168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3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106,737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35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3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110,617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3560" w:type="dxa"/>
            <w:vAlign w:val="bottom"/>
            <w:tcBorders>
              <w:top w:val="single" w:sz="8" w:color="CFF0FC"/>
              <w:bottom w:val="single" w:sz="8" w:color="CFF0FC"/>
            </w:tcBorders>
            <w:vMerge w:val="restart"/>
          </w:tcPr>
          <w:p>
            <w:pPr>
              <w:jc w:val="right"/>
              <w:ind w:right="1890"/>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41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14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ind w:right="20" w:firstLine="637"/>
        <w:spacing w:after="0" w:line="246" w:lineRule="auto"/>
        <w:rPr>
          <w:sz w:val="20"/>
          <w:szCs w:val="20"/>
          <w:color w:val="auto"/>
        </w:rPr>
      </w:pPr>
      <w:r>
        <w:rPr>
          <w:rFonts w:ascii="Arial" w:cs="Arial" w:eastAsia="Arial" w:hAnsi="Arial"/>
          <w:sz w:val="18"/>
          <w:szCs w:val="18"/>
          <w:color w:val="auto"/>
        </w:rPr>
        <w:t>North America includes revenue in the United States for the three months ended June 30, 2021 and June 30, 2020 of $656.2 million and $737.4 million, respectively and for the six months ended June 30, 2021 and June 30, 2020 of $1.3 billion and $1.5 billion,</w:t>
      </w:r>
    </w:p>
    <w:p>
      <w:pPr>
        <w:spacing w:after="0" w:line="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respectively. North America property and equipment, net includes $100.5 million and $109.6 million of property and equipment, net in the United States at June 30, 2021 and December 31, 2020, respectively.</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4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Cyber &amp; Intelligence</w:t>
            </w:r>
          </w:p>
        </w:tc>
        <w:tc>
          <w:tcPr>
            <w:tcW w:w="1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85,282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102,993</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168,610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201,875</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ind w:left="480"/>
              <w:spacing w:after="0"/>
              <w:rPr>
                <w:sz w:val="20"/>
                <w:szCs w:val="20"/>
                <w:color w:val="auto"/>
              </w:rPr>
            </w:pPr>
            <w:r>
              <w:rPr>
                <w:rFonts w:ascii="Arial" w:cs="Arial" w:eastAsia="Arial" w:hAnsi="Arial"/>
                <w:sz w:val="18"/>
                <w:szCs w:val="18"/>
                <w:color w:val="auto"/>
              </w:rPr>
              <w:t>Space &amp; Geospatial Solutions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160,673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109,255</w:t>
            </w: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Missile Defense &amp; C5ISR</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145,493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154,767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290,208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309,336</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Engineered Systems</w:t>
            </w: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134,286</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166,483</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275,253</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339,315</w:t>
            </w:r>
          </w:p>
        </w:tc>
        <w:tc>
          <w:tcPr>
            <w:tcW w:w="120" w:type="dxa"/>
            <w:vAlign w:val="bottom"/>
            <w:tcBorders>
              <w:bottom w:val="single" w:sz="8" w:color="CFF0FC"/>
            </w:tcBorders>
          </w:tcPr>
          <w:p>
            <w:pPr>
              <w:spacing w:after="0"/>
              <w:rPr>
                <w:sz w:val="18"/>
                <w:szCs w:val="18"/>
                <w:color w:val="auto"/>
              </w:rPr>
            </w:pPr>
          </w:p>
        </w:tc>
      </w:tr>
      <w:tr>
        <w:trPr>
          <w:trHeight w:val="209"/>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442,675</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482,210</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894,744</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959,781</w:t>
            </w:r>
          </w:p>
        </w:tc>
        <w:tc>
          <w:tcPr>
            <w:tcW w:w="120" w:type="dxa"/>
            <w:vAlign w:val="bottom"/>
            <w:shd w:val="clear" w:color="auto" w:fill="CFF0FC"/>
          </w:tcPr>
          <w:p>
            <w:pPr>
              <w:spacing w:after="0"/>
              <w:rPr>
                <w:sz w:val="18"/>
                <w:szCs w:val="18"/>
                <w:color w:val="auto"/>
              </w:rPr>
            </w:pPr>
          </w:p>
        </w:tc>
      </w:tr>
      <w:tr>
        <w:trPr>
          <w:trHeight w:val="210"/>
        </w:trPr>
        <w:tc>
          <w:tcPr>
            <w:tcW w:w="4000" w:type="dxa"/>
            <w:vAlign w:val="bottom"/>
          </w:tcPr>
          <w:p>
            <w:pPr>
              <w:ind w:left="480"/>
              <w:spacing w:after="0"/>
              <w:rPr>
                <w:sz w:val="20"/>
                <w:szCs w:val="20"/>
                <w:color w:val="auto"/>
              </w:rPr>
            </w:pPr>
            <w:r>
              <w:rPr>
                <w:rFonts w:ascii="Arial" w:cs="Arial" w:eastAsia="Arial" w:hAnsi="Arial"/>
                <w:sz w:val="18"/>
                <w:szCs w:val="18"/>
                <w:color w:val="auto"/>
              </w:rPr>
              <w:t>Connected Communities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98,359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171,204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200,260</w:t>
            </w: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Mobility Solutions</w:t>
            </w:r>
          </w:p>
        </w:tc>
        <w:tc>
          <w:tcPr>
            <w:tcW w:w="1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355,360</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398,890</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688,105</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790,411</w:t>
            </w:r>
          </w:p>
        </w:tc>
        <w:tc>
          <w:tcPr>
            <w:tcW w:w="120" w:type="dxa"/>
            <w:vAlign w:val="bottom"/>
            <w:shd w:val="clear" w:color="auto" w:fill="CFF0FC"/>
          </w:tcPr>
          <w:p>
            <w:pPr>
              <w:spacing w:after="0"/>
              <w:rPr>
                <w:sz w:val="18"/>
                <w:szCs w:val="18"/>
                <w:color w:val="auto"/>
              </w:rPr>
            </w:pPr>
          </w:p>
        </w:tc>
      </w:tr>
      <w:tr>
        <w:trPr>
          <w:trHeight w:val="209"/>
        </w:trPr>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436,681</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497,249</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859,309</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990,671</w:t>
            </w:r>
          </w:p>
        </w:tc>
        <w:tc>
          <w:tcPr>
            <w:tcW w:w="120" w:type="dxa"/>
            <w:vAlign w:val="bottom"/>
            <w:tcBorders>
              <w:bottom w:val="single" w:sz="8" w:color="CFF0FC"/>
            </w:tcBorders>
          </w:tcPr>
          <w:p>
            <w:pPr>
              <w:spacing w:after="0"/>
              <w:rPr>
                <w:sz w:val="18"/>
                <w:szCs w:val="18"/>
                <w:color w:val="auto"/>
              </w:rPr>
            </w:pP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879,356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979,459</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1,754,053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1,950,452</w:t>
            </w:r>
          </w:p>
        </w:tc>
        <w:tc>
          <w:tcPr>
            <w:tcW w:w="120" w:type="dxa"/>
            <w:vAlign w:val="bottom"/>
            <w:shd w:val="clear" w:color="auto" w:fill="CFF0FC"/>
          </w:tcPr>
          <w:p>
            <w:pPr>
              <w:spacing w:after="0"/>
              <w:rPr>
                <w:sz w:val="18"/>
                <w:szCs w:val="18"/>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firstLine="612"/>
        <w:spacing w:after="0" w:line="238" w:lineRule="auto"/>
        <w:rPr>
          <w:sz w:val="20"/>
          <w:szCs w:val="20"/>
          <w:color w:val="auto"/>
        </w:rPr>
      </w:pPr>
      <w:r>
        <w:rPr>
          <w:rFonts w:ascii="Arial" w:cs="Arial" w:eastAsia="Arial" w:hAnsi="Arial"/>
          <w:sz w:val="18"/>
          <w:szCs w:val="18"/>
          <w:color w:val="auto"/>
        </w:rPr>
        <w:t>On July 6, 2021, the Company completed its acquisition of BlackHorse Solutions, Inc. BlackHorse Solutions, Inc. expands Parsons’ capabilities and products in next-generation military, intelligence, and space operations, specifically in cyber electronic warfare, and information dominance. The purchase price of $203.0 million was paid in cash. We are in the process of finalizing the accounting for this transaction and expect to complete our preliminary allocation of the purchase price to the assets acquired and liabilities assumed by the end of the third quarter of 2021.</w:t>
      </w:r>
    </w:p>
    <w:p>
      <w:pPr>
        <w:spacing w:after="0" w:line="202" w:lineRule="exact"/>
        <w:rPr>
          <w:sz w:val="20"/>
          <w:szCs w:val="20"/>
          <w:color w:val="auto"/>
        </w:rPr>
      </w:pPr>
    </w:p>
    <w:p>
      <w:pPr>
        <w:ind w:right="40" w:firstLine="568"/>
        <w:spacing w:after="0" w:line="238" w:lineRule="auto"/>
        <w:rPr>
          <w:sz w:val="20"/>
          <w:szCs w:val="20"/>
          <w:color w:val="auto"/>
        </w:rPr>
      </w:pPr>
      <w:r>
        <w:rPr>
          <w:rFonts w:ascii="Arial" w:cs="Arial" w:eastAsia="Arial" w:hAnsi="Arial"/>
          <w:sz w:val="18"/>
          <w:szCs w:val="18"/>
          <w:color w:val="auto"/>
        </w:rPr>
        <w:t>On July 30, 2021, the Company completed its acquisition of Echo Ridge LLC. Echo Ridge adds position, navigation, and timing devices; modeling, simulation, test, and measurement tools; and deployable software defined radio products and signal processing services to Parsons’ space portfolio. The purchase price of approximately $9.0 million was paid in cash. We are in the process of finalizing the accounting for this transaction and expect to complete our preliminary allocation of the purchase price to the assets acquired and liabilities assumed by the end of the third quarter of 2021.</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71"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60" w:firstLine="637"/>
        <w:spacing w:after="0" w:line="245"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2020.</w:t>
      </w:r>
    </w:p>
    <w:p>
      <w:pPr>
        <w:spacing w:after="0" w:line="181"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2020. We undertake no obligation to revise publicly any forward-looking statements. Actual results may differ materially from those contained in any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6" w:lineRule="exact"/>
        <w:rPr>
          <w:sz w:val="20"/>
          <w:szCs w:val="20"/>
          <w:color w:val="auto"/>
        </w:rPr>
      </w:pPr>
    </w:p>
    <w:p>
      <w:pPr>
        <w:jc w:val="both"/>
        <w:ind w:right="280" w:firstLine="644"/>
        <w:spacing w:after="0" w:line="238" w:lineRule="auto"/>
        <w:rPr>
          <w:sz w:val="20"/>
          <w:szCs w:val="20"/>
          <w:color w:val="auto"/>
        </w:rPr>
      </w:pPr>
      <w:r>
        <w:rPr>
          <w:rFonts w:ascii="Arial" w:cs="Arial" w:eastAsia="Arial" w:hAnsi="Arial"/>
          <w:sz w:val="18"/>
          <w:szCs w:val="18"/>
          <w:color w:val="auto"/>
        </w:rPr>
        <w:t>In response to the COVID-19 pandemic, the Company has taken certain actions to continue to execute under our contracts with customers and allow our people to work safely. A substantial majority of our workforce transitioned to work-from-home status during the latter part of the quarter ended March 31, 2020, and these practices remain largely in effect as of the date of this filing. To date, we have experienced no material disruption in our work as a consequence of these changes in our work practices.</w:t>
      </w:r>
    </w:p>
    <w:p>
      <w:pPr>
        <w:spacing w:after="0" w:line="97"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The Company has experienced an impact in the volume of work in both the Federal Solutions and Critical Infrastructure segments where customers have restricted access to certain project sites. We have not seen any substantive cancellations of previously awarded contracts. In the Federal Solutions segment, we have had some existing contracts extended. We continue to see several potential contract awards pushed out to a future date.</w:t>
      </w:r>
    </w:p>
    <w:p>
      <w:pPr>
        <w:spacing w:after="0" w:line="97" w:lineRule="exact"/>
        <w:rPr>
          <w:sz w:val="20"/>
          <w:szCs w:val="20"/>
          <w:color w:val="auto"/>
        </w:rPr>
      </w:pPr>
    </w:p>
    <w:p>
      <w:pPr>
        <w:jc w:val="both"/>
        <w:ind w:right="80" w:firstLine="644"/>
        <w:spacing w:after="0"/>
        <w:rPr>
          <w:sz w:val="20"/>
          <w:szCs w:val="20"/>
          <w:color w:val="auto"/>
        </w:rPr>
      </w:pPr>
      <w:r>
        <w:rPr>
          <w:rFonts w:ascii="Arial" w:cs="Arial" w:eastAsia="Arial" w:hAnsi="Arial"/>
          <w:sz w:val="18"/>
          <w:szCs w:val="18"/>
          <w:color w:val="auto"/>
        </w:rPr>
        <w:t>The Company received limited benefits associated with the CARES Act related to its work on certain US national security projects; however, the curtailment of work under these projects and the CARES Act benefits did not have a material impact on our financial condition or results of operations. The reimbursement period for Section 3610 of the CARES Act expired March 31, 2021.</w:t>
      </w:r>
    </w:p>
    <w:p>
      <w:pPr>
        <w:spacing w:after="0" w:line="95" w:lineRule="exact"/>
        <w:rPr>
          <w:sz w:val="20"/>
          <w:szCs w:val="20"/>
          <w:color w:val="auto"/>
        </w:rPr>
      </w:pPr>
    </w:p>
    <w:p>
      <w:pPr>
        <w:ind w:right="180" w:firstLine="644"/>
        <w:spacing w:after="0" w:line="274" w:lineRule="auto"/>
        <w:rPr>
          <w:sz w:val="20"/>
          <w:szCs w:val="20"/>
          <w:color w:val="auto"/>
        </w:rPr>
      </w:pPr>
      <w:r>
        <w:rPr>
          <w:rFonts w:ascii="Arial" w:cs="Arial" w:eastAsia="Arial" w:hAnsi="Arial"/>
          <w:sz w:val="17"/>
          <w:szCs w:val="17"/>
          <w:color w:val="auto"/>
        </w:rPr>
        <w:t>The Company has provided additional disclosure around liquidity and capital resources which can be found in the “Liquidity and Capital Resources” section in Management’s Discussion and Analysis of Financial Condition and Results of Operations in this Form 10-Q.</w:t>
      </w:r>
    </w:p>
    <w:p>
      <w:pPr>
        <w:spacing w:after="0" w:line="67" w:lineRule="exact"/>
        <w:rPr>
          <w:sz w:val="20"/>
          <w:szCs w:val="20"/>
          <w:color w:val="auto"/>
        </w:rPr>
      </w:pPr>
    </w:p>
    <w:p>
      <w:pPr>
        <w:ind w:right="740" w:firstLine="644"/>
        <w:spacing w:after="0" w:line="246" w:lineRule="auto"/>
        <w:rPr>
          <w:sz w:val="20"/>
          <w:szCs w:val="20"/>
          <w:color w:val="auto"/>
        </w:rPr>
      </w:pPr>
      <w:r>
        <w:rPr>
          <w:rFonts w:ascii="Arial" w:cs="Arial" w:eastAsia="Arial" w:hAnsi="Arial"/>
          <w:sz w:val="18"/>
          <w:szCs w:val="18"/>
          <w:color w:val="auto"/>
        </w:rPr>
        <w:t>The Company anticipates substantially all of the Company’s subcontractors and material suppliers will be able to fulfill their contractual obligations and we do not expect a material impact from non-performance.</w:t>
      </w:r>
    </w:p>
    <w:p>
      <w:pPr>
        <w:spacing w:after="0" w:line="89" w:lineRule="exact"/>
        <w:rPr>
          <w:sz w:val="20"/>
          <w:szCs w:val="20"/>
          <w:color w:val="auto"/>
        </w:rPr>
      </w:pPr>
    </w:p>
    <w:p>
      <w:pPr>
        <w:ind w:right="200" w:firstLine="644"/>
        <w:spacing w:after="0" w:line="246"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748030</wp:posOffset>
            </wp:positionH>
            <wp:positionV relativeFrom="page">
              <wp:posOffset>380365</wp:posOffset>
            </wp:positionV>
            <wp:extent cx="6052185" cy="3402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05218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We are a leading innovative technology provider in the global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202"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203"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260" w:firstLine="637"/>
        <w:spacing w:after="0" w:line="246"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142875</wp:posOffset>
            </wp:positionV>
            <wp:extent cx="20059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560" w:type="dxa"/>
            <w:vAlign w:val="bottom"/>
            <w:tcBorders>
              <w:bottom w:val="single" w:sz="8" w:color="CFF0FC"/>
            </w:tcBorders>
          </w:tcPr>
          <w:p>
            <w:pPr>
              <w:spacing w:after="0"/>
              <w:rPr>
                <w:sz w:val="15"/>
                <w:szCs w:val="15"/>
                <w:color w:val="auto"/>
              </w:rPr>
            </w:pPr>
          </w:p>
        </w:tc>
        <w:tc>
          <w:tcPr>
            <w:tcW w:w="33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3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2,692,557</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1,971,186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Backlog (1)</w:t>
            </w:r>
          </w:p>
        </w:tc>
        <w:tc>
          <w:tcPr>
            <w:tcW w:w="3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8,412,208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7,718,690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3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3360" w:type="dxa"/>
            <w:vAlign w:val="bottom"/>
            <w:vMerge w:val="restart"/>
          </w:tcPr>
          <w:p>
            <w:pPr>
              <w:jc w:val="right"/>
              <w:ind w:right="161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left="640" w:right="2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 between our backlog of $8.4 billion and our remaining unsatisfied performance obligations, or RUPO, of $5.1 billion, each as of June 30, 2021, is due to (i) unissued task orders and unexercised option years, to the extent their issuance or exercise is probable, as well as (ii) contract awards, to the extent we believe contract execution and funding is probable.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26"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338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FF0FC"/>
            </w:tcBorders>
          </w:tcPr>
          <w:p>
            <w:pPr>
              <w:spacing w:after="0"/>
              <w:rPr>
                <w:sz w:val="14"/>
                <w:szCs w:val="14"/>
                <w:color w:val="auto"/>
              </w:rPr>
            </w:pPr>
          </w:p>
        </w:tc>
      </w:tr>
      <w:tr>
        <w:trPr>
          <w:trHeight w:val="20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1,218,413</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433,140</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1,643,034</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1,048,830</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7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463,170</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571,951</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1,049,523</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922,356</w:t>
            </w:r>
          </w:p>
        </w:tc>
        <w:tc>
          <w:tcPr>
            <w:tcW w:w="100" w:type="dxa"/>
            <w:vAlign w:val="bottom"/>
            <w:tcBorders>
              <w:bottom w:val="single" w:sz="8" w:color="CFF0FC"/>
            </w:tcBorders>
          </w:tcPr>
          <w:p>
            <w:pPr>
              <w:spacing w:after="0"/>
              <w:rPr>
                <w:sz w:val="18"/>
                <w:szCs w:val="18"/>
                <w:color w:val="auto"/>
              </w:rPr>
            </w:pPr>
          </w:p>
        </w:tc>
      </w:tr>
      <w:tr>
        <w:trPr>
          <w:trHeight w:val="20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Total Awards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1,681,583</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1,005,091</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2,692,557</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1,971,186</w:t>
            </w:r>
          </w:p>
        </w:tc>
        <w:tc>
          <w:tcPr>
            <w:tcW w:w="100" w:type="dxa"/>
            <w:vAlign w:val="bottom"/>
            <w:shd w:val="clear" w:color="auto" w:fill="CFF0FC"/>
          </w:tcPr>
          <w:p>
            <w:pPr>
              <w:spacing w:after="0"/>
              <w:rPr>
                <w:sz w:val="18"/>
                <w:szCs w:val="18"/>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three and six months ended June 30, 2021 when compared to the corresponding periods last year were primarily impacted by one significant contract awarded in the second quarter of 2021. The awards in Critical Infrastructure for the six months ended June 30, 2021 were impacted by several large contracts awarded in the first quarter of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560" w:hanging="238"/>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88" w:lineRule="exact"/>
        <w:rPr>
          <w:rFonts w:ascii="Arial" w:cs="Arial" w:eastAsia="Arial" w:hAnsi="Arial"/>
          <w:sz w:val="18"/>
          <w:szCs w:val="18"/>
          <w:color w:val="auto"/>
        </w:rPr>
      </w:pPr>
    </w:p>
    <w:p>
      <w:pPr>
        <w:ind w:left="880" w:right="60" w:hanging="238"/>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97"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151765</wp:posOffset>
            </wp:positionV>
            <wp:extent cx="20059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Federal Solutions:</w:t>
            </w:r>
          </w:p>
        </w:tc>
        <w:tc>
          <w:tcPr>
            <w:tcW w:w="2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1,126,408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1,308,663</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4,362,700</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3,654,203</w:t>
            </w:r>
          </w:p>
        </w:tc>
        <w:tc>
          <w:tcPr>
            <w:tcW w:w="100" w:type="dxa"/>
            <w:vAlign w:val="bottom"/>
            <w:tcBorders>
              <w:bottom w:val="single" w:sz="8" w:color="CFF0FC"/>
            </w:tcBorders>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5,489,108</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4,962,866</w:t>
            </w:r>
          </w:p>
        </w:tc>
        <w:tc>
          <w:tcPr>
            <w:tcW w:w="100" w:type="dxa"/>
            <w:vAlign w:val="bottom"/>
            <w:shd w:val="clear" w:color="auto" w:fill="CFF0FC"/>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2,850,211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2,719,037</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72,889</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36,787</w:t>
            </w:r>
          </w:p>
        </w:tc>
        <w:tc>
          <w:tcPr>
            <w:tcW w:w="100" w:type="dxa"/>
            <w:vAlign w:val="bottom"/>
            <w:tcBorders>
              <w:bottom w:val="single" w:sz="8" w:color="CFF0FC"/>
            </w:tcBorders>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2,923,100</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2,755,824</w:t>
            </w:r>
          </w:p>
        </w:tc>
        <w:tc>
          <w:tcPr>
            <w:tcW w:w="100" w:type="dxa"/>
            <w:vAlign w:val="bottom"/>
            <w:shd w:val="clear" w:color="auto" w:fill="CFF0FC"/>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 Backlog (1)</w:t>
            </w: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8,412,208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7,718,690</w:t>
            </w: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1000" w:right="40" w:hanging="62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$8.4 billion and our RUPO of $5.1 billion, each as of June 30, 2021, is due to (i) unissued task orders and unexercised option years, to the extent their issuance or exercise is probable, as well as (ii) contract awards, to the extent we believe contract execution and funding is probable.</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11" w:right="419" w:bottom="1440" w:gutter="0" w:footer="0" w:header="0"/>
        </w:sectPr>
      </w:pPr>
    </w:p>
    <w:bookmarkStart w:id="30" w:name="page31"/>
    <w:bookmarkEnd w:id="30"/>
    <w:p>
      <w:pPr>
        <w:ind w:right="100" w:firstLine="637"/>
        <w:spacing w:after="0" w:line="238"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202"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expect to recognize $2.7 billion of our funded backlog at June 30, 2021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2020.</w:t>
      </w:r>
    </w:p>
    <w:p>
      <w:pPr>
        <w:spacing w:after="0" w:line="205" w:lineRule="exact"/>
        <w:rPr>
          <w:sz w:val="20"/>
          <w:szCs w:val="20"/>
          <w:color w:val="auto"/>
        </w:rPr>
      </w:pPr>
    </w:p>
    <w:p>
      <w:pPr>
        <w:ind w:right="600" w:firstLine="637"/>
        <w:spacing w:after="0" w:line="246"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26"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5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r>
      <w:tr>
        <w:trPr>
          <w:trHeight w:val="21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06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275"/>
              <w:spacing w:after="0"/>
              <w:rPr>
                <w:sz w:val="20"/>
                <w:szCs w:val="20"/>
                <w:color w:val="auto"/>
              </w:rPr>
            </w:pPr>
            <w:r>
              <w:rPr>
                <w:rFonts w:ascii="Arial" w:cs="Arial" w:eastAsia="Arial" w:hAnsi="Arial"/>
                <w:sz w:val="18"/>
                <w:szCs w:val="18"/>
                <w:color w:val="auto"/>
              </w:rPr>
              <w:t>0.9</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277"/>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275"/>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060" w:type="dxa"/>
            <w:vAlign w:val="bottom"/>
          </w:tcPr>
          <w:p>
            <w:pPr>
              <w:ind w:left="4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40" w:type="dxa"/>
            <w:vAlign w:val="bottom"/>
          </w:tcPr>
          <w:p>
            <w:pPr>
              <w:jc w:val="right"/>
              <w:ind w:right="277"/>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34"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26" w:lineRule="exact"/>
        <w:rPr>
          <w:sz w:val="20"/>
          <w:szCs w:val="20"/>
          <w:color w:val="auto"/>
        </w:rPr>
      </w:pPr>
    </w:p>
    <w:p>
      <w:pPr>
        <w:ind w:right="60" w:firstLine="637"/>
        <w:spacing w:after="0" w:line="236"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26" w:lineRule="exact"/>
        <w:rPr>
          <w:sz w:val="20"/>
          <w:szCs w:val="20"/>
          <w:color w:val="auto"/>
        </w:rPr>
      </w:pPr>
    </w:p>
    <w:p>
      <w:pPr>
        <w:ind w:right="420" w:firstLine="637"/>
        <w:spacing w:after="0" w:line="246"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spacing w:after="0" w:line="237" w:lineRule="auto"/>
        <w:rPr>
          <w:sz w:val="20"/>
          <w:szCs w:val="20"/>
          <w:color w:val="auto"/>
        </w:rPr>
      </w:pPr>
      <w:r>
        <w:rPr>
          <w:rFonts w:ascii="Arial" w:cs="Arial" w:eastAsia="Arial" w:hAnsi="Arial"/>
          <w:sz w:val="18"/>
          <w:szCs w:val="18"/>
          <w:color w:val="auto"/>
        </w:rPr>
        <w:t>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26" w:lineRule="exact"/>
        <w:rPr>
          <w:sz w:val="20"/>
          <w:szCs w:val="20"/>
          <w:color w:val="auto"/>
        </w:rPr>
      </w:pPr>
    </w:p>
    <w:p>
      <w:pPr>
        <w:ind w:right="40" w:firstLine="637"/>
        <w:spacing w:after="0" w:line="238"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26" w:lineRule="exact"/>
        <w:rPr>
          <w:sz w:val="20"/>
          <w:szCs w:val="20"/>
          <w:color w:val="auto"/>
        </w:rPr>
      </w:pPr>
    </w:p>
    <w:p>
      <w:pPr>
        <w:ind w:right="160" w:firstLine="637"/>
        <w:spacing w:after="0" w:line="237"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Braxton Science &amp; Technology Group, LLC</w:t>
      </w:r>
    </w:p>
    <w:p>
      <w:pPr>
        <w:spacing w:after="0" w:line="122" w:lineRule="exact"/>
        <w:rPr>
          <w:sz w:val="20"/>
          <w:szCs w:val="20"/>
          <w:color w:val="auto"/>
        </w:rPr>
      </w:pPr>
    </w:p>
    <w:p>
      <w:pPr>
        <w:ind w:right="60" w:firstLine="637"/>
        <w:spacing w:after="0" w:line="259" w:lineRule="auto"/>
        <w:rPr>
          <w:sz w:val="20"/>
          <w:szCs w:val="20"/>
          <w:color w:val="auto"/>
        </w:rPr>
      </w:pPr>
      <w:r>
        <w:rPr>
          <w:rFonts w:ascii="Arial" w:cs="Arial" w:eastAsia="Arial" w:hAnsi="Arial"/>
          <w:sz w:val="17"/>
          <w:szCs w:val="17"/>
          <w:color w:val="auto"/>
        </w:rPr>
        <w:t>On November 19, 2020, we acquired Braxton for $309.5 million. Braxton operates at the forefront of satellite operations, ground system automation, flight dynamics, and spacecraft and antenna simulation for the U.S. Department of Defense and Intelligence Community. The acquisition was funded by cash on-hand. The financial results of Braxton have been included in our consolidated results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from November 19, 2020 onward.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color w:val="auto"/>
        </w:rPr>
        <w:t>We recognize revenue for work performed under cost-plus, time-and-materials and fixed-price contracts as follows:</w:t>
      </w:r>
    </w:p>
    <w:p>
      <w:pPr>
        <w:spacing w:after="0" w:line="212"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205"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12"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2020 for a description of our policies on revenue recognition.</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5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 2020</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26.5%</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31.8%</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26.4%</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Time-and-materials</w:t>
            </w:r>
          </w:p>
        </w:tc>
        <w:tc>
          <w:tcPr>
            <w:tcW w:w="1060" w:type="dxa"/>
            <w:vAlign w:val="bottom"/>
          </w:tcPr>
          <w:p>
            <w:pPr>
              <w:jc w:val="center"/>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28.1%</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45.5%</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20" w:firstLine="637"/>
        <w:spacing w:after="0" w:line="236"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205"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Our recognition of revenue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the three months ended June 30, 2021 and June 30, 2020 of $40.5 million and $42.4 million, respectively, and for the six months ended June 30, 2021 and June 30, 2020 of $82.4 million and $82.8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26" w:lineRule="exact"/>
        <w:rPr>
          <w:sz w:val="20"/>
          <w:szCs w:val="20"/>
          <w:color w:val="auto"/>
        </w:rPr>
      </w:pPr>
    </w:p>
    <w:p>
      <w:pPr>
        <w:ind w:right="360" w:firstLine="637"/>
        <w:spacing w:after="0" w:line="246"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3" w:name="page34"/>
    <w:bookmarkEnd w:id="33"/>
    <w:p>
      <w:pPr>
        <w:spacing w:after="0" w:line="238" w:lineRule="auto"/>
        <w:rPr>
          <w:sz w:val="20"/>
          <w:szCs w:val="20"/>
          <w:color w:val="auto"/>
        </w:rPr>
      </w:pPr>
      <w:r>
        <w:rPr>
          <w:rFonts w:ascii="Arial" w:cs="Arial" w:eastAsia="Arial" w:hAnsi="Arial"/>
          <w:sz w:val="18"/>
          <w:szCs w:val="18"/>
          <w:color w:val="auto"/>
        </w:rPr>
        <w:t>contribution expenses, are the most significant component of our operating expenses. Total ESOP contribution expense for the three months ended June 30, 2021 and June 30, 2020 was $13.4 million and $14.6 million, respectively, and for the six months ended June 30, 2021 and June 30, 2020 was $26.5 million and $29.5 million, respectively, and is recorded in “Direct cost of contracts” and “Selling, general and administrative expenses.”</w:t>
      </w:r>
    </w:p>
    <w:p>
      <w:pPr>
        <w:spacing w:after="0" w:line="205" w:lineRule="exact"/>
        <w:rPr>
          <w:sz w:val="20"/>
          <w:szCs w:val="20"/>
          <w:color w:val="auto"/>
        </w:rPr>
      </w:pPr>
    </w:p>
    <w:p>
      <w:pPr>
        <w:ind w:right="20" w:firstLine="637"/>
        <w:spacing w:after="0" w:line="246"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97" w:lineRule="exact"/>
        <w:rPr>
          <w:sz w:val="20"/>
          <w:szCs w:val="20"/>
          <w:color w:val="auto"/>
        </w:rPr>
      </w:pPr>
    </w:p>
    <w:p>
      <w:pPr>
        <w:ind w:right="700" w:firstLine="637"/>
        <w:spacing w:after="0" w:line="246"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00" w:firstLine="637"/>
        <w:spacing w:after="0" w:line="246"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4" w:lineRule="exact"/>
        <w:rPr>
          <w:sz w:val="20"/>
          <w:szCs w:val="20"/>
          <w:color w:val="auto"/>
        </w:rPr>
      </w:pPr>
    </w:p>
    <w:p>
      <w:pPr>
        <w:ind w:right="440" w:firstLine="637"/>
        <w:spacing w:after="0" w:line="246"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six months ended June 30, 2021 and June 30, 2020.</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Borders>
              <w:bottom w:val="single" w:sz="8" w:color="CFF0FC"/>
            </w:tcBorders>
            <w:vMerge w:val="continue"/>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65,727</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91,161</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134,426</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151,657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 Margin (2)</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9.3%</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76" w:lineRule="exact"/>
        <w:rPr>
          <w:rFonts w:ascii="Arial" w:cs="Arial" w:eastAsia="Arial" w:hAnsi="Arial"/>
          <w:sz w:val="18"/>
          <w:szCs w:val="18"/>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44" w:lineRule="exact"/>
        <w:rPr>
          <w:rFonts w:ascii="Arial" w:cs="Arial" w:eastAsia="Arial" w:hAnsi="Arial"/>
          <w:sz w:val="18"/>
          <w:szCs w:val="18"/>
          <w:color w:val="auto"/>
        </w:rPr>
      </w:pPr>
    </w:p>
    <w:p>
      <w:pPr>
        <w:ind w:left="1000" w:hanging="62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34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66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FF0FC"/>
            </w:tcBorders>
          </w:tcPr>
          <w:p>
            <w:pPr>
              <w:spacing w:after="0"/>
              <w:rPr>
                <w:sz w:val="14"/>
                <w:szCs w:val="14"/>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7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5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36,272</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16,975</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34,635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64,490</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(2,485)</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9,526</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4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FF0FC"/>
          </w:tcPr>
          <w:p>
            <w:pPr>
              <w:spacing w:after="0"/>
              <w:rPr>
                <w:sz w:val="18"/>
                <w:szCs w:val="18"/>
                <w:color w:val="auto"/>
              </w:rPr>
            </w:pPr>
          </w:p>
        </w:tc>
      </w:tr>
      <w:tr>
        <w:trPr>
          <w:trHeight w:val="210"/>
        </w:trPr>
        <w:tc>
          <w:tcPr>
            <w:tcW w:w="46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65,727</w:t>
            </w:r>
          </w:p>
        </w:tc>
        <w:tc>
          <w:tcPr>
            <w:tcW w:w="5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91,161</w:t>
            </w:r>
          </w:p>
        </w:tc>
        <w:tc>
          <w:tcPr>
            <w:tcW w:w="140" w:type="dxa"/>
            <w:vAlign w:val="bottom"/>
          </w:tcPr>
          <w:p>
            <w:pPr>
              <w:spacing w:after="0"/>
              <w:rPr>
                <w:sz w:val="18"/>
                <w:szCs w:val="18"/>
                <w:color w:val="auto"/>
              </w:rPr>
            </w:pPr>
          </w:p>
        </w:tc>
        <w:tc>
          <w:tcPr>
            <w:tcW w:w="3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134,426</w:t>
            </w:r>
          </w:p>
        </w:tc>
        <w:tc>
          <w:tcPr>
            <w:tcW w:w="2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151,657</w:t>
            </w:r>
          </w:p>
        </w:tc>
        <w:tc>
          <w:tcPr>
            <w:tcW w:w="1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28" w:lineRule="exact"/>
        <w:rPr>
          <w:sz w:val="20"/>
          <w:szCs w:val="20"/>
          <w:color w:val="auto"/>
        </w:rPr>
      </w:pPr>
    </w:p>
    <w:p>
      <w:pPr>
        <w:ind w:left="640" w:right="80" w:hanging="632"/>
        <w:spacing w:after="0" w:line="24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34" w:name="page35"/>
    <w:bookmarkEnd w:id="34"/>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120" w:hanging="632"/>
        <w:spacing w:after="0" w:line="246"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7" w:lineRule="exact"/>
        <w:rPr>
          <w:sz w:val="20"/>
          <w:szCs w:val="20"/>
          <w:color w:val="auto"/>
        </w:rPr>
      </w:pPr>
    </w:p>
    <w:p>
      <w:pPr>
        <w:ind w:right="160" w:firstLine="637"/>
        <w:spacing w:after="0" w:line="238"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202" w:lineRule="exact"/>
        <w:rPr>
          <w:sz w:val="20"/>
          <w:szCs w:val="20"/>
          <w:color w:val="auto"/>
        </w:rPr>
      </w:pPr>
    </w:p>
    <w:p>
      <w:pPr>
        <w:ind w:right="60" w:firstLine="637"/>
        <w:spacing w:after="0" w:line="235"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214"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500" w:type="dxa"/>
            <w:vAlign w:val="bottom"/>
          </w:tcPr>
          <w:p>
            <w:pPr>
              <w:spacing w:after="0"/>
              <w:rPr>
                <w:sz w:val="13"/>
                <w:szCs w:val="13"/>
                <w:color w:val="auto"/>
              </w:rPr>
            </w:pPr>
          </w:p>
        </w:tc>
        <w:tc>
          <w:tcPr>
            <w:tcW w:w="9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6"/>
              <w:spacing w:after="0" w:line="156" w:lineRule="exact"/>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500" w:type="dxa"/>
            <w:vAlign w:val="bottom"/>
          </w:tcPr>
          <w:p>
            <w:pPr>
              <w:spacing w:after="0"/>
              <w:rPr>
                <w:sz w:val="15"/>
                <w:szCs w:val="15"/>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5"/>
                <w:szCs w:val="15"/>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Federal Solutions Adjusted EBITDA</w:t>
            </w: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3500" w:type="dxa"/>
            <w:vAlign w:val="bottom"/>
          </w:tcPr>
          <w:p>
            <w:pPr>
              <w:spacing w:after="0" w:line="203" w:lineRule="exact"/>
              <w:rPr>
                <w:sz w:val="20"/>
                <w:szCs w:val="20"/>
                <w:color w:val="auto"/>
              </w:rPr>
            </w:pPr>
            <w:r>
              <w:rPr>
                <w:rFonts w:ascii="Arial" w:cs="Arial" w:eastAsia="Arial" w:hAnsi="Arial"/>
                <w:sz w:val="18"/>
                <w:szCs w:val="18"/>
                <w:color w:val="auto"/>
              </w:rPr>
              <w:t>attributable to Parsons Corporation</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6"/>
              </w:rPr>
              <w:t>$ 32,500</w:t>
            </w: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w w:val="99"/>
              </w:rPr>
              <w:t>$ 47,700</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w w:val="97"/>
              </w:rPr>
              <w:t>$ (15,200)</w:t>
            </w:r>
          </w:p>
        </w:tc>
        <w:tc>
          <w:tcPr>
            <w:tcW w:w="1200" w:type="dxa"/>
            <w:vAlign w:val="bottom"/>
            <w:gridSpan w:val="3"/>
          </w:tcPr>
          <w:p>
            <w:pPr>
              <w:ind w:left="280"/>
              <w:spacing w:after="0" w:line="203" w:lineRule="exact"/>
              <w:rPr>
                <w:sz w:val="20"/>
                <w:szCs w:val="20"/>
                <w:color w:val="auto"/>
              </w:rPr>
            </w:pPr>
            <w:r>
              <w:rPr>
                <w:rFonts w:ascii="Arial" w:cs="Arial" w:eastAsia="Arial" w:hAnsi="Arial"/>
                <w:sz w:val="18"/>
                <w:szCs w:val="18"/>
                <w:color w:val="auto"/>
              </w:rPr>
              <w:t>-31.9% $</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64,482</w:t>
            </w:r>
          </w:p>
        </w:tc>
        <w:tc>
          <w:tcPr>
            <w:tcW w:w="2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79,317</w:t>
            </w:r>
          </w:p>
        </w:tc>
        <w:tc>
          <w:tcPr>
            <w:tcW w:w="112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 (14,835)</w:t>
            </w: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-18.7%</w:t>
            </w:r>
          </w:p>
        </w:tc>
      </w:tr>
      <w:tr>
        <w:trPr>
          <w:trHeight w:val="215"/>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 Adjusted EBITDA</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35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attributable to Parsons Corporation</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27,817</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35,519</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(7,702)</w:t>
            </w:r>
          </w:p>
        </w:tc>
        <w:tc>
          <w:tcPr>
            <w:tcW w:w="960" w:type="dxa"/>
            <w:vAlign w:val="bottom"/>
            <w:gridSpan w:val="2"/>
            <w:shd w:val="clear" w:color="auto" w:fill="CFF0FC"/>
          </w:tcPr>
          <w:p>
            <w:pPr>
              <w:ind w:left="280"/>
              <w:spacing w:after="0" w:line="203" w:lineRule="exact"/>
              <w:rPr>
                <w:sz w:val="20"/>
                <w:szCs w:val="20"/>
                <w:color w:val="auto"/>
              </w:rPr>
            </w:pPr>
            <w:r>
              <w:rPr>
                <w:rFonts w:ascii="Arial" w:cs="Arial" w:eastAsia="Arial" w:hAnsi="Arial"/>
                <w:sz w:val="18"/>
                <w:szCs w:val="18"/>
                <w:color w:val="auto"/>
              </w:rPr>
              <w:t>-21.7%</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59,474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62,876</w:t>
            </w:r>
          </w:p>
        </w:tc>
        <w:tc>
          <w:tcPr>
            <w:tcW w:w="1120" w:type="dxa"/>
            <w:vAlign w:val="bottom"/>
            <w:gridSpan w:val="3"/>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(3,402)</w:t>
            </w:r>
          </w:p>
        </w:tc>
        <w:tc>
          <w:tcPr>
            <w:tcW w:w="8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-5.4%</w:t>
            </w:r>
          </w:p>
        </w:tc>
      </w:tr>
      <w:tr>
        <w:trPr>
          <w:trHeight w:val="215"/>
        </w:trPr>
        <w:tc>
          <w:tcPr>
            <w:tcW w:w="3500" w:type="dxa"/>
            <w:vAlign w:val="bottom"/>
          </w:tcPr>
          <w:p>
            <w:pPr>
              <w:spacing w:after="0"/>
              <w:rPr>
                <w:sz w:val="20"/>
                <w:szCs w:val="20"/>
                <w:color w:val="auto"/>
              </w:rPr>
            </w:pPr>
            <w:r>
              <w:rPr>
                <w:rFonts w:ascii="Arial" w:cs="Arial" w:eastAsia="Arial" w:hAnsi="Arial"/>
                <w:sz w:val="18"/>
                <w:szCs w:val="18"/>
                <w:color w:val="auto"/>
              </w:rPr>
              <w:t>Adjusted EBITDA attributable to</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3500" w:type="dxa"/>
            <w:vAlign w:val="bottom"/>
          </w:tcPr>
          <w:p>
            <w:pPr>
              <w:spacing w:after="0" w:line="203" w:lineRule="exact"/>
              <w:rPr>
                <w:sz w:val="20"/>
                <w:szCs w:val="20"/>
                <w:color w:val="auto"/>
              </w:rPr>
            </w:pPr>
            <w:r>
              <w:rPr>
                <w:rFonts w:ascii="Arial" w:cs="Arial" w:eastAsia="Arial" w:hAnsi="Arial"/>
                <w:sz w:val="18"/>
                <w:szCs w:val="18"/>
                <w:color w:val="auto"/>
              </w:rPr>
              <w:t>noncontrolling interests</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5,410</w:t>
            </w: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7,942</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(2,532)</w:t>
            </w:r>
          </w:p>
        </w:tc>
        <w:tc>
          <w:tcPr>
            <w:tcW w:w="960" w:type="dxa"/>
            <w:vAlign w:val="bottom"/>
            <w:gridSpan w:val="2"/>
          </w:tcPr>
          <w:p>
            <w:pPr>
              <w:ind w:left="280"/>
              <w:spacing w:after="0" w:line="203" w:lineRule="exact"/>
              <w:rPr>
                <w:sz w:val="20"/>
                <w:szCs w:val="20"/>
                <w:color w:val="auto"/>
              </w:rPr>
            </w:pPr>
            <w:r>
              <w:rPr>
                <w:rFonts w:ascii="Arial" w:cs="Arial" w:eastAsia="Arial" w:hAnsi="Arial"/>
                <w:sz w:val="18"/>
                <w:szCs w:val="18"/>
                <w:color w:val="auto"/>
              </w:rPr>
              <w:t>-31.9%</w:t>
            </w:r>
          </w:p>
        </w:tc>
        <w:tc>
          <w:tcPr>
            <w:tcW w:w="2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10,470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9,464</w:t>
            </w: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1,006</w:t>
            </w:r>
          </w:p>
        </w:tc>
        <w:tc>
          <w:tcPr>
            <w:tcW w:w="180" w:type="dxa"/>
            <w:vAlign w:val="bottom"/>
          </w:tcPr>
          <w:p>
            <w:pPr>
              <w:spacing w:after="0"/>
              <w:rPr>
                <w:sz w:val="17"/>
                <w:szCs w:val="17"/>
                <w:color w:val="auto"/>
              </w:rPr>
            </w:pP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10.6%</w:t>
            </w:r>
          </w:p>
        </w:tc>
      </w:tr>
      <w:tr>
        <w:trPr>
          <w:trHeight w:val="20"/>
        </w:trPr>
        <w:tc>
          <w:tcPr>
            <w:tcW w:w="35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Total Adjusted EBITDA</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$ 65,727</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$ 91,161</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 (25,434)</w:t>
            </w:r>
          </w:p>
        </w:tc>
        <w:tc>
          <w:tcPr>
            <w:tcW w:w="120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-27.9%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151,657</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(17,231)</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275"/>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35" w:name="page36"/>
    <w:bookmarkEnd w:id="35"/>
    <w:p>
      <w:pPr>
        <w:ind w:right="380" w:firstLine="637"/>
        <w:spacing w:after="0" w:line="246" w:lineRule="auto"/>
        <w:rPr>
          <w:sz w:val="20"/>
          <w:szCs w:val="20"/>
          <w:color w:val="auto"/>
        </w:rPr>
      </w:pPr>
      <w:r>
        <w:rPr>
          <w:rFonts w:ascii="Arial" w:cs="Arial" w:eastAsia="Arial" w:hAnsi="Arial"/>
          <w:sz w:val="18"/>
          <w:szCs w:val="18"/>
          <w:color w:val="auto"/>
        </w:rPr>
        <w:t>The following table sets forth our results of operations for the three and six months ended June 30, 2021 and June 30, 2020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gridSpan w:val="2"/>
          </w:tcPr>
          <w:p>
            <w:pPr>
              <w:spacing w:after="0"/>
              <w:rPr>
                <w:sz w:val="15"/>
                <w:szCs w:val="15"/>
                <w:color w:val="auto"/>
              </w:rPr>
            </w:pPr>
          </w:p>
        </w:tc>
        <w:tc>
          <w:tcPr>
            <w:tcW w:w="230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340" w:type="dxa"/>
            <w:vAlign w:val="bottom"/>
            <w:gridSpan w:val="2"/>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June 30, 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77.4%</w:t>
            </w:r>
          </w:p>
        </w:tc>
        <w:tc>
          <w:tcPr>
            <w:tcW w:w="136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76.5%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3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rPr>
              <w:t>Equity in earnings of unconsolidated joint ventures</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21.4%</w:t>
            </w:r>
          </w:p>
        </w:tc>
        <w:tc>
          <w:tcPr>
            <w:tcW w:w="136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19.2%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3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25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6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3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6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3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32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gridSpan w:val="2"/>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36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4.4%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3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gridSpan w:val="3"/>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136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3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gridSpan w:val="3"/>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w:t>
            </w:r>
          </w:p>
        </w:tc>
        <w:tc>
          <w:tcPr>
            <w:tcW w:w="136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3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1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24"/>
                <w:szCs w:val="24"/>
                <w:color w:val="auto"/>
              </w:rPr>
            </w:pPr>
          </w:p>
        </w:tc>
        <w:tc>
          <w:tcPr>
            <w:tcW w:w="21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8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center"/>
              <w:ind w:right="200"/>
              <w:spacing w:after="0" w:line="156" w:lineRule="exact"/>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$ 879,356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$ 979,459</w:t>
            </w:r>
          </w:p>
        </w:tc>
        <w:tc>
          <w:tcPr>
            <w:tcW w:w="18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w w:val="97"/>
              </w:rPr>
              <w:t>$ (100,103)</w:t>
            </w:r>
          </w:p>
        </w:tc>
        <w:tc>
          <w:tcPr>
            <w:tcW w:w="19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-10.2% $ 1,754,053</w:t>
            </w:r>
          </w:p>
        </w:tc>
        <w:tc>
          <w:tcPr>
            <w:tcW w:w="180" w:type="dxa"/>
            <w:vAlign w:val="bottom"/>
            <w:tcBorders>
              <w:righ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6"/>
              </w:rPr>
              <w:t>$ 1,950,452</w:t>
            </w:r>
          </w:p>
        </w:tc>
        <w:tc>
          <w:tcPr>
            <w:tcW w:w="16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5"/>
              </w:rPr>
              <w:t>$ (196,399)</w:t>
            </w:r>
          </w:p>
        </w:tc>
        <w:tc>
          <w:tcPr>
            <w:tcW w:w="120" w:type="dxa"/>
            <w:vAlign w:val="bottom"/>
            <w:tcBorders>
              <w:right w:val="single" w:sz="8" w:color="CFF0FC"/>
            </w:tcBorders>
            <w:shd w:val="clear" w:color="auto" w:fill="CFF0FC"/>
          </w:tcPr>
          <w:p>
            <w:pPr>
              <w:spacing w:after="0"/>
              <w:rPr>
                <w:sz w:val="18"/>
                <w:szCs w:val="18"/>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firstLine="644"/>
        <w:spacing w:after="0" w:line="238" w:lineRule="auto"/>
        <w:rPr>
          <w:sz w:val="20"/>
          <w:szCs w:val="20"/>
          <w:color w:val="auto"/>
        </w:rPr>
      </w:pPr>
      <w:r>
        <w:rPr>
          <w:rFonts w:ascii="Arial" w:cs="Arial" w:eastAsia="Arial" w:hAnsi="Arial"/>
          <w:sz w:val="18"/>
          <w:szCs w:val="18"/>
          <w:color w:val="auto"/>
        </w:rPr>
        <w:t>Revenue decreased $ 100.1 million for the three months ended June 30, 2021 when compared to the corresponding period last year, primarily due to a decrease in revenue in our Critical Infrastructure segment of $60.6 million and a decrease in our Federal Solutions segment of $39.5 million. Revenue decreased $196.4 million for the six months ended June 30, 2021 when compared to the corresponding period last year, primarily due to a decrease in our Critical Infrastructure segment of $131.4 million and a decrease in our Federal Solutions segment of $65.0 million. See “Segment Results” below for a further discussion.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80" w:type="dxa"/>
            <w:vAlign w:val="bottom"/>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880" w:type="dxa"/>
            <w:vAlign w:val="bottom"/>
            <w:gridSpan w:val="4"/>
          </w:tcPr>
          <w:p>
            <w:pPr>
              <w:ind w:left="520"/>
              <w:spacing w:after="0"/>
              <w:rPr>
                <w:sz w:val="20"/>
                <w:szCs w:val="20"/>
                <w:color w:val="auto"/>
              </w:rPr>
            </w:pPr>
            <w:r>
              <w:rPr>
                <w:rFonts w:ascii="Arial" w:cs="Arial" w:eastAsia="Arial" w:hAnsi="Arial"/>
                <w:sz w:val="14"/>
                <w:szCs w:val="14"/>
                <w:b w:val="1"/>
                <w:bCs w:val="1"/>
                <w:color w:val="auto"/>
              </w:rPr>
              <w:t>Variance</w:t>
            </w:r>
          </w:p>
        </w:tc>
        <w:tc>
          <w:tcPr>
            <w:tcW w:w="2080" w:type="dxa"/>
            <w:vAlign w:val="bottom"/>
            <w:gridSpan w:val="3"/>
          </w:tcPr>
          <w:p>
            <w:pPr>
              <w:ind w:left="4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Variance</w:t>
            </w:r>
          </w:p>
        </w:tc>
      </w:tr>
      <w:tr>
        <w:trPr>
          <w:trHeight w:val="156"/>
        </w:trPr>
        <w:tc>
          <w:tcPr>
            <w:tcW w:w="2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Borders>
              <w:top w:val="single" w:sz="8" w:color="auto"/>
            </w:tcBorders>
            <w:gridSpan w:val="2"/>
          </w:tcPr>
          <w:p>
            <w:pPr>
              <w:ind w:left="120"/>
              <w:spacing w:after="0" w:line="156" w:lineRule="exact"/>
              <w:rPr>
                <w:sz w:val="20"/>
                <w:szCs w:val="20"/>
                <w:color w:val="auto"/>
              </w:rPr>
            </w:pPr>
            <w:r>
              <w:rPr>
                <w:rFonts w:ascii="Arial" w:cs="Arial" w:eastAsia="Arial" w:hAnsi="Arial"/>
                <w:sz w:val="14"/>
                <w:szCs w:val="14"/>
                <w:b w:val="1"/>
                <w:bCs w:val="1"/>
                <w:color w:val="auto"/>
              </w:rPr>
              <w:t>June 30,</w:t>
            </w:r>
          </w:p>
        </w:tc>
        <w:tc>
          <w:tcPr>
            <w:tcW w:w="78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ind w:left="180"/>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5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6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$ 680,328</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$ 749,324</w:t>
            </w: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(68,996)</w:t>
            </w: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 $ 1,349,410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$ 1,518,956</w:t>
            </w:r>
          </w:p>
        </w:tc>
        <w:tc>
          <w:tcPr>
            <w:tcW w:w="12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 (169,546)</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r>
      <w:tr>
        <w:trPr>
          <w:trHeight w:val="675"/>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25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right="240" w:firstLine="637"/>
        <w:spacing w:after="0" w:line="238" w:lineRule="auto"/>
        <w:rPr>
          <w:sz w:val="20"/>
          <w:szCs w:val="20"/>
          <w:color w:val="auto"/>
        </w:rPr>
      </w:pPr>
      <w:r>
        <w:rPr>
          <w:rFonts w:ascii="Arial" w:cs="Arial" w:eastAsia="Arial" w:hAnsi="Arial"/>
          <w:sz w:val="18"/>
          <w:szCs w:val="18"/>
          <w:color w:val="auto"/>
        </w:rPr>
        <w:t>Direct cost of contracts decreased $69.0 million for the three months ended June 30, 2021 when compared to the corresponding period last year, primarily due to decreases of $39.6 million in our Critical Infrastructure segment and $29.4 million in our Federal Solutions segment. The decrease in our Critical Infrastructure segment was primarily due to a decrease in business volume, particularly the winding down of several programs with high levels of pass-through costs. The decrease in our Federal Solutions segment was primarily due to a decrease in business volume.</w:t>
      </w:r>
    </w:p>
    <w:p>
      <w:pPr>
        <w:spacing w:after="0" w:line="202"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Direct cost of contracts decreased $169.5 million for the six months ended June 30, 2021 when compared to the corresponding period last year, primarily due to decreases of $111.2 million in our Critical Infrastructure segment and $58.3 million in our Federal Solutions segment. The decrease in our Critical Infrastructure segment was primarily due to a decrease in business volume, particularly the winding down of several programs with high levels of pass-through costs. The decrease in our Federal Solutions segment was primarily due to a decrease in business volume.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Variance</w:t>
            </w:r>
          </w:p>
        </w:tc>
        <w:tc>
          <w:tcPr>
            <w:tcW w:w="280" w:type="dxa"/>
            <w:vAlign w:val="bottom"/>
          </w:tcPr>
          <w:p>
            <w:pPr>
              <w:spacing w:after="0"/>
              <w:rPr>
                <w:sz w:val="15"/>
                <w:szCs w:val="15"/>
                <w:color w:val="auto"/>
              </w:rPr>
            </w:pPr>
          </w:p>
        </w:tc>
        <w:tc>
          <w:tcPr>
            <w:tcW w:w="17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660" w:type="dxa"/>
            <w:vAlign w:val="bottom"/>
          </w:tcPr>
          <w:p>
            <w:pPr>
              <w:spacing w:after="0"/>
              <w:rPr>
                <w:sz w:val="13"/>
                <w:szCs w:val="13"/>
                <w:color w:val="auto"/>
              </w:rPr>
            </w:pPr>
          </w:p>
        </w:tc>
        <w:tc>
          <w:tcPr>
            <w:tcW w:w="96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6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Dollar</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w:t>
            </w: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720" w:type="dxa"/>
            <w:vAlign w:val="bottom"/>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earnings of unconsolidated joint</w:t>
            </w: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36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ventures</w:t>
            </w:r>
          </w:p>
        </w:tc>
        <w:tc>
          <w:tcPr>
            <w:tcW w:w="78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rPr>
              <w:t>$  9,428</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3,769</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5,659</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150.1%</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$ 16,958</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9,883</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7,075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71.6%</w:t>
            </w:r>
          </w:p>
        </w:tc>
      </w:tr>
    </w:tbl>
    <w:p>
      <w:pPr>
        <w:spacing w:after="0" w:line="242" w:lineRule="exact"/>
        <w:rPr>
          <w:sz w:val="20"/>
          <w:szCs w:val="20"/>
          <w:color w:val="auto"/>
        </w:rPr>
      </w:pPr>
    </w:p>
    <w:p>
      <w:pPr>
        <w:ind w:right="220" w:firstLine="637"/>
        <w:spacing w:after="0" w:line="238" w:lineRule="auto"/>
        <w:rPr>
          <w:sz w:val="20"/>
          <w:szCs w:val="20"/>
          <w:color w:val="auto"/>
        </w:rPr>
      </w:pPr>
      <w:r>
        <w:rPr>
          <w:rFonts w:ascii="Arial" w:cs="Arial" w:eastAsia="Arial" w:hAnsi="Arial"/>
          <w:sz w:val="18"/>
          <w:szCs w:val="18"/>
          <w:color w:val="auto"/>
        </w:rPr>
        <w:t>Equity in earnings of unconsolidated joint ventures increased $5.7 million and $7.1 million for the three and six months ended June 30, 2021 compared to the corresponding periods last year, primarily related to new joint ventures, and increased activity and margins in certain existing joint ventures, partially offset by write-downs of $1.6 million and $5.1 million for the three and six months ended June 30, 2021, respectively, on an unconsolidated joint venture in the Critical Infrastructure segment and reductions in activity on others.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17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80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0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1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2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31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expenses</w:t>
            </w:r>
          </w:p>
        </w:tc>
        <w:tc>
          <w:tcPr>
            <w:tcW w:w="12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$ 188,238</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4"/>
              </w:rPr>
              <w:t>$ 187,640</w:t>
            </w:r>
          </w:p>
        </w:tc>
        <w:tc>
          <w:tcPr>
            <w:tcW w:w="3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598</w:t>
            </w:r>
          </w:p>
        </w:tc>
        <w:tc>
          <w:tcPr>
            <w:tcW w:w="18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0.3% $ 375,760</w:t>
            </w:r>
          </w:p>
        </w:tc>
        <w:tc>
          <w:tcPr>
            <w:tcW w:w="9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$ 371,414</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4,346</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1.2%</w:t>
            </w:r>
          </w:p>
        </w:tc>
      </w:tr>
    </w:tbl>
    <w:p>
      <w:pPr>
        <w:spacing w:after="0" w:line="242"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Selling, general and administrative expenses (“SG&amp;A”) for the three months ended June 30, 2021 and June 30, 2020 include $4.9 million and $ 12.9 million, respectively, and for the six months ended June 30, 2021 and June 30, 2020 include $11.9 million and $5.1 million, respectively, of compensation cost related to equity-based awards.</w:t>
      </w:r>
    </w:p>
    <w:p>
      <w:pPr>
        <w:spacing w:after="0" w:line="203"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Equity awards issued prior to the Company’s IPO were settled in cash and were remeasured to an updated fair value at each reporting period until the award was settled. Compensation cost was trued-up at each reporting period for changes in fair value pro-rated for the portion of the requisite service period rendered. Prior to the IPO on May 8, 2019, the fair value of a share of the Company’s common stock was established by the ESOP trustee. See “Note 19 – Fair Value of Financial Instruments” in the Company’s Form 10-K for the year ended December 31, 2020 for a further discussion of how a share of the Company’s common stock was valued prior to the IPO. Subsequent to the IPO, the share price of the Company’s common stock is based on quoted prices on the New York Stock Exchange.</w:t>
      </w:r>
    </w:p>
    <w:p>
      <w:pPr>
        <w:spacing w:after="0" w:line="205" w:lineRule="exact"/>
        <w:rPr>
          <w:sz w:val="20"/>
          <w:szCs w:val="20"/>
          <w:color w:val="auto"/>
        </w:rPr>
      </w:pPr>
    </w:p>
    <w:p>
      <w:pPr>
        <w:jc w:val="both"/>
        <w:ind w:right="580" w:firstLine="637"/>
        <w:spacing w:after="0"/>
        <w:rPr>
          <w:sz w:val="20"/>
          <w:szCs w:val="20"/>
          <w:color w:val="auto"/>
        </w:rPr>
      </w:pPr>
      <w:r>
        <w:rPr>
          <w:rFonts w:ascii="Arial" w:cs="Arial" w:eastAsia="Arial" w:hAnsi="Arial"/>
          <w:sz w:val="18"/>
          <w:szCs w:val="18"/>
          <w:color w:val="auto"/>
        </w:rPr>
        <w:t>Excluding the compensation costs discussed above, SG&amp;A for the three months ended June 30, 2021 and June 30, 2020 was $183.3 million and $174.8 million, respectively and for the six months ended June 30, 2021 and June 30, 2020 was $363.9 million and $366.3 million, respectively.</w:t>
      </w:r>
    </w:p>
    <w:p>
      <w:pPr>
        <w:spacing w:after="0" w:line="203"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The increase in SG&amp;A of $8.5 million, exclusive of equity compensation cost, for the three months ended June 30, 2021 when compared to the corresponding period last year was primarily due to a $6.3 million increase in transaction-related costs, a $5.4 million increase from acquisitions, and a $2.4 million increase in intangible asset amortization. These increases were partially offset by a $1.0 million decrease in restructuring costs and $4.6 million decrease in other costs.</w:t>
      </w:r>
    </w:p>
    <w:p>
      <w:pPr>
        <w:spacing w:after="0" w:line="205" w:lineRule="exact"/>
        <w:rPr>
          <w:sz w:val="20"/>
          <w:szCs w:val="20"/>
          <w:color w:val="auto"/>
        </w:rPr>
      </w:pPr>
    </w:p>
    <w:p>
      <w:pPr>
        <w:ind w:right="740" w:firstLine="637"/>
        <w:spacing w:after="0" w:line="246" w:lineRule="auto"/>
        <w:rPr>
          <w:sz w:val="20"/>
          <w:szCs w:val="20"/>
          <w:color w:val="auto"/>
        </w:rPr>
      </w:pPr>
      <w:r>
        <w:rPr>
          <w:rFonts w:ascii="Arial" w:cs="Arial" w:eastAsia="Arial" w:hAnsi="Arial"/>
          <w:sz w:val="18"/>
          <w:szCs w:val="18"/>
          <w:color w:val="auto"/>
        </w:rPr>
        <w:t>The decrease in SG&amp;A of $2.4 million, exclusive of equity compensation cost, for the six months ended June 30, 2021 when compared to the corresponding period last year was primarily due to a $3.3 million decrease in transaction-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7" w:name="page38"/>
    <w:bookmarkEnd w:id="37"/>
    <w:p>
      <w:pPr>
        <w:ind w:right="140"/>
        <w:spacing w:after="0" w:line="246" w:lineRule="auto"/>
        <w:rPr>
          <w:sz w:val="20"/>
          <w:szCs w:val="20"/>
          <w:color w:val="auto"/>
        </w:rPr>
      </w:pPr>
      <w:r>
        <w:rPr>
          <w:rFonts w:ascii="Arial" w:cs="Arial" w:eastAsia="Arial" w:hAnsi="Arial"/>
          <w:sz w:val="18"/>
          <w:szCs w:val="18"/>
          <w:color w:val="auto"/>
        </w:rPr>
        <w:t>related costs, a $1.0 million decrease in restructuring costs and $13.0 million decrease in other costs. These were partially offset by a $10.7 million increase from acquisitions and a $4.2 million increase in intangible asset amortization.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7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w:t>
            </w:r>
          </w:p>
        </w:tc>
      </w:tr>
      <w:tr>
        <w:trPr>
          <w:trHeight w:val="216"/>
        </w:trPr>
        <w:tc>
          <w:tcPr>
            <w:tcW w:w="27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(4,910)</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(751)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(9,451)</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(1,270)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r>
      <w:tr>
        <w:trPr>
          <w:trHeight w:val="216"/>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(1,649)</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-627.0%</w:t>
            </w:r>
          </w:p>
        </w:tc>
      </w:tr>
      <w:tr>
        <w:trPr>
          <w:trHeight w:val="20"/>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740" w:type="dxa"/>
            <w:vAlign w:val="bottom"/>
          </w:tcPr>
          <w:p>
            <w:pPr>
              <w:ind w:left="260"/>
              <w:spacing w:after="0"/>
              <w:rPr>
                <w:sz w:val="20"/>
                <w:szCs w:val="20"/>
                <w:color w:val="auto"/>
              </w:rPr>
            </w:pPr>
            <w:r>
              <w:rPr>
                <w:rFonts w:ascii="Arial" w:cs="Arial" w:eastAsia="Arial" w:hAnsi="Arial"/>
                <w:sz w:val="18"/>
                <w:szCs w:val="18"/>
                <w:color w:val="auto"/>
              </w:rPr>
              <w:t>Total other income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(4,353)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(3,248)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(1,105)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(10,587)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(7,494)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(3,093)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r>
      <w:tr>
        <w:trPr>
          <w:trHeight w:val="20"/>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80" w:firstLine="637"/>
        <w:spacing w:after="0"/>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and Convertible Senior Note. The amounts in other income (expense), net are primarily related to transaction gains and losses on foreign currency transactions and sublease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6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860" w:type="dxa"/>
            <w:vAlign w:val="bottom"/>
          </w:tcPr>
          <w:p>
            <w:pPr>
              <w:spacing w:after="0"/>
              <w:rPr>
                <w:sz w:val="13"/>
                <w:szCs w:val="13"/>
                <w:color w:val="auto"/>
              </w:rPr>
            </w:pPr>
          </w:p>
        </w:tc>
        <w:tc>
          <w:tcPr>
            <w:tcW w:w="9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7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0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3,838</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$ 11,891</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(8,053)</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-67.7% $</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$ 16,975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(7,762)</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-45.7%</w:t>
            </w:r>
          </w:p>
        </w:tc>
      </w:tr>
    </w:tbl>
    <w:p>
      <w:pPr>
        <w:spacing w:after="0" w:line="200" w:lineRule="exact"/>
        <w:rPr>
          <w:sz w:val="20"/>
          <w:szCs w:val="20"/>
          <w:color w:val="auto"/>
        </w:rPr>
      </w:pPr>
    </w:p>
    <w:p>
      <w:pPr>
        <w:spacing w:after="0" w:line="258" w:lineRule="exact"/>
        <w:rPr>
          <w:sz w:val="20"/>
          <w:szCs w:val="20"/>
          <w:color w:val="auto"/>
        </w:rPr>
      </w:pPr>
    </w:p>
    <w:p>
      <w:pPr>
        <w:ind w:right="20" w:firstLine="637"/>
        <w:spacing w:after="0" w:line="236" w:lineRule="auto"/>
        <w:rPr>
          <w:sz w:val="20"/>
          <w:szCs w:val="20"/>
          <w:color w:val="auto"/>
        </w:rPr>
      </w:pPr>
      <w:r>
        <w:rPr>
          <w:rFonts w:ascii="Arial" w:cs="Arial" w:eastAsia="Arial" w:hAnsi="Arial"/>
          <w:sz w:val="18"/>
          <w:szCs w:val="18"/>
          <w:color w:val="auto"/>
        </w:rPr>
        <w:t>The Company’s effective tax rate was 24.2% and 27.6% for the three months ended June 30, 2021 and 2020, respectively. The change in the effective tax rate was due primarily to an increase in untaxed income attributable to noncontrolling interests and a change in jurisdictional earnings. The Company’s effective tax rate for the six months ended June 30, 2021 and June 30, 2020 was 26.1% and 27.2%, respectively. The change in effective tax rate was due primarily to an increase in untaxed income attributed to noncontrolling interests and a change in jurisdictional earnings, partially offset by an increase in foreign tax losses which will not provide any tax benefit and a settlement of a state tax audit. The difference between the effective tax rate and the statutory U.S. Federal income tax rate of 21.0% for the three and six months ended June 30, 2021 primarily relates to state income taxes and a recorded valuation allowance on foreign tax credits, partially offset by benefits related to income attributable to noncontrolling interests and federal research tax credits.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680" w:firstLine="637"/>
        <w:spacing w:after="0" w:line="246"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8"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201"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50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380" w:type="dxa"/>
            <w:vAlign w:val="bottom"/>
            <w:gridSpan w:val="2"/>
            <w:shd w:val="clear" w:color="auto" w:fill="CFF0FC"/>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32,500</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6"/>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47,700</w:t>
            </w:r>
          </w:p>
        </w:tc>
        <w:tc>
          <w:tcPr>
            <w:tcW w:w="460" w:type="dxa"/>
            <w:vAlign w:val="bottom"/>
            <w:gridSpan w:val="2"/>
            <w:shd w:val="clear" w:color="auto" w:fill="CFF0FC"/>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64,482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6"/>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79,317</w:t>
            </w:r>
          </w:p>
        </w:tc>
        <w:tc>
          <w:tcPr>
            <w:tcW w:w="100" w:type="dxa"/>
            <w:vAlign w:val="bottom"/>
            <w:shd w:val="clear" w:color="auto" w:fill="CFF0FC"/>
          </w:tcPr>
          <w:p>
            <w:pPr>
              <w:spacing w:after="0"/>
              <w:rPr>
                <w:sz w:val="17"/>
                <w:szCs w:val="17"/>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Critical Infrastructure Adjusted EBITDA attributable to Parsons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080" w:type="dxa"/>
            <w:vAlign w:val="bottom"/>
          </w:tcPr>
          <w:p>
            <w:pPr>
              <w:spacing w:after="0" w:line="203" w:lineRule="exact"/>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27,817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35,519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59,474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62,876</w:t>
            </w:r>
          </w:p>
        </w:tc>
        <w:tc>
          <w:tcPr>
            <w:tcW w:w="100" w:type="dxa"/>
            <w:vAlign w:val="bottom"/>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5,410</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7,942</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10,470</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9,464</w:t>
            </w:r>
          </w:p>
        </w:tc>
        <w:tc>
          <w:tcPr>
            <w:tcW w:w="100" w:type="dxa"/>
            <w:vAlign w:val="bottom"/>
            <w:shd w:val="clear" w:color="auto" w:fill="CFF0FC"/>
          </w:tcPr>
          <w:p>
            <w:pPr>
              <w:spacing w:after="0"/>
              <w:rPr>
                <w:sz w:val="18"/>
                <w:szCs w:val="18"/>
                <w:color w:val="auto"/>
              </w:rPr>
            </w:pPr>
          </w:p>
        </w:tc>
      </w:tr>
      <w:tr>
        <w:trPr>
          <w:trHeight w:val="209"/>
        </w:trPr>
        <w:tc>
          <w:tcPr>
            <w:tcW w:w="508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65,727</w:t>
            </w:r>
          </w:p>
        </w:tc>
        <w:tc>
          <w:tcPr>
            <w:tcW w:w="20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91,161</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134,426</w:t>
            </w:r>
          </w:p>
        </w:tc>
        <w:tc>
          <w:tcPr>
            <w:tcW w:w="22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151,657</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Solutions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8"/>
                <w:szCs w:val="18"/>
                <w:color w:val="auto"/>
              </w:rPr>
            </w:pPr>
          </w:p>
        </w:tc>
        <w:tc>
          <w:tcPr>
            <w:tcW w:w="15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280" w:type="dxa"/>
            <w:vAlign w:val="bottom"/>
            <w:tcBorders>
              <w:right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8"/>
                <w:szCs w:val="18"/>
                <w:color w:val="auto"/>
              </w:rPr>
            </w:pPr>
          </w:p>
        </w:tc>
        <w:tc>
          <w:tcPr>
            <w:tcW w:w="15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8"/>
                <w:szCs w:val="18"/>
                <w:color w:val="auto"/>
              </w:rPr>
            </w:pPr>
          </w:p>
        </w:tc>
      </w:tr>
      <w:tr>
        <w:trPr>
          <w:trHeight w:val="156"/>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1"/>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01"/>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0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482,210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 (39,535)</w:t>
            </w: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894,744</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959,781</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 (65,037)</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Adjusted EBITDA attributable to Parsons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7"/>
        </w:trPr>
        <w:tc>
          <w:tcPr>
            <w:tcW w:w="3440" w:type="dxa"/>
            <w:vAlign w:val="bottom"/>
          </w:tcPr>
          <w:p>
            <w:pPr>
              <w:spacing w:after="0"/>
              <w:rPr>
                <w:sz w:val="20"/>
                <w:szCs w:val="20"/>
                <w:color w:val="auto"/>
              </w:rPr>
            </w:pPr>
            <w:r>
              <w:rPr>
                <w:rFonts w:ascii="Arial" w:cs="Arial" w:eastAsia="Arial" w:hAnsi="Arial"/>
                <w:sz w:val="18"/>
                <w:szCs w:val="18"/>
                <w:color w:val="auto"/>
              </w:rPr>
              <w:t>Corporation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32,500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47,700</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 (15,200)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64,482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79,317</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 (14,835)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r>
    </w:tbl>
    <w:p>
      <w:pPr>
        <w:spacing w:after="0" w:line="202" w:lineRule="exact"/>
        <w:rPr>
          <w:sz w:val="20"/>
          <w:szCs w:val="20"/>
          <w:color w:val="auto"/>
        </w:rPr>
      </w:pPr>
    </w:p>
    <w:p>
      <w:pPr>
        <w:jc w:val="both"/>
        <w:ind w:right="520" w:firstLine="637"/>
        <w:spacing w:after="0" w:line="238" w:lineRule="auto"/>
        <w:rPr>
          <w:sz w:val="20"/>
          <w:szCs w:val="20"/>
          <w:color w:val="auto"/>
        </w:rPr>
      </w:pPr>
      <w:r>
        <w:rPr>
          <w:rFonts w:ascii="Arial" w:cs="Arial" w:eastAsia="Arial" w:hAnsi="Arial"/>
          <w:sz w:val="18"/>
          <w:szCs w:val="18"/>
          <w:color w:val="auto"/>
        </w:rPr>
        <w:t>The decrease in Federal Solutions revenue for the three and six months ended June 30, 2021 compared to the corresponding periods last year was primarily due to a decrease in business volume from program completions and wind-downs, a reserve taken on a program, and the competitive hiring environment for cleared personnel. The decreases were partially offset by increases from business acquisition of $29.3 million and $60.3 million for the three and six months ended June 30, 2021, respectively.</w:t>
      </w:r>
    </w:p>
    <w:p>
      <w:pPr>
        <w:spacing w:after="0" w:line="205" w:lineRule="exact"/>
        <w:rPr>
          <w:sz w:val="20"/>
          <w:szCs w:val="20"/>
          <w:color w:val="auto"/>
        </w:rPr>
      </w:pPr>
    </w:p>
    <w:p>
      <w:pPr>
        <w:ind w:right="280" w:firstLine="644"/>
        <w:spacing w:after="0" w:line="238" w:lineRule="auto"/>
        <w:rPr>
          <w:sz w:val="20"/>
          <w:szCs w:val="20"/>
          <w:color w:val="auto"/>
        </w:rPr>
      </w:pPr>
      <w:r>
        <w:rPr>
          <w:rFonts w:ascii="Arial" w:cs="Arial" w:eastAsia="Arial" w:hAnsi="Arial"/>
          <w:sz w:val="18"/>
          <w:szCs w:val="18"/>
          <w:color w:val="auto"/>
        </w:rPr>
        <w:t>The decrease in Federal Solutions Adjusted EBITDA attributable to Parsons Corporation for the three and six months ended June 30, 2021 compared to the corresponding periods last year was primarily related to a $6.9 million net impact from a reserve taken on a program during the second quarter of 2021, compared to a $9.0 million incentive fee recognized during the second quarter of 2020 in addition to decline in business volume.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Variance</w:t>
            </w:r>
          </w:p>
        </w:tc>
        <w:tc>
          <w:tcPr>
            <w:tcW w:w="80" w:type="dxa"/>
            <w:vAlign w:val="bottom"/>
            <w:tcBorders>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Variance</w:t>
            </w:r>
          </w:p>
        </w:tc>
      </w:tr>
      <w:tr>
        <w:trPr>
          <w:trHeight w:val="156"/>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59"/>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3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436,681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497,249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(60,568)</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859,309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990,671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(131,362)</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Adjusted EBITDA attributable to Parsons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Corporation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27,817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(7,702)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59,474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62,876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(3,402)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419"/>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3"/>
          </w:tcPr>
          <w:p>
            <w:pPr>
              <w:jc w:val="right"/>
              <w:ind w:right="439"/>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3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jc w:val="both"/>
        <w:ind w:right="340" w:firstLine="637"/>
        <w:spacing w:after="0"/>
        <w:rPr>
          <w:sz w:val="20"/>
          <w:szCs w:val="20"/>
          <w:color w:val="auto"/>
        </w:rPr>
      </w:pPr>
      <w:r>
        <w:rPr>
          <w:rFonts w:ascii="Arial" w:cs="Arial" w:eastAsia="Arial" w:hAnsi="Arial"/>
          <w:sz w:val="18"/>
          <w:szCs w:val="18"/>
          <w:color w:val="auto"/>
        </w:rPr>
        <w:t>The decrease in Critical Infrastructure revenue for the three and six months ended June 30, 2021 compared to the corresponding periods last year was primarily due to a decrease in business volume from program completions and a write down on a project during the second quarter of 2021.</w:t>
      </w:r>
    </w:p>
    <w:p>
      <w:pPr>
        <w:spacing w:after="0" w:line="203" w:lineRule="exact"/>
        <w:rPr>
          <w:sz w:val="20"/>
          <w:szCs w:val="20"/>
          <w:color w:val="auto"/>
        </w:rPr>
      </w:pPr>
    </w:p>
    <w:p>
      <w:pPr>
        <w:ind w:right="280" w:firstLine="637"/>
        <w:spacing w:after="0"/>
        <w:rPr>
          <w:sz w:val="20"/>
          <w:szCs w:val="20"/>
          <w:color w:val="auto"/>
        </w:rPr>
      </w:pPr>
      <w:r>
        <w:rPr>
          <w:rFonts w:ascii="Arial" w:cs="Arial" w:eastAsia="Arial" w:hAnsi="Arial"/>
          <w:sz w:val="18"/>
          <w:szCs w:val="18"/>
          <w:color w:val="auto"/>
        </w:rPr>
        <w:t>The decrease in Adjusted EBITDA attributable to Parsons Corporation in Critical Infrastructure for the three and six months ended June 30, 2021 was primarily related to a $15.4 million write down on a project, partially offset by an increase in equity in earnings of unconsolidated joint ventures.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180" w:firstLine="637"/>
        <w:spacing w:after="0" w:line="246" w:lineRule="auto"/>
        <w:rPr>
          <w:sz w:val="20"/>
          <w:szCs w:val="20"/>
          <w:color w:val="auto"/>
        </w:rPr>
      </w:pPr>
      <w:r>
        <w:rPr>
          <w:rFonts w:ascii="Arial" w:cs="Arial" w:eastAsia="Arial" w:hAnsi="Arial"/>
          <w:sz w:val="18"/>
          <w:szCs w:val="18"/>
          <w:color w:val="auto"/>
        </w:rPr>
        <w:t>We finance our operations and capital expenditures through a combination of internally generated cash from operations, our Senior Notes, Convertible Senior Notes, and periodic borrowings under our Revolving Credit Facility.</w:t>
      </w:r>
    </w:p>
    <w:p>
      <w:pPr>
        <w:spacing w:after="0" w:line="197"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205" w:lineRule="exact"/>
        <w:rPr>
          <w:sz w:val="20"/>
          <w:szCs w:val="20"/>
          <w:color w:val="auto"/>
        </w:rPr>
      </w:pPr>
    </w:p>
    <w:p>
      <w:pPr>
        <w:jc w:val="both"/>
        <w:ind w:right="220" w:firstLine="637"/>
        <w:spacing w:after="0" w:line="238" w:lineRule="auto"/>
        <w:rPr>
          <w:sz w:val="20"/>
          <w:szCs w:val="20"/>
          <w:color w:val="auto"/>
        </w:rPr>
      </w:pPr>
      <w:r>
        <w:rPr>
          <w:rFonts w:ascii="Arial" w:cs="Arial" w:eastAsia="Arial" w:hAnsi="Arial"/>
          <w:sz w:val="18"/>
          <w:szCs w:val="18"/>
          <w:color w:val="auto"/>
        </w:rPr>
        <w:t>As of June 30, 2021,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We do not anticipate that the COVID-19 pandemic-related economic impacts will impair our ability to continue to maintain compliance with our debt covenants or access available borrowing capacity from our banks.</w:t>
      </w:r>
    </w:p>
    <w:p>
      <w:pPr>
        <w:spacing w:after="0" w:line="202" w:lineRule="exact"/>
        <w:rPr>
          <w:sz w:val="20"/>
          <w:szCs w:val="20"/>
          <w:color w:val="auto"/>
        </w:rPr>
      </w:pPr>
    </w:p>
    <w:p>
      <w:pPr>
        <w:ind w:right="120" w:firstLine="637"/>
        <w:spacing w:after="0" w:line="246" w:lineRule="auto"/>
        <w:rPr>
          <w:sz w:val="20"/>
          <w:szCs w:val="20"/>
          <w:color w:val="auto"/>
        </w:rPr>
      </w:pPr>
      <w:r>
        <w:rPr>
          <w:rFonts w:ascii="Arial" w:cs="Arial" w:eastAsia="Arial" w:hAnsi="Arial"/>
          <w:sz w:val="18"/>
          <w:szCs w:val="18"/>
          <w:color w:val="auto"/>
        </w:rPr>
        <w:t>During July 2021, we paid the $ 50 million Series A tranche of our Senior Note which had a scheduled maturity of July 15, 2021. See “Note 10—Debt and Credit Facilities” in the notes to the consolidated financial statements in this Form 10-Q for further information.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203"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68 days at June 30, 2021 and 69 days at June 30, 2020. The decrease in DSO was primarily due to strong cash collections during the second quarter of 2021. Our working capital (current assets less current liabilities) was $717.0 million at June 30, 2021 and $655.7 million at December 31, 2020.</w:t>
      </w:r>
    </w:p>
    <w:p>
      <w:pPr>
        <w:spacing w:after="0" w:line="208"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Our cash, cash equivalents and restricted cash decreased by $2.6 million to $484.6 million at June 30, 2021 from $487.2 million at December 31,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0" w:name="page41"/>
    <w:bookmarkEnd w:id="40"/>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5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38,463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(31,444)</w:t>
            </w: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(19,842)</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(25,822)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(22,259)</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(641)</w:t>
            </w:r>
          </w:p>
        </w:tc>
      </w:tr>
      <w:tr>
        <w:trPr>
          <w:trHeight w:val="20"/>
        </w:trPr>
        <w:tc>
          <w:tcPr>
            <w:tcW w:w="5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(2,627)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(58,754)</w:t>
            </w:r>
          </w:p>
        </w:tc>
      </w:tr>
      <w:tr>
        <w:trPr>
          <w:trHeight w:val="20"/>
        </w:trPr>
        <w:tc>
          <w:tcPr>
            <w:tcW w:w="5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Net cash provided by (used in) operating activities consists primarily of net income adjusted for noncash items, such as: equity in earnings (loss)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97"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Net cash provided by operating activities increased $69.9 million for the six months ended June 30, 2021 compared to the six months ended June 30, 2020. The change in net cash from operating activities is attributable to a $71.6 million increase in cash inflows from our working capital accounts (primarily from accounts receivable and contract liabilities offset by accrued expenses, accounts payable and contract assets) and a $17.6 million change in other long-term liabilities, partially offset by a $19.4 million decrease in net income after adjusting for non-cash items.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right="20" w:firstLine="637"/>
        <w:spacing w:after="0" w:line="246"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97" w:lineRule="exact"/>
        <w:rPr>
          <w:sz w:val="20"/>
          <w:szCs w:val="20"/>
          <w:color w:val="auto"/>
        </w:rPr>
      </w:pPr>
    </w:p>
    <w:p>
      <w:pPr>
        <w:ind w:right="200" w:firstLine="637"/>
        <w:spacing w:after="0" w:line="238" w:lineRule="auto"/>
        <w:rPr>
          <w:sz w:val="20"/>
          <w:szCs w:val="20"/>
          <w:color w:val="auto"/>
        </w:rPr>
      </w:pPr>
      <w:r>
        <w:rPr>
          <w:rFonts w:ascii="Arial" w:cs="Arial" w:eastAsia="Arial" w:hAnsi="Arial"/>
          <w:sz w:val="18"/>
          <w:szCs w:val="18"/>
          <w:color w:val="auto"/>
        </w:rPr>
        <w:t>Net cash used in investing activities decreased $6.0 million for the six months ended June 30, 2021, when compared to the six months ended June 30, 2020, primarily due to proceeds from sale of investments in unconsolidated joint ventures of $14.3 million and a decrease in cash used for capital expenditures of $13.8 million, partially offset by increased investments in unconsolidated joint ventures of $22.5 million. The Company had no business acquisitions during the six months ended June 30, 2021 and June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and distributions to noncontrolling interests.</w:t>
      </w:r>
    </w:p>
    <w:p>
      <w:pPr>
        <w:spacing w:after="0" w:line="197" w:lineRule="exact"/>
        <w:rPr>
          <w:sz w:val="20"/>
          <w:szCs w:val="20"/>
          <w:color w:val="auto"/>
        </w:rPr>
      </w:pPr>
    </w:p>
    <w:p>
      <w:pPr>
        <w:jc w:val="both"/>
        <w:ind w:right="360" w:firstLine="637"/>
        <w:spacing w:after="0" w:line="246" w:lineRule="auto"/>
        <w:rPr>
          <w:sz w:val="20"/>
          <w:szCs w:val="20"/>
          <w:color w:val="auto"/>
        </w:rPr>
      </w:pPr>
      <w:r>
        <w:rPr>
          <w:rFonts w:ascii="Arial" w:cs="Arial" w:eastAsia="Arial" w:hAnsi="Arial"/>
          <w:sz w:val="18"/>
          <w:szCs w:val="18"/>
          <w:color w:val="auto"/>
        </w:rPr>
        <w:t>Net cash used in financing activities increased $21.4 million for the six months ended June 30, 2021 compared to the six months ended June 30, 2020. The change in cash flows from financing activities is primarily due to larger distributions to noncontrolling interests.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$219.2 million as of June 30, 2021. Letters of credit outstanding under the Credit Agreement total $45.0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right="1320" w:firstLine="637"/>
        <w:spacing w:after="0" w:line="246"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380" w:firstLine="637"/>
        <w:spacing w:after="0"/>
        <w:rPr>
          <w:sz w:val="20"/>
          <w:szCs w:val="20"/>
          <w:color w:val="auto"/>
        </w:rPr>
      </w:pPr>
      <w:r>
        <w:rPr>
          <w:rFonts w:ascii="Arial" w:cs="Arial" w:eastAsia="Arial" w:hAnsi="Arial"/>
          <w:sz w:val="18"/>
          <w:szCs w:val="18"/>
          <w:color w:val="auto"/>
        </w:rPr>
        <w:t>As of June 30, 2021,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We are exposed to interest rate risks related to the Company’s Revolving Credit Facility. As of June 30, 2021, there were no amounts outstanding under the Revolving Credit Facility. Borrowings under the new Credit Facility effective June 2021 bear interest at either a eurocurrency rate plus a margin between 1.0% and 1.625%, or a base rate (as defined in the Credit Agreement) plus a margin of between</w:t>
      </w:r>
    </w:p>
    <w:p>
      <w:pPr>
        <w:spacing w:after="0" w:line="14"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0% and 0.625%, both based on the leverage ratio of the Company at the end of each quarter. Prior to June 2021, interest on borrowings under the Credit Facility were at either the base rate (as defined in the Credit Agreement), plus an applicable margin, or LIBOR plus an applicable margin. The applicable margin for base rate loans was a range of 0.125% to 1.00% and the applicable margin for LIBOR loans was a range of 1.125% to 2.00%, both based on the leverage ratio of the Company at the end of each quarter. The rates on June 30, 2021 and December 31, 2020 were 1.34% and 1.87%,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Our management carried out, as of June 30, 2021,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June 30, 2021,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700" w:firstLine="637"/>
        <w:spacing w:after="0" w:line="246" w:lineRule="auto"/>
        <w:rPr>
          <w:sz w:val="20"/>
          <w:szCs w:val="20"/>
          <w:color w:val="auto"/>
        </w:rPr>
      </w:pPr>
      <w:r>
        <w:rPr>
          <w:rFonts w:ascii="Arial" w:cs="Arial" w:eastAsia="Arial" w:hAnsi="Arial"/>
          <w:sz w:val="18"/>
          <w:szCs w:val="18"/>
          <w:color w:val="auto"/>
        </w:rPr>
        <w:t>During the second quarter of 2021, there were no changes to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460" w:firstLine="637"/>
        <w:spacing w:after="0" w:line="246"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69" w:lineRule="exact"/>
        <w:rPr>
          <w:sz w:val="20"/>
          <w:szCs w:val="20"/>
          <w:color w:val="auto"/>
        </w:rPr>
      </w:pPr>
    </w:p>
    <w:p>
      <w:pPr>
        <w:ind w:right="240" w:firstLine="637"/>
        <w:spacing w:after="0"/>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2020 other than as set forth below. See also our updates for the COVID-19 pandemic included in Management’s Discussion and Analysis of Financial Condition and Results of Operations of this Form 10-Q.</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materially increase our provision for income taxes.</w:t>
      </w:r>
    </w:p>
    <w:p>
      <w:pPr>
        <w:spacing w:after="0" w:line="261" w:lineRule="exact"/>
        <w:rPr>
          <w:sz w:val="20"/>
          <w:szCs w:val="20"/>
          <w:color w:val="auto"/>
        </w:rPr>
      </w:pPr>
    </w:p>
    <w:p>
      <w:pPr>
        <w:ind w:right="120" w:firstLine="637"/>
        <w:spacing w:after="0" w:line="238" w:lineRule="auto"/>
        <w:rPr>
          <w:sz w:val="20"/>
          <w:szCs w:val="20"/>
          <w:color w:val="auto"/>
        </w:rPr>
      </w:pPr>
      <w:r>
        <w:rPr>
          <w:rFonts w:ascii="Arial" w:cs="Arial" w:eastAsia="Arial" w:hAnsi="Arial"/>
          <w:sz w:val="18"/>
          <w:szCs w:val="18"/>
          <w:color w:val="auto"/>
        </w:rPr>
        <w:t>In 2021, President Joseph R. Biden, released the Made in America Tax Plan that proposed several significant modifications to key provisions, as well as introduced new provisions, to the U.S. internal revenue code. Although it is uncertain if some or all of the identified provisions will be enacted, a change in U.S. tax law may materially and adversely impact our income tax liability, provision for income taxes, and effective tax rate.</w:t>
      </w:r>
    </w:p>
    <w:p>
      <w:pPr>
        <w:spacing w:after="0" w:line="18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stock price can be adversely affected by pandemics, epidemics or other public health emergencies, such as the recent outbreak of COVID-19.</w:t>
      </w:r>
    </w:p>
    <w:p>
      <w:pPr>
        <w:spacing w:after="0" w:line="68"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recent outbreak of COVID-19 which has spread from China to many other countries including the United States. In March 2020, the World Health Organization characterized COVID-19 as a pandemic, and the President of the United States declared the COVID-19 outbreak a national emergency. The outbreak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95"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Although we have continued our operations consistent with federal guidelines and state and local orders, the outbreak of COVID-19 and any preventive or protective actions taken by governmental authorities may have a material adverse effect on our operations, employees and customers, including business shutdowns or disruptions. The extent to which COVID-19 may adversely impact our business depends on future developments, which are highly uncertain and unpredictable, depending upon the severity and duration of the outbreak and the effectiveness of actions taken globally to contain or mitigate its effects. Any resulting financial impact cannot be estimated reasonably at this time but may materially adversely affect our ability to collect accounts receivables and our business, results of operations, financial condition and cash flows. Even after the COVID-19 pandemic has subsided, we may experience materially adverse impacts to our business due to any resulting economic recession or depression. Additionally, concerns over the economic impact of COVID-19 have caused extreme volatility in financial and other capital markets which has and may continue to adversely impact our stock price and our ability to access capital markets. To the extent the COVID-19 pandemic adversely affects our business and financial results, it may also have the effect of heightening many of the other risks described in our Form 10-K for the year ended December 31, 2020, such as those relating to government spending and priorities.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gridSpan w:val="5"/>
          </w:tcPr>
          <w:p>
            <w:pPr>
              <w:ind w:left="246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Certification of Principal Executive Officer Pursuant to Rules 13a-14(a) and 15d-14(a) under the Securities Exchange Act of 1934,</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102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Certification of Principal Financial Officer Pursuant to Rules 13a-14(a) and 15d-14(a) under the Securities Exchange Act of 1934,</w:t>
              </w:r>
            </w:hyperlink>
          </w:p>
        </w:tc>
        <w:tc>
          <w:tcPr>
            <w:tcW w:w="60" w:type="dxa"/>
            <w:vAlign w:val="bottom"/>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96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Certification of Principal Executive Officer Pursuant to 18 U.S.C. Section 1350, as Adopted Pursuant to Section 906 of the</w:t>
              </w:r>
            </w:hyperlink>
          </w:p>
        </w:tc>
        <w:tc>
          <w:tcPr>
            <w:tcW w:w="620" w:type="dxa"/>
            <w:vAlign w:val="bottom"/>
            <w:gridSpan w:val="2"/>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680" w:type="dxa"/>
            <w:vAlign w:val="bottom"/>
            <w:gridSpan w:val="3"/>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bl>
    <w:p>
      <w:pPr>
        <w:spacing w:after="0" w:line="134" w:lineRule="exact"/>
        <w:rPr>
          <w:sz w:val="20"/>
          <w:szCs w:val="20"/>
          <w:color w:val="auto"/>
        </w:rPr>
      </w:pPr>
    </w:p>
    <w:p>
      <w:pPr>
        <w:ind w:left="940" w:right="40" w:hanging="932"/>
        <w:spacing w:after="0" w:line="257" w:lineRule="auto"/>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June 30, 2021,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94" w:lineRule="exact"/>
        <w:rPr>
          <w:sz w:val="20"/>
          <w:szCs w:val="20"/>
          <w:color w:val="auto"/>
        </w:rPr>
      </w:pPr>
    </w:p>
    <w:p>
      <w:pPr>
        <w:ind w:left="940" w:right="80" w:hanging="932"/>
        <w:spacing w:after="0" w:line="246"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804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-1905</wp:posOffset>
            </wp:positionV>
            <wp:extent cx="31629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5"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George L. Ball</w:t>
      </w: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320" w:top="549" w:right="5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1" w:lineRule="exact"/>
        <w:rPr>
          <w:rFonts w:ascii="Arial" w:cs="Arial" w:eastAsia="Arial" w:hAnsi="Arial"/>
          <w:sz w:val="18"/>
          <w:szCs w:val="18"/>
          <w:color w:val="auto"/>
        </w:rPr>
      </w:pPr>
    </w:p>
    <w:p>
      <w:pPr>
        <w:ind w:left="1040" w:right="28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1" w:lineRule="exact"/>
        <w:rPr>
          <w:rFonts w:ascii="Arial" w:cs="Arial" w:eastAsia="Arial" w:hAnsi="Arial"/>
          <w:sz w:val="18"/>
          <w:szCs w:val="18"/>
          <w:color w:val="auto"/>
        </w:rPr>
      </w:pPr>
    </w:p>
    <w:p>
      <w:pPr>
        <w:ind w:left="1040" w:right="26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1"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1" w:lineRule="exact"/>
        <w:rPr>
          <w:rFonts w:ascii="Arial" w:cs="Arial" w:eastAsia="Arial" w:hAnsi="Arial"/>
          <w:sz w:val="18"/>
          <w:szCs w:val="18"/>
          <w:color w:val="auto"/>
        </w:rPr>
      </w:pPr>
    </w:p>
    <w:p>
      <w:pPr>
        <w:ind w:left="1040" w:right="2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1" w:lineRule="exact"/>
        <w:rPr>
          <w:rFonts w:ascii="Arial" w:cs="Arial" w:eastAsia="Arial" w:hAnsi="Arial"/>
          <w:sz w:val="18"/>
          <w:szCs w:val="18"/>
          <w:color w:val="auto"/>
        </w:rPr>
      </w:pPr>
    </w:p>
    <w:p>
      <w:pPr>
        <w:ind w:left="520" w:right="26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42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1040" w:right="280" w:hanging="519"/>
        <w:spacing w:after="0"/>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40" w:right="260" w:hanging="519"/>
        <w:spacing w:after="0"/>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20" w:hanging="519"/>
        <w:spacing w:after="0"/>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20" w:firstLine="526"/>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2021 as filed with the Securities and Exchange Commission on the date hereof (the “Report”), I, Carey A. Smith, Chief Executive Officer of the Company, certify, pursuant to 18 U.S.C. § 1350, as adopted pursuant to § 906 of the Sarbanes-Oxley Act of 2002, that:</w:t>
      </w:r>
    </w:p>
    <w:p>
      <w:pPr>
        <w:spacing w:after="0" w:line="203"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4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812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Carey A. Smith</w:t>
      </w:r>
    </w:p>
    <w:p>
      <w:pPr>
        <w:jc w:val="center"/>
        <w:ind w:left="64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80" w:firstLine="526"/>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2021 as filed with the Securities and Exchange Commission on the date hereof (the “Report”), I, George L. Ball, Chief Financial Officer of the Company, certify, pursuant to 18 U.S.C. § 1350, as adopted pursuant to § 906 of the Sarbanes-Oxley Act of 2002, that:</w:t>
      </w:r>
    </w:p>
    <w:p>
      <w:pPr>
        <w:spacing w:after="0" w:line="203"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4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816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George L. Ball</w:t>
      </w: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00" w:firstLine="51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Letter"/>
      <w:start w:val="4"/>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0"/>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2"/>
    </w:lvl>
  </w:abstractNum>
  <w:abstractNum w:abstractNumId="17">
    <w:nsid w:val="2901D82"/>
    <w:multiLevelType w:val="hybridMultilevel"/>
    <w:lvl w:ilvl="0">
      <w:lvlJc w:val="left"/>
      <w:lvlText w:val="%1."/>
      <w:numFmt w:val="decimal"/>
      <w:start w:val="13"/>
    </w:lvl>
  </w:abstractNum>
  <w:abstractNum w:abstractNumId="18">
    <w:nsid w:val="3A95F874"/>
    <w:multiLevelType w:val="hybridMultilevel"/>
    <w:lvl w:ilvl="0">
      <w:lvlJc w:val="left"/>
      <w:lvlText w:val="%1."/>
      <w:numFmt w:val="decimal"/>
      <w:start w:val="14"/>
    </w:lvl>
  </w:abstractNum>
  <w:abstractNum w:abstractNumId="19">
    <w:nsid w:val="8138641"/>
    <w:multiLevelType w:val="hybridMultilevel"/>
    <w:lvl w:ilvl="0">
      <w:lvlJc w:val="left"/>
      <w:lvlText w:val="%1."/>
      <w:numFmt w:val="decimal"/>
      <w:start w:val="15"/>
    </w:lvl>
  </w:abstractNum>
  <w:abstractNum w:abstractNumId="20">
    <w:nsid w:val="1E7FF521"/>
    <w:multiLevelType w:val="hybridMultilevel"/>
    <w:lvl w:ilvl="0">
      <w:lvlJc w:val="left"/>
      <w:lvlText w:val="%1."/>
      <w:numFmt w:val="decimal"/>
      <w:start w:val="16"/>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7"/>
    </w:lvl>
  </w:abstractNum>
  <w:abstractNum w:abstractNumId="23">
    <w:nsid w:val="6CEAF087"/>
    <w:multiLevelType w:val="hybridMultilevel"/>
    <w:lvl w:ilvl="0">
      <w:lvlJc w:val="left"/>
      <w:lvlText w:val="%1."/>
      <w:numFmt w:val="decimal"/>
      <w:start w:val="6"/>
    </w:lvl>
  </w:abstractNum>
  <w:abstractNum w:abstractNumId="24">
    <w:nsid w:val="22221A70"/>
    <w:multiLevelType w:val="hybridMultilevel"/>
    <w:lvl w:ilvl="0">
      <w:lvlJc w:val="left"/>
      <w:lvlText w:val="%1."/>
      <w:numFmt w:val="decimal"/>
      <w:start w:val="18"/>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decimal"/>
      <w:start w:val="19"/>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decimal"/>
      <w:start w:val="101"/>
    </w:lvl>
  </w:abstractNum>
  <w:abstractNum w:abstractNumId="34">
    <w:nsid w:val="7724C67E"/>
    <w:multiLevelType w:val="hybridMultilevel"/>
    <w:lvl w:ilvl="0">
      <w:lvlJc w:val="left"/>
      <w:lvlText w:val="%1"/>
      <w:numFmt w:val="decimal"/>
      <w:start w:val="104"/>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2021-08-04T07:49:47Z</dcterms:created>
  <dcterms:modified xsi:type="dcterms:W3CDTF">2021-08-04T07:49:47Z</dcterms:modified>
</cp:coreProperties>
</file>