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372110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66675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93345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9" w:lineRule="exact"/>
        <w:rPr>
          <w:sz w:val="24"/>
          <w:szCs w:val="24"/>
          <w:color w:val="auto"/>
        </w:rPr>
      </w:pPr>
    </w:p>
    <w:p>
      <w:pPr>
        <w:ind w:left="1860" w:hanging="788"/>
        <w:spacing w:after="0"/>
        <w:tabs>
          <w:tab w:leader="none" w:pos="186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689610</wp:posOffset>
            </wp:positionH>
            <wp:positionV relativeFrom="paragraph">
              <wp:posOffset>-99695</wp:posOffset>
            </wp:positionV>
            <wp:extent cx="78105" cy="793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8105" cy="79375"/>
                    </a:xfrm>
                    <a:prstGeom prst="rect">
                      <a:avLst/>
                    </a:prstGeom>
                    <a:noFill/>
                  </pic:spPr>
                </pic:pic>
              </a:graphicData>
            </a:graphic>
          </wp:anchor>
        </w:drawing>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quarterly period ended September 30, 2020</w:t>
      </w:r>
    </w:p>
    <w:p>
      <w:pPr>
        <w:spacing w:after="0" w:line="7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86" w:lineRule="exact"/>
        <w:rPr>
          <w:sz w:val="24"/>
          <w:szCs w:val="24"/>
          <w:color w:val="auto"/>
        </w:rPr>
      </w:pPr>
    </w:p>
    <w:p>
      <w:pPr>
        <w:ind w:left="1860" w:hanging="787"/>
        <w:spacing w:after="0"/>
        <w:tabs>
          <w:tab w:leader="none" w:pos="186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690880</wp:posOffset>
            </wp:positionH>
            <wp:positionV relativeFrom="paragraph">
              <wp:posOffset>-88265</wp:posOffset>
            </wp:positionV>
            <wp:extent cx="78105" cy="793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8105" cy="79375"/>
                    </a:xfrm>
                    <a:prstGeom prst="rect">
                      <a:avLst/>
                    </a:prstGeom>
                    <a:noFill/>
                  </pic:spPr>
                </pic:pic>
              </a:graphicData>
            </a:graphic>
          </wp:anchor>
        </w:drawing>
      </w:r>
    </w:p>
    <w:p>
      <w:pPr>
        <w:spacing w:after="0" w:line="61" w:lineRule="exact"/>
        <w:rPr>
          <w:sz w:val="24"/>
          <w:szCs w:val="24"/>
          <w:color w:val="auto"/>
        </w:rPr>
      </w:pPr>
    </w:p>
    <w:p>
      <w:pPr>
        <w:jc w:val="center"/>
        <w:spacing w:after="0"/>
        <w:tabs>
          <w:tab w:leader="none" w:pos="220" w:val="left"/>
        </w:tabs>
        <w:rPr>
          <w:sz w:val="20"/>
          <w:szCs w:val="20"/>
          <w:color w:val="auto"/>
        </w:rPr>
      </w:pPr>
      <w:r>
        <w:rPr>
          <w:rFonts w:ascii="Arial" w:cs="Arial" w:eastAsia="Arial" w:hAnsi="Arial"/>
          <w:sz w:val="18"/>
          <w:szCs w:val="18"/>
          <w:b w:val="1"/>
          <w:bCs w:val="1"/>
          <w:color w:val="auto"/>
        </w:rPr>
        <w:t>For the transition period from</w:t>
        <w:tab/>
        <w:t>to</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001-07782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2405380</wp:posOffset>
            </wp:positionH>
            <wp:positionV relativeFrom="paragraph">
              <wp:posOffset>81280</wp:posOffset>
            </wp:positionV>
            <wp:extent cx="2331720" cy="5314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31720" cy="5314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Parsons Corporation</w:t>
      </w:r>
    </w:p>
    <w:p>
      <w:pPr>
        <w:spacing w:after="0" w:line="6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66040</wp:posOffset>
            </wp:positionV>
            <wp:extent cx="14230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4" w:lineRule="exact"/>
        <w:rPr>
          <w:sz w:val="24"/>
          <w:szCs w:val="24"/>
          <w:color w:val="auto"/>
        </w:rPr>
      </w:pPr>
    </w:p>
    <w:tbl>
      <w:tblPr>
        <w:tblLayout w:type="fixed"/>
        <w:tblInd w:w="1480" w:type="dxa"/>
        <w:tblCellMar>
          <w:top w:w="0" w:type="dxa"/>
          <w:left w:w="0" w:type="dxa"/>
          <w:bottom w:w="0" w:type="dxa"/>
          <w:right w:w="0" w:type="dxa"/>
        </w:tblCellMar>
      </w:tblPr>
      <w:tr>
        <w:trPr>
          <w:trHeight w:val="212"/>
        </w:trPr>
        <w:tc>
          <w:tcPr>
            <w:tcW w:w="4520" w:type="dxa"/>
            <w:vAlign w:val="bottom"/>
          </w:tcPr>
          <w:p>
            <w:pPr>
              <w:jc w:val="center"/>
              <w:ind w:right="1759"/>
              <w:spacing w:after="0"/>
              <w:rPr>
                <w:sz w:val="20"/>
                <w:szCs w:val="20"/>
                <w:color w:val="auto"/>
              </w:rPr>
            </w:pPr>
            <w:r>
              <w:rPr>
                <w:rFonts w:ascii="Arial" w:cs="Arial" w:eastAsia="Arial" w:hAnsi="Arial"/>
                <w:sz w:val="18"/>
                <w:szCs w:val="18"/>
                <w:b w:val="1"/>
                <w:bCs w:val="1"/>
                <w:color w:val="auto"/>
              </w:rPr>
              <w:t>Delaware</w:t>
            </w:r>
          </w:p>
        </w:tc>
        <w:tc>
          <w:tcPr>
            <w:tcW w:w="3040" w:type="dxa"/>
            <w:vAlign w:val="bottom"/>
          </w:tcPr>
          <w:p>
            <w:pPr>
              <w:jc w:val="right"/>
              <w:ind w:right="41"/>
              <w:spacing w:after="0"/>
              <w:rPr>
                <w:sz w:val="20"/>
                <w:szCs w:val="20"/>
                <w:color w:val="auto"/>
              </w:rPr>
            </w:pPr>
            <w:r>
              <w:rPr>
                <w:rFonts w:ascii="Arial" w:cs="Arial" w:eastAsia="Arial" w:hAnsi="Arial"/>
                <w:sz w:val="18"/>
                <w:szCs w:val="18"/>
                <w:b w:val="1"/>
                <w:bCs w:val="1"/>
                <w:color w:val="auto"/>
              </w:rPr>
              <w:t>95-3232481</w:t>
            </w:r>
          </w:p>
        </w:tc>
      </w:tr>
      <w:tr>
        <w:trPr>
          <w:trHeight w:val="162"/>
        </w:trPr>
        <w:tc>
          <w:tcPr>
            <w:tcW w:w="4520" w:type="dxa"/>
            <w:vAlign w:val="bottom"/>
          </w:tcPr>
          <w:p>
            <w:pPr>
              <w:jc w:val="center"/>
              <w:ind w:right="1779"/>
              <w:spacing w:after="0"/>
              <w:rPr>
                <w:sz w:val="20"/>
                <w:szCs w:val="20"/>
                <w:color w:val="auto"/>
              </w:rPr>
            </w:pPr>
            <w:r>
              <w:rPr>
                <w:rFonts w:ascii="Arial" w:cs="Arial" w:eastAsia="Arial" w:hAnsi="Arial"/>
                <w:sz w:val="14"/>
                <w:szCs w:val="14"/>
                <w:b w:val="1"/>
                <w:bCs w:val="1"/>
                <w:color w:val="auto"/>
              </w:rPr>
              <w:t>(State or other jurisdiction of</w:t>
            </w:r>
          </w:p>
        </w:tc>
        <w:tc>
          <w:tcPr>
            <w:tcW w:w="3040" w:type="dxa"/>
            <w:vAlign w:val="bottom"/>
          </w:tcPr>
          <w:p>
            <w:pPr>
              <w:jc w:val="center"/>
              <w:ind w:left="1741"/>
              <w:spacing w:after="0"/>
              <w:rPr>
                <w:sz w:val="20"/>
                <w:szCs w:val="20"/>
                <w:color w:val="auto"/>
              </w:rPr>
            </w:pPr>
            <w:r>
              <w:rPr>
                <w:rFonts w:ascii="Arial" w:cs="Arial" w:eastAsia="Arial" w:hAnsi="Arial"/>
                <w:sz w:val="14"/>
                <w:szCs w:val="14"/>
                <w:b w:val="1"/>
                <w:bCs w:val="1"/>
                <w:color w:val="auto"/>
              </w:rPr>
              <w:t>(I.R.S. Employer</w:t>
            </w:r>
          </w:p>
        </w:tc>
      </w:tr>
      <w:tr>
        <w:trPr>
          <w:trHeight w:val="202"/>
        </w:trPr>
        <w:tc>
          <w:tcPr>
            <w:tcW w:w="4520" w:type="dxa"/>
            <w:vAlign w:val="bottom"/>
          </w:tcPr>
          <w:p>
            <w:pPr>
              <w:jc w:val="center"/>
              <w:ind w:right="1779"/>
              <w:spacing w:after="0"/>
              <w:rPr>
                <w:sz w:val="20"/>
                <w:szCs w:val="20"/>
                <w:color w:val="auto"/>
              </w:rPr>
            </w:pPr>
            <w:r>
              <w:rPr>
                <w:rFonts w:ascii="Arial" w:cs="Arial" w:eastAsia="Arial" w:hAnsi="Arial"/>
                <w:sz w:val="14"/>
                <w:szCs w:val="14"/>
                <w:b w:val="1"/>
                <w:bCs w:val="1"/>
                <w:color w:val="auto"/>
              </w:rPr>
              <w:t>incorporation or organization)</w:t>
            </w:r>
          </w:p>
        </w:tc>
        <w:tc>
          <w:tcPr>
            <w:tcW w:w="3040" w:type="dxa"/>
            <w:vAlign w:val="bottom"/>
          </w:tcPr>
          <w:p>
            <w:pPr>
              <w:jc w:val="center"/>
              <w:ind w:left="1741"/>
              <w:spacing w:after="0"/>
              <w:rPr>
                <w:sz w:val="20"/>
                <w:szCs w:val="20"/>
                <w:color w:val="auto"/>
              </w:rPr>
            </w:pPr>
            <w:r>
              <w:rPr>
                <w:rFonts w:ascii="Arial" w:cs="Arial" w:eastAsia="Arial" w:hAnsi="Arial"/>
                <w:sz w:val="14"/>
                <w:szCs w:val="14"/>
                <w:b w:val="1"/>
                <w:bCs w:val="1"/>
                <w:color w:val="auto"/>
              </w:rPr>
              <w:t>Identification No.)</w:t>
            </w:r>
          </w:p>
        </w:tc>
      </w:tr>
      <w:tr>
        <w:trPr>
          <w:trHeight w:val="274"/>
        </w:trPr>
        <w:tc>
          <w:tcPr>
            <w:tcW w:w="4520" w:type="dxa"/>
            <w:vAlign w:val="bottom"/>
          </w:tcPr>
          <w:p>
            <w:pPr>
              <w:jc w:val="center"/>
              <w:ind w:right="1779"/>
              <w:spacing w:after="0"/>
              <w:rPr>
                <w:sz w:val="20"/>
                <w:szCs w:val="20"/>
                <w:color w:val="auto"/>
              </w:rPr>
            </w:pPr>
            <w:r>
              <w:rPr>
                <w:rFonts w:ascii="Arial" w:cs="Arial" w:eastAsia="Arial" w:hAnsi="Arial"/>
                <w:sz w:val="18"/>
                <w:szCs w:val="18"/>
                <w:b w:val="1"/>
                <w:bCs w:val="1"/>
                <w:color w:val="auto"/>
                <w:w w:val="99"/>
              </w:rPr>
              <w:t>5875 Trinity Parkway #300</w:t>
            </w:r>
          </w:p>
        </w:tc>
        <w:tc>
          <w:tcPr>
            <w:tcW w:w="3040" w:type="dxa"/>
            <w:vAlign w:val="bottom"/>
          </w:tcPr>
          <w:p>
            <w:pPr>
              <w:spacing w:after="0"/>
              <w:rPr>
                <w:sz w:val="23"/>
                <w:szCs w:val="23"/>
                <w:color w:val="auto"/>
              </w:rPr>
            </w:pPr>
          </w:p>
        </w:tc>
      </w:tr>
      <w:tr>
        <w:trPr>
          <w:trHeight w:val="212"/>
        </w:trPr>
        <w:tc>
          <w:tcPr>
            <w:tcW w:w="4520" w:type="dxa"/>
            <w:vAlign w:val="bottom"/>
          </w:tcPr>
          <w:p>
            <w:pPr>
              <w:jc w:val="center"/>
              <w:ind w:right="1759"/>
              <w:spacing w:after="0"/>
              <w:rPr>
                <w:sz w:val="20"/>
                <w:szCs w:val="20"/>
                <w:color w:val="auto"/>
              </w:rPr>
            </w:pPr>
            <w:r>
              <w:rPr>
                <w:rFonts w:ascii="Arial" w:cs="Arial" w:eastAsia="Arial" w:hAnsi="Arial"/>
                <w:sz w:val="18"/>
                <w:szCs w:val="18"/>
                <w:b w:val="1"/>
                <w:bCs w:val="1"/>
                <w:color w:val="auto"/>
                <w:w w:val="99"/>
              </w:rPr>
              <w:t>Centreville, Virginia</w:t>
            </w:r>
          </w:p>
        </w:tc>
        <w:tc>
          <w:tcPr>
            <w:tcW w:w="3040" w:type="dxa"/>
            <w:vAlign w:val="bottom"/>
          </w:tcPr>
          <w:p>
            <w:pPr>
              <w:jc w:val="right"/>
              <w:ind w:right="281"/>
              <w:spacing w:after="0"/>
              <w:rPr>
                <w:sz w:val="20"/>
                <w:szCs w:val="20"/>
                <w:color w:val="auto"/>
              </w:rPr>
            </w:pPr>
            <w:r>
              <w:rPr>
                <w:rFonts w:ascii="Arial" w:cs="Arial" w:eastAsia="Arial" w:hAnsi="Arial"/>
                <w:sz w:val="18"/>
                <w:szCs w:val="18"/>
                <w:b w:val="1"/>
                <w:bCs w:val="1"/>
                <w:color w:val="auto"/>
              </w:rPr>
              <w:t>20120</w:t>
            </w:r>
          </w:p>
        </w:tc>
      </w:tr>
      <w:tr>
        <w:trPr>
          <w:trHeight w:val="202"/>
        </w:trPr>
        <w:tc>
          <w:tcPr>
            <w:tcW w:w="4520" w:type="dxa"/>
            <w:vAlign w:val="bottom"/>
          </w:tcPr>
          <w:p>
            <w:pPr>
              <w:jc w:val="center"/>
              <w:ind w:right="1759"/>
              <w:spacing w:after="0"/>
              <w:rPr>
                <w:sz w:val="20"/>
                <w:szCs w:val="20"/>
                <w:color w:val="auto"/>
              </w:rPr>
            </w:pPr>
            <w:r>
              <w:rPr>
                <w:rFonts w:ascii="Arial" w:cs="Arial" w:eastAsia="Arial" w:hAnsi="Arial"/>
                <w:sz w:val="14"/>
                <w:szCs w:val="14"/>
                <w:b w:val="1"/>
                <w:bCs w:val="1"/>
                <w:color w:val="auto"/>
              </w:rPr>
              <w:t>(Address of principal executive offices)</w:t>
            </w:r>
          </w:p>
        </w:tc>
        <w:tc>
          <w:tcPr>
            <w:tcW w:w="3040" w:type="dxa"/>
            <w:vAlign w:val="bottom"/>
          </w:tcPr>
          <w:p>
            <w:pPr>
              <w:jc w:val="center"/>
              <w:ind w:left="1741"/>
              <w:spacing w:after="0"/>
              <w:rPr>
                <w:sz w:val="20"/>
                <w:szCs w:val="20"/>
                <w:color w:val="auto"/>
              </w:rPr>
            </w:pPr>
            <w:r>
              <w:rPr>
                <w:rFonts w:ascii="Arial" w:cs="Arial" w:eastAsia="Arial" w:hAnsi="Arial"/>
                <w:sz w:val="14"/>
                <w:szCs w:val="14"/>
                <w:b w:val="1"/>
                <w:bCs w:val="1"/>
                <w:color w:val="auto"/>
              </w:rPr>
              <w:t>(Zip Code)</w:t>
            </w:r>
          </w:p>
        </w:tc>
      </w:tr>
    </w:tbl>
    <w:p>
      <w:pPr>
        <w:spacing w:after="0" w:line="18" w:lineRule="exact"/>
        <w:rPr>
          <w:sz w:val="24"/>
          <w:szCs w:val="24"/>
          <w:color w:val="auto"/>
        </w:rPr>
      </w:pPr>
    </w:p>
    <w:p>
      <w:pPr>
        <w:ind w:left="2740"/>
        <w:spacing w:after="0"/>
        <w:rPr>
          <w:sz w:val="20"/>
          <w:szCs w:val="20"/>
          <w:color w:val="auto"/>
        </w:rPr>
      </w:pPr>
      <w:r>
        <w:rPr>
          <w:rFonts w:ascii="Arial" w:cs="Arial" w:eastAsia="Arial" w:hAnsi="Arial"/>
          <w:sz w:val="18"/>
          <w:szCs w:val="18"/>
          <w:b w:val="1"/>
          <w:bCs w:val="1"/>
          <w:color w:val="auto"/>
        </w:rPr>
        <w:t>Registrant’s telephone number, including area code: (703) 988-8500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48" w:lineRule="exact"/>
        <w:rPr>
          <w:sz w:val="24"/>
          <w:szCs w:val="24"/>
          <w:color w:val="auto"/>
        </w:rPr>
      </w:pPr>
    </w:p>
    <w:p>
      <w:pPr>
        <w:ind w:left="60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84"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4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Trading</w:t>
            </w:r>
          </w:p>
        </w:tc>
        <w:tc>
          <w:tcPr>
            <w:tcW w:w="5040" w:type="dxa"/>
            <w:vAlign w:val="bottom"/>
          </w:tcPr>
          <w:p>
            <w:pPr>
              <w:spacing w:after="0"/>
              <w:rPr>
                <w:sz w:val="14"/>
                <w:szCs w:val="14"/>
                <w:color w:val="auto"/>
              </w:rPr>
            </w:pPr>
          </w:p>
        </w:tc>
      </w:tr>
      <w:tr>
        <w:trPr>
          <w:trHeight w:val="177"/>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120" w:type="dxa"/>
            <w:vAlign w:val="bottom"/>
          </w:tcPr>
          <w:p>
            <w:pPr>
              <w:spacing w:after="0"/>
              <w:rPr>
                <w:sz w:val="15"/>
                <w:szCs w:val="15"/>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Symbol(s)</w:t>
            </w:r>
          </w:p>
        </w:tc>
        <w:tc>
          <w:tcPr>
            <w:tcW w:w="120" w:type="dxa"/>
            <w:vAlign w:val="bottom"/>
          </w:tcPr>
          <w:p>
            <w:pPr>
              <w:spacing w:after="0"/>
              <w:rPr>
                <w:sz w:val="15"/>
                <w:szCs w:val="15"/>
                <w:color w:val="auto"/>
              </w:rPr>
            </w:pPr>
          </w:p>
        </w:tc>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54"/>
        </w:trPr>
        <w:tc>
          <w:tcPr>
            <w:tcW w:w="4280" w:type="dxa"/>
            <w:vAlign w:val="bottom"/>
          </w:tcPr>
          <w:p>
            <w:pPr>
              <w:jc w:val="center"/>
              <w:spacing w:after="0"/>
              <w:rPr>
                <w:sz w:val="20"/>
                <w:szCs w:val="20"/>
                <w:color w:val="auto"/>
              </w:rPr>
            </w:pPr>
            <w:r>
              <w:rPr>
                <w:rFonts w:ascii="Arial" w:cs="Arial" w:eastAsia="Arial" w:hAnsi="Arial"/>
                <w:sz w:val="18"/>
                <w:szCs w:val="18"/>
                <w:color w:val="auto"/>
                <w:w w:val="99"/>
              </w:rPr>
              <w:t>Common Stock, $1 par value</w:t>
            </w:r>
          </w:p>
        </w:tc>
        <w:tc>
          <w:tcPr>
            <w:tcW w:w="120" w:type="dxa"/>
            <w:vAlign w:val="bottom"/>
          </w:tcPr>
          <w:p>
            <w:pPr>
              <w:spacing w:after="0"/>
              <w:rPr>
                <w:sz w:val="22"/>
                <w:szCs w:val="22"/>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rPr>
              <w:t>PSN</w:t>
            </w:r>
          </w:p>
        </w:tc>
        <w:tc>
          <w:tcPr>
            <w:tcW w:w="5040" w:type="dxa"/>
            <w:vAlign w:val="bottom"/>
          </w:tcPr>
          <w:p>
            <w:pPr>
              <w:jc w:val="center"/>
              <w:spacing w:after="0"/>
              <w:rPr>
                <w:sz w:val="20"/>
                <w:szCs w:val="20"/>
                <w:color w:val="auto"/>
              </w:rPr>
            </w:pPr>
            <w:r>
              <w:rPr>
                <w:rFonts w:ascii="Arial" w:cs="Arial" w:eastAsia="Arial" w:hAnsi="Arial"/>
                <w:sz w:val="18"/>
                <w:szCs w:val="18"/>
                <w:color w:val="auto"/>
                <w:w w:val="99"/>
              </w:rPr>
              <w:t>New York Stock Exchange</w:t>
            </w:r>
          </w:p>
        </w:tc>
      </w:tr>
    </w:tbl>
    <w:p>
      <w:pPr>
        <w:spacing w:after="0" w:line="41" w:lineRule="exact"/>
        <w:rPr>
          <w:sz w:val="24"/>
          <w:szCs w:val="24"/>
          <w:color w:val="auto"/>
        </w:rPr>
      </w:pPr>
    </w:p>
    <w:p>
      <w:pPr>
        <w:ind w:right="60"/>
        <w:spacing w:after="0" w:line="221"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6" w:lineRule="exact"/>
        <w:rPr>
          <w:sz w:val="24"/>
          <w:szCs w:val="24"/>
          <w:color w:val="auto"/>
        </w:rPr>
      </w:pPr>
    </w:p>
    <w:p>
      <w:pPr>
        <w:ind w:right="260"/>
        <w:spacing w:after="0" w:line="221"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6" w:lineRule="exact"/>
        <w:rPr>
          <w:sz w:val="24"/>
          <w:szCs w:val="24"/>
          <w:color w:val="auto"/>
        </w:rPr>
      </w:pPr>
    </w:p>
    <w:p>
      <w:pPr>
        <w:ind w:right="440" w:firstLine="599"/>
        <w:spacing w:after="0" w:line="255"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8" w:lineRule="exact"/>
        <w:rPr>
          <w:sz w:val="24"/>
          <w:szCs w:val="24"/>
          <w:color w:val="auto"/>
        </w:rPr>
      </w:pPr>
    </w:p>
    <w:tbl>
      <w:tblPr>
        <w:tblLayout w:type="fixed"/>
        <w:tblInd w:w="20" w:type="dxa"/>
        <w:tblCellMar>
          <w:top w:w="0" w:type="dxa"/>
          <w:left w:w="0" w:type="dxa"/>
          <w:bottom w:w="0" w:type="dxa"/>
          <w:right w:w="0" w:type="dxa"/>
        </w:tblCellMar>
      </w:tblPr>
      <w:tr>
        <w:trPr>
          <w:trHeight w:val="243"/>
        </w:trPr>
        <w:tc>
          <w:tcPr>
            <w:tcW w:w="23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2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5200" w:type="dxa"/>
            <w:vAlign w:val="bottom"/>
          </w:tcPr>
          <w:p>
            <w:pPr>
              <w:ind w:left="2880"/>
              <w:spacing w:after="0"/>
              <w:rPr>
                <w:sz w:val="20"/>
                <w:szCs w:val="20"/>
                <w:color w:val="auto"/>
              </w:rPr>
            </w:pPr>
            <w:r>
              <w:rPr>
                <w:rFonts w:ascii="Arial" w:cs="Arial" w:eastAsia="Arial" w:hAnsi="Arial"/>
                <w:sz w:val="18"/>
                <w:szCs w:val="18"/>
                <w:color w:val="auto"/>
              </w:rPr>
              <w:t>Accelerated filer</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43"/>
        </w:trPr>
        <w:tc>
          <w:tcPr>
            <w:tcW w:w="2380" w:type="dxa"/>
            <w:vAlign w:val="bottom"/>
          </w:tcPr>
          <w:p>
            <w:pPr>
              <w:spacing w:after="0"/>
              <w:rPr>
                <w:sz w:val="20"/>
                <w:szCs w:val="20"/>
                <w:color w:val="auto"/>
              </w:rPr>
            </w:pPr>
            <w:r>
              <w:rPr>
                <w:rFonts w:ascii="Arial" w:cs="Arial" w:eastAsia="Arial" w:hAnsi="Arial"/>
                <w:sz w:val="18"/>
                <w:szCs w:val="18"/>
                <w:color w:val="auto"/>
              </w:rPr>
              <w:t>Non-accelerated filer</w:t>
            </w:r>
          </w:p>
        </w:tc>
        <w:tc>
          <w:tcPr>
            <w:tcW w:w="32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5200" w:type="dxa"/>
            <w:vAlign w:val="bottom"/>
          </w:tcPr>
          <w:p>
            <w:pPr>
              <w:ind w:left="2880"/>
              <w:spacing w:after="0"/>
              <w:rPr>
                <w:sz w:val="20"/>
                <w:szCs w:val="20"/>
                <w:color w:val="auto"/>
              </w:rPr>
            </w:pPr>
            <w:r>
              <w:rPr>
                <w:rFonts w:ascii="Arial" w:cs="Arial" w:eastAsia="Arial" w:hAnsi="Arial"/>
                <w:sz w:val="18"/>
                <w:szCs w:val="18"/>
                <w:color w:val="auto"/>
              </w:rPr>
              <w:t>Smaller reporting company</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38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32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5200" w:type="dxa"/>
            <w:vAlign w:val="bottom"/>
          </w:tcPr>
          <w:p>
            <w:pPr>
              <w:spacing w:after="0"/>
              <w:rPr>
                <w:sz w:val="24"/>
                <w:szCs w:val="24"/>
                <w:color w:val="auto"/>
              </w:rPr>
            </w:pPr>
          </w:p>
        </w:tc>
        <w:tc>
          <w:tcPr>
            <w:tcW w:w="320" w:type="dxa"/>
            <w:vAlign w:val="bottom"/>
          </w:tcPr>
          <w:p>
            <w:pPr>
              <w:spacing w:after="0"/>
              <w:rPr>
                <w:sz w:val="24"/>
                <w:szCs w:val="24"/>
                <w:color w:val="auto"/>
              </w:rPr>
            </w:pPr>
          </w:p>
        </w:tc>
      </w:tr>
    </w:tbl>
    <w:p>
      <w:pPr>
        <w:spacing w:after="0" w:line="52" w:lineRule="exact"/>
        <w:rPr>
          <w:sz w:val="24"/>
          <w:szCs w:val="24"/>
          <w:color w:val="auto"/>
        </w:rPr>
      </w:pPr>
    </w:p>
    <w:p>
      <w:pPr>
        <w:ind w:right="460" w:firstLine="599"/>
        <w:spacing w:after="0" w:line="231"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left="600" w:right="800" w:hanging="598"/>
        <w:spacing w:after="0" w:line="276" w:lineRule="exact"/>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r>
        <w:rPr>
          <w:sz w:val="20"/>
          <w:szCs w:val="20"/>
          <w:color w:val="auto"/>
        </w:rPr>
        <w:t xml:space="preserve"> </w:t>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As of October 28, 2020, the registrant had 100,727,119 shares of common stock, $1.00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97" w:right="339" w:bottom="1440" w:gutter="0" w:footer="0" w:header="0"/>
        </w:sectPr>
      </w:pPr>
    </w:p>
    <w:bookmarkStart w:id="1" w:name="page2"/>
    <w:bookmarkEnd w:id="1"/>
    <w:p>
      <w:pPr>
        <w:ind w:left="4580"/>
        <w:spacing w:after="0"/>
        <w:rPr>
          <w:sz w:val="20"/>
          <w:szCs w:val="20"/>
          <w:color w:val="auto"/>
        </w:rPr>
      </w:pPr>
      <w:r>
        <w:rPr>
          <w:rFonts w:ascii="Arial" w:cs="Arial" w:eastAsia="Arial" w:hAnsi="Arial"/>
          <w:sz w:val="25"/>
          <w:szCs w:val="25"/>
          <w:b w:val="1"/>
          <w:bCs w:val="1"/>
          <w:color w:val="auto"/>
        </w:rPr>
        <w:t>Table of Contents</w:t>
      </w:r>
    </w:p>
    <w:p>
      <w:pPr>
        <w:spacing w:after="0" w:line="200" w:lineRule="exact"/>
        <w:rPr>
          <w:sz w:val="20"/>
          <w:szCs w:val="20"/>
          <w:color w:val="auto"/>
        </w:rPr>
      </w:pPr>
    </w:p>
    <w:p>
      <w:pPr>
        <w:spacing w:after="0" w:line="278" w:lineRule="exact"/>
        <w:rPr>
          <w:sz w:val="20"/>
          <w:szCs w:val="20"/>
          <w:color w:val="auto"/>
        </w:rPr>
      </w:pPr>
    </w:p>
    <w:p>
      <w:pPr>
        <w:spacing w:after="0"/>
        <w:tabs>
          <w:tab w:leader="none" w:pos="1100" w:val="left"/>
        </w:tabs>
        <w:rPr>
          <w:rFonts w:ascii="Arial" w:cs="Arial" w:eastAsia="Arial" w:hAnsi="Arial"/>
          <w:sz w:val="17"/>
          <w:szCs w:val="17"/>
          <w:u w:val="single" w:color="auto"/>
          <w:color w:val="0000EE"/>
        </w:rPr>
      </w:pPr>
      <w:r>
        <w:rPr>
          <w:rFonts w:ascii="Arial" w:cs="Arial" w:eastAsia="Arial" w:hAnsi="Arial"/>
          <w:sz w:val="18"/>
          <w:szCs w:val="18"/>
          <w:b w:val="1"/>
          <w:bCs w:val="1"/>
          <w:color w:val="auto"/>
        </w:rPr>
        <w:t>PART I.</w:t>
      </w:r>
      <w:r>
        <w:rPr>
          <w:sz w:val="20"/>
          <w:szCs w:val="20"/>
          <w:color w:val="auto"/>
        </w:rPr>
        <w:tab/>
      </w:r>
      <w:hyperlink w:anchor="page3">
        <w:r>
          <w:rPr>
            <w:rFonts w:ascii="Arial" w:cs="Arial" w:eastAsia="Arial" w:hAnsi="Arial"/>
            <w:sz w:val="17"/>
            <w:szCs w:val="17"/>
            <w:u w:val="single" w:color="auto"/>
            <w:color w:val="0000EE"/>
          </w:rPr>
          <w:t>FINANCIAL INFORMATION</w:t>
        </w:r>
      </w:hyperlink>
    </w:p>
    <w:p>
      <w:pPr>
        <w:spacing w:after="0" w:line="46" w:lineRule="exact"/>
        <w:rPr>
          <w:sz w:val="20"/>
          <w:szCs w:val="20"/>
          <w:color w:val="auto"/>
        </w:rPr>
      </w:pPr>
    </w:p>
    <w:p>
      <w:pPr>
        <w:spacing w:after="0"/>
        <w:tabs>
          <w:tab w:leader="none" w:pos="1100" w:val="left"/>
        </w:tabs>
        <w:rPr>
          <w:rFonts w:ascii="Arial" w:cs="Arial" w:eastAsia="Arial" w:hAnsi="Arial"/>
          <w:sz w:val="17"/>
          <w:szCs w:val="17"/>
          <w:u w:val="single" w:color="auto"/>
          <w:color w:val="0000EE"/>
        </w:rPr>
      </w:pPr>
      <w:r>
        <w:rPr>
          <w:rFonts w:ascii="Arial" w:cs="Arial" w:eastAsia="Arial" w:hAnsi="Arial"/>
          <w:sz w:val="18"/>
          <w:szCs w:val="18"/>
          <w:color w:val="auto"/>
        </w:rPr>
        <w:t>Item 1.</w:t>
      </w:r>
      <w:r>
        <w:rPr>
          <w:sz w:val="20"/>
          <w:szCs w:val="20"/>
          <w:color w:val="auto"/>
        </w:rPr>
        <w:tab/>
      </w:r>
      <w:hyperlink w:anchor="page3">
        <w:r>
          <w:rPr>
            <w:rFonts w:ascii="Arial" w:cs="Arial" w:eastAsia="Arial" w:hAnsi="Arial"/>
            <w:sz w:val="17"/>
            <w:szCs w:val="17"/>
            <w:u w:val="single" w:color="auto"/>
            <w:color w:val="0000EE"/>
          </w:rPr>
          <w:t>Financial Statements (Unaudited)</w:t>
        </w:r>
      </w:hyperlink>
    </w:p>
    <w:p>
      <w:pPr>
        <w:spacing w:after="0" w:line="28" w:lineRule="exact"/>
        <w:rPr>
          <w:sz w:val="20"/>
          <w:szCs w:val="20"/>
          <w:color w:val="auto"/>
        </w:rPr>
      </w:pPr>
    </w:p>
    <w:p>
      <w:pPr>
        <w:ind w:left="11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Consolidated Balance Sheets</w:t>
        </w:r>
      </w:hyperlink>
    </w:p>
    <w:p>
      <w:pPr>
        <w:spacing w:after="0" w:line="36" w:lineRule="exact"/>
        <w:rPr>
          <w:sz w:val="20"/>
          <w:szCs w:val="20"/>
          <w:color w:val="auto"/>
        </w:rPr>
      </w:pPr>
    </w:p>
    <w:p>
      <w:pPr>
        <w:ind w:left="112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Consolidated Statements of Income</w:t>
        </w:r>
      </w:hyperlink>
    </w:p>
    <w:p>
      <w:pPr>
        <w:spacing w:after="0" w:line="36" w:lineRule="exact"/>
        <w:rPr>
          <w:sz w:val="20"/>
          <w:szCs w:val="20"/>
          <w:color w:val="auto"/>
        </w:rPr>
      </w:pPr>
    </w:p>
    <w:p>
      <w:pPr>
        <w:ind w:left="112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Consolidated Statements of Comprehensive Income</w:t>
        </w:r>
      </w:hyperlink>
    </w:p>
    <w:p>
      <w:pPr>
        <w:spacing w:after="0" w:line="36" w:lineRule="exact"/>
        <w:rPr>
          <w:sz w:val="20"/>
          <w:szCs w:val="20"/>
          <w:color w:val="auto"/>
        </w:rPr>
      </w:pPr>
    </w:p>
    <w:p>
      <w:pPr>
        <w:ind w:left="112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Consolidated Statements of Cash Flows</w:t>
        </w:r>
      </w:hyperlink>
    </w:p>
    <w:p>
      <w:pPr>
        <w:spacing w:after="0" w:line="36" w:lineRule="exact"/>
        <w:rPr>
          <w:sz w:val="20"/>
          <w:szCs w:val="20"/>
          <w:color w:val="auto"/>
        </w:rPr>
      </w:pPr>
    </w:p>
    <w:p>
      <w:pPr>
        <w:ind w:left="112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Consolidated Statements of Shareholders’ Equity (Deficit)</w:t>
        </w:r>
      </w:hyperlink>
    </w:p>
    <w:p>
      <w:pPr>
        <w:spacing w:after="0" w:line="50" w:lineRule="exact"/>
        <w:rPr>
          <w:sz w:val="20"/>
          <w:szCs w:val="20"/>
          <w:color w:val="auto"/>
        </w:rPr>
      </w:pPr>
    </w:p>
    <w:p>
      <w:pPr>
        <w:ind w:left="1120"/>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Notes to Unaudited Consolidated Financial Statements</w:t>
        </w:r>
      </w:hyperlink>
    </w:p>
    <w:p>
      <w:pPr>
        <w:spacing w:after="0" w:line="36" w:lineRule="exact"/>
        <w:rPr>
          <w:sz w:val="20"/>
          <w:szCs w:val="20"/>
          <w:color w:val="auto"/>
        </w:rPr>
      </w:pPr>
    </w:p>
    <w:p>
      <w:pPr>
        <w:spacing w:after="0"/>
        <w:tabs>
          <w:tab w:leader="none" w:pos="1100" w:val="left"/>
        </w:tabs>
        <w:rPr>
          <w:rFonts w:ascii="Arial" w:cs="Arial" w:eastAsia="Arial" w:hAnsi="Arial"/>
          <w:sz w:val="17"/>
          <w:szCs w:val="17"/>
          <w:u w:val="single" w:color="auto"/>
          <w:color w:val="0000EE"/>
        </w:rPr>
      </w:pPr>
      <w:r>
        <w:rPr>
          <w:rFonts w:ascii="Arial" w:cs="Arial" w:eastAsia="Arial" w:hAnsi="Arial"/>
          <w:sz w:val="18"/>
          <w:szCs w:val="18"/>
          <w:color w:val="auto"/>
        </w:rPr>
        <w:t>Item 2.</w:t>
      </w:r>
      <w:r>
        <w:rPr>
          <w:sz w:val="20"/>
          <w:szCs w:val="20"/>
          <w:color w:val="auto"/>
        </w:rPr>
        <w:tab/>
      </w:r>
      <w:hyperlink w:anchor="page31">
        <w:r>
          <w:rPr>
            <w:rFonts w:ascii="Arial" w:cs="Arial" w:eastAsia="Arial" w:hAnsi="Arial"/>
            <w:sz w:val="17"/>
            <w:szCs w:val="17"/>
            <w:u w:val="single" w:color="auto"/>
            <w:color w:val="0000EE"/>
          </w:rPr>
          <w:t>Management’s Discussion and Analysis of Financial Condition and Results of Operations</w:t>
        </w:r>
      </w:hyperlink>
    </w:p>
    <w:p>
      <w:pPr>
        <w:spacing w:after="0" w:line="36" w:lineRule="exact"/>
        <w:rPr>
          <w:sz w:val="20"/>
          <w:szCs w:val="20"/>
          <w:color w:val="auto"/>
        </w:rPr>
      </w:pPr>
    </w:p>
    <w:p>
      <w:pPr>
        <w:spacing w:after="0"/>
        <w:tabs>
          <w:tab w:leader="none" w:pos="1100" w:val="left"/>
        </w:tabs>
        <w:rPr>
          <w:rFonts w:ascii="Arial" w:cs="Arial" w:eastAsia="Arial" w:hAnsi="Arial"/>
          <w:sz w:val="17"/>
          <w:szCs w:val="17"/>
          <w:u w:val="single" w:color="auto"/>
          <w:color w:val="0000EE"/>
        </w:rPr>
      </w:pPr>
      <w:r>
        <w:rPr>
          <w:rFonts w:ascii="Arial" w:cs="Arial" w:eastAsia="Arial" w:hAnsi="Arial"/>
          <w:sz w:val="18"/>
          <w:szCs w:val="18"/>
          <w:color w:val="auto"/>
        </w:rPr>
        <w:t>Item 3.</w:t>
      </w:r>
      <w:r>
        <w:rPr>
          <w:sz w:val="20"/>
          <w:szCs w:val="20"/>
          <w:color w:val="auto"/>
        </w:rPr>
        <w:tab/>
      </w:r>
      <w:hyperlink w:anchor="page45">
        <w:r>
          <w:rPr>
            <w:rFonts w:ascii="Arial" w:cs="Arial" w:eastAsia="Arial" w:hAnsi="Arial"/>
            <w:sz w:val="17"/>
            <w:szCs w:val="17"/>
            <w:u w:val="single" w:color="auto"/>
            <w:color w:val="0000EE"/>
          </w:rPr>
          <w:t>Quantitative and Qualitative Disclosures About Market Risk</w:t>
        </w:r>
      </w:hyperlink>
    </w:p>
    <w:p>
      <w:pPr>
        <w:spacing w:after="0" w:line="36" w:lineRule="exact"/>
        <w:rPr>
          <w:sz w:val="20"/>
          <w:szCs w:val="20"/>
          <w:color w:val="auto"/>
        </w:rPr>
      </w:pPr>
    </w:p>
    <w:p>
      <w:pPr>
        <w:spacing w:after="0"/>
        <w:tabs>
          <w:tab w:leader="none" w:pos="1100" w:val="left"/>
        </w:tabs>
        <w:rPr>
          <w:rFonts w:ascii="Arial" w:cs="Arial" w:eastAsia="Arial" w:hAnsi="Arial"/>
          <w:sz w:val="17"/>
          <w:szCs w:val="17"/>
          <w:u w:val="single" w:color="auto"/>
          <w:color w:val="0000EE"/>
        </w:rPr>
      </w:pPr>
      <w:r>
        <w:rPr>
          <w:rFonts w:ascii="Arial" w:cs="Arial" w:eastAsia="Arial" w:hAnsi="Arial"/>
          <w:sz w:val="18"/>
          <w:szCs w:val="18"/>
          <w:color w:val="auto"/>
        </w:rPr>
        <w:t>Item 4.</w:t>
      </w:r>
      <w:r>
        <w:rPr>
          <w:sz w:val="20"/>
          <w:szCs w:val="20"/>
          <w:color w:val="auto"/>
        </w:rPr>
        <w:tab/>
      </w:r>
      <w:hyperlink w:anchor="page45">
        <w:r>
          <w:rPr>
            <w:rFonts w:ascii="Arial" w:cs="Arial" w:eastAsia="Arial" w:hAnsi="Arial"/>
            <w:sz w:val="17"/>
            <w:szCs w:val="17"/>
            <w:u w:val="single" w:color="auto"/>
            <w:color w:val="0000EE"/>
          </w:rPr>
          <w:t>Controls and Procedures</w:t>
        </w:r>
      </w:hyperlink>
    </w:p>
    <w:p>
      <w:pPr>
        <w:spacing w:after="0" w:line="36" w:lineRule="exact"/>
        <w:rPr>
          <w:sz w:val="20"/>
          <w:szCs w:val="20"/>
          <w:color w:val="auto"/>
        </w:rPr>
      </w:pPr>
    </w:p>
    <w:p>
      <w:pPr>
        <w:spacing w:after="0"/>
        <w:tabs>
          <w:tab w:leader="none" w:pos="1100" w:val="left"/>
        </w:tabs>
        <w:rPr>
          <w:rFonts w:ascii="Arial" w:cs="Arial" w:eastAsia="Arial" w:hAnsi="Arial"/>
          <w:sz w:val="17"/>
          <w:szCs w:val="17"/>
          <w:u w:val="single" w:color="auto"/>
          <w:color w:val="0000EE"/>
        </w:rPr>
      </w:pPr>
      <w:r>
        <w:rPr>
          <w:rFonts w:ascii="Arial" w:cs="Arial" w:eastAsia="Arial" w:hAnsi="Arial"/>
          <w:sz w:val="18"/>
          <w:szCs w:val="18"/>
          <w:b w:val="1"/>
          <w:bCs w:val="1"/>
          <w:color w:val="auto"/>
        </w:rPr>
        <w:t>PART II.</w:t>
      </w:r>
      <w:r>
        <w:rPr>
          <w:sz w:val="20"/>
          <w:szCs w:val="20"/>
          <w:color w:val="auto"/>
        </w:rPr>
        <w:tab/>
      </w:r>
      <w:hyperlink w:anchor="page46">
        <w:r>
          <w:rPr>
            <w:rFonts w:ascii="Arial" w:cs="Arial" w:eastAsia="Arial" w:hAnsi="Arial"/>
            <w:sz w:val="17"/>
            <w:szCs w:val="17"/>
            <w:u w:val="single" w:color="auto"/>
            <w:color w:val="0000EE"/>
          </w:rPr>
          <w:t>OTHER INFORMATION</w:t>
        </w:r>
      </w:hyperlink>
    </w:p>
    <w:p>
      <w:pPr>
        <w:spacing w:after="0" w:line="44" w:lineRule="exact"/>
        <w:rPr>
          <w:sz w:val="20"/>
          <w:szCs w:val="20"/>
          <w:color w:val="auto"/>
        </w:rPr>
      </w:pPr>
    </w:p>
    <w:p>
      <w:pPr>
        <w:spacing w:after="0"/>
        <w:tabs>
          <w:tab w:leader="none" w:pos="1100" w:val="left"/>
        </w:tabs>
        <w:rPr>
          <w:rFonts w:ascii="Arial" w:cs="Arial" w:eastAsia="Arial" w:hAnsi="Arial"/>
          <w:sz w:val="17"/>
          <w:szCs w:val="17"/>
          <w:u w:val="single" w:color="auto"/>
          <w:color w:val="0000EE"/>
        </w:rPr>
      </w:pPr>
      <w:r>
        <w:rPr>
          <w:rFonts w:ascii="Arial" w:cs="Arial" w:eastAsia="Arial" w:hAnsi="Arial"/>
          <w:sz w:val="18"/>
          <w:szCs w:val="18"/>
          <w:color w:val="auto"/>
        </w:rPr>
        <w:t>Item 1.</w:t>
      </w:r>
      <w:r>
        <w:rPr>
          <w:sz w:val="20"/>
          <w:szCs w:val="20"/>
          <w:color w:val="auto"/>
        </w:rPr>
        <w:tab/>
      </w:r>
      <w:hyperlink w:anchor="page46">
        <w:r>
          <w:rPr>
            <w:rFonts w:ascii="Arial" w:cs="Arial" w:eastAsia="Arial" w:hAnsi="Arial"/>
            <w:sz w:val="17"/>
            <w:szCs w:val="17"/>
            <w:u w:val="single" w:color="auto"/>
            <w:color w:val="0000EE"/>
          </w:rPr>
          <w:t>Legal Proceedings</w:t>
        </w:r>
      </w:hyperlink>
    </w:p>
    <w:p>
      <w:pPr>
        <w:spacing w:after="0" w:line="28" w:lineRule="exact"/>
        <w:rPr>
          <w:sz w:val="20"/>
          <w:szCs w:val="20"/>
          <w:color w:val="auto"/>
        </w:rPr>
      </w:pPr>
    </w:p>
    <w:p>
      <w:pPr>
        <w:spacing w:after="0"/>
        <w:tabs>
          <w:tab w:leader="none" w:pos="1100" w:val="left"/>
        </w:tabs>
        <w:rPr>
          <w:rFonts w:ascii="Arial" w:cs="Arial" w:eastAsia="Arial" w:hAnsi="Arial"/>
          <w:sz w:val="17"/>
          <w:szCs w:val="17"/>
          <w:u w:val="single" w:color="auto"/>
          <w:color w:val="0000EE"/>
        </w:rPr>
      </w:pPr>
      <w:r>
        <w:rPr>
          <w:rFonts w:ascii="Arial" w:cs="Arial" w:eastAsia="Arial" w:hAnsi="Arial"/>
          <w:sz w:val="18"/>
          <w:szCs w:val="18"/>
          <w:color w:val="auto"/>
        </w:rPr>
        <w:t>Item 1A.</w:t>
      </w:r>
      <w:r>
        <w:rPr>
          <w:sz w:val="20"/>
          <w:szCs w:val="20"/>
          <w:color w:val="auto"/>
        </w:rPr>
        <w:tab/>
      </w:r>
      <w:hyperlink w:anchor="page46">
        <w:r>
          <w:rPr>
            <w:rFonts w:ascii="Arial" w:cs="Arial" w:eastAsia="Arial" w:hAnsi="Arial"/>
            <w:sz w:val="17"/>
            <w:szCs w:val="17"/>
            <w:u w:val="single" w:color="auto"/>
            <w:color w:val="0000EE"/>
          </w:rPr>
          <w:t>Risk Factors</w:t>
        </w:r>
      </w:hyperlink>
    </w:p>
    <w:p>
      <w:pPr>
        <w:spacing w:after="0" w:line="36" w:lineRule="exact"/>
        <w:rPr>
          <w:sz w:val="20"/>
          <w:szCs w:val="20"/>
          <w:color w:val="auto"/>
        </w:rPr>
      </w:pPr>
    </w:p>
    <w:p>
      <w:pPr>
        <w:spacing w:after="0"/>
        <w:tabs>
          <w:tab w:leader="none" w:pos="1100" w:val="left"/>
        </w:tabs>
        <w:rPr>
          <w:rFonts w:ascii="Arial" w:cs="Arial" w:eastAsia="Arial" w:hAnsi="Arial"/>
          <w:sz w:val="17"/>
          <w:szCs w:val="17"/>
          <w:u w:val="single" w:color="auto"/>
          <w:color w:val="0000EE"/>
        </w:rPr>
      </w:pPr>
      <w:r>
        <w:rPr>
          <w:rFonts w:ascii="Arial" w:cs="Arial" w:eastAsia="Arial" w:hAnsi="Arial"/>
          <w:sz w:val="18"/>
          <w:szCs w:val="18"/>
          <w:color w:val="auto"/>
        </w:rPr>
        <w:t>Item 2.</w:t>
      </w:r>
      <w:r>
        <w:rPr>
          <w:sz w:val="20"/>
          <w:szCs w:val="20"/>
          <w:color w:val="auto"/>
        </w:rPr>
        <w:tab/>
      </w:r>
      <w:hyperlink w:anchor="page46">
        <w:r>
          <w:rPr>
            <w:rFonts w:ascii="Arial" w:cs="Arial" w:eastAsia="Arial" w:hAnsi="Arial"/>
            <w:sz w:val="17"/>
            <w:szCs w:val="17"/>
            <w:u w:val="single" w:color="auto"/>
            <w:color w:val="0000EE"/>
          </w:rPr>
          <w:t>Unregistered Sales of Equity Securities and Use of Proceeds</w:t>
        </w:r>
      </w:hyperlink>
    </w:p>
    <w:p>
      <w:pPr>
        <w:spacing w:after="0" w:line="36" w:lineRule="exact"/>
        <w:rPr>
          <w:sz w:val="20"/>
          <w:szCs w:val="20"/>
          <w:color w:val="auto"/>
        </w:rPr>
      </w:pPr>
    </w:p>
    <w:p>
      <w:pPr>
        <w:spacing w:after="0"/>
        <w:tabs>
          <w:tab w:leader="none" w:pos="1100" w:val="left"/>
        </w:tabs>
        <w:rPr>
          <w:rFonts w:ascii="Arial" w:cs="Arial" w:eastAsia="Arial" w:hAnsi="Arial"/>
          <w:sz w:val="17"/>
          <w:szCs w:val="17"/>
          <w:u w:val="single" w:color="auto"/>
          <w:color w:val="0000EE"/>
        </w:rPr>
      </w:pPr>
      <w:r>
        <w:rPr>
          <w:rFonts w:ascii="Arial" w:cs="Arial" w:eastAsia="Arial" w:hAnsi="Arial"/>
          <w:sz w:val="18"/>
          <w:szCs w:val="18"/>
          <w:color w:val="auto"/>
        </w:rPr>
        <w:t>Item 3.</w:t>
      </w:r>
      <w:r>
        <w:rPr>
          <w:sz w:val="20"/>
          <w:szCs w:val="20"/>
          <w:color w:val="auto"/>
        </w:rPr>
        <w:tab/>
      </w:r>
      <w:hyperlink w:anchor="page46">
        <w:r>
          <w:rPr>
            <w:rFonts w:ascii="Arial" w:cs="Arial" w:eastAsia="Arial" w:hAnsi="Arial"/>
            <w:sz w:val="17"/>
            <w:szCs w:val="17"/>
            <w:u w:val="single" w:color="auto"/>
            <w:color w:val="0000EE"/>
          </w:rPr>
          <w:t>Defaults Upon Senior Securities</w:t>
        </w:r>
      </w:hyperlink>
    </w:p>
    <w:p>
      <w:pPr>
        <w:spacing w:after="0" w:line="36" w:lineRule="exact"/>
        <w:rPr>
          <w:sz w:val="20"/>
          <w:szCs w:val="20"/>
          <w:color w:val="auto"/>
        </w:rPr>
      </w:pPr>
    </w:p>
    <w:p>
      <w:pPr>
        <w:spacing w:after="0"/>
        <w:tabs>
          <w:tab w:leader="none" w:pos="1100" w:val="left"/>
        </w:tabs>
        <w:rPr>
          <w:rFonts w:ascii="Arial" w:cs="Arial" w:eastAsia="Arial" w:hAnsi="Arial"/>
          <w:sz w:val="17"/>
          <w:szCs w:val="17"/>
          <w:u w:val="single" w:color="auto"/>
          <w:color w:val="0000EE"/>
        </w:rPr>
      </w:pPr>
      <w:r>
        <w:rPr>
          <w:rFonts w:ascii="Arial" w:cs="Arial" w:eastAsia="Arial" w:hAnsi="Arial"/>
          <w:sz w:val="18"/>
          <w:szCs w:val="18"/>
          <w:color w:val="auto"/>
        </w:rPr>
        <w:t>Item 4.</w:t>
      </w:r>
      <w:r>
        <w:rPr>
          <w:sz w:val="20"/>
          <w:szCs w:val="20"/>
          <w:color w:val="auto"/>
        </w:rPr>
        <w:tab/>
      </w:r>
      <w:hyperlink w:anchor="page46">
        <w:r>
          <w:rPr>
            <w:rFonts w:ascii="Arial" w:cs="Arial" w:eastAsia="Arial" w:hAnsi="Arial"/>
            <w:sz w:val="17"/>
            <w:szCs w:val="17"/>
            <w:u w:val="single" w:color="auto"/>
            <w:color w:val="0000EE"/>
          </w:rPr>
          <w:t>Mine Safety Disclosures</w:t>
        </w:r>
      </w:hyperlink>
    </w:p>
    <w:p>
      <w:pPr>
        <w:spacing w:after="0" w:line="36" w:lineRule="exact"/>
        <w:rPr>
          <w:sz w:val="20"/>
          <w:szCs w:val="20"/>
          <w:color w:val="auto"/>
        </w:rPr>
      </w:pPr>
    </w:p>
    <w:p>
      <w:pPr>
        <w:spacing w:after="0"/>
        <w:tabs>
          <w:tab w:leader="none" w:pos="1100" w:val="left"/>
        </w:tabs>
        <w:rPr>
          <w:rFonts w:ascii="Arial" w:cs="Arial" w:eastAsia="Arial" w:hAnsi="Arial"/>
          <w:sz w:val="17"/>
          <w:szCs w:val="17"/>
          <w:u w:val="single" w:color="auto"/>
          <w:color w:val="0000EE"/>
        </w:rPr>
      </w:pPr>
      <w:r>
        <w:rPr>
          <w:rFonts w:ascii="Arial" w:cs="Arial" w:eastAsia="Arial" w:hAnsi="Arial"/>
          <w:sz w:val="18"/>
          <w:szCs w:val="18"/>
          <w:color w:val="auto"/>
        </w:rPr>
        <w:t>Item 5.</w:t>
      </w:r>
      <w:r>
        <w:rPr>
          <w:sz w:val="20"/>
          <w:szCs w:val="20"/>
          <w:color w:val="auto"/>
        </w:rPr>
        <w:tab/>
      </w:r>
      <w:hyperlink w:anchor="page46">
        <w:r>
          <w:rPr>
            <w:rFonts w:ascii="Arial" w:cs="Arial" w:eastAsia="Arial" w:hAnsi="Arial"/>
            <w:sz w:val="17"/>
            <w:szCs w:val="17"/>
            <w:u w:val="single" w:color="auto"/>
            <w:color w:val="0000EE"/>
          </w:rPr>
          <w:t>Other Information</w:t>
        </w:r>
      </w:hyperlink>
    </w:p>
    <w:p>
      <w:pPr>
        <w:spacing w:after="0" w:line="36" w:lineRule="exact"/>
        <w:rPr>
          <w:sz w:val="20"/>
          <w:szCs w:val="20"/>
          <w:color w:val="auto"/>
        </w:rPr>
      </w:pPr>
    </w:p>
    <w:p>
      <w:pPr>
        <w:spacing w:after="0"/>
        <w:tabs>
          <w:tab w:leader="none" w:pos="1100" w:val="left"/>
        </w:tabs>
        <w:rPr>
          <w:rFonts w:ascii="Arial" w:cs="Arial" w:eastAsia="Arial" w:hAnsi="Arial"/>
          <w:sz w:val="17"/>
          <w:szCs w:val="17"/>
          <w:u w:val="single" w:color="auto"/>
          <w:color w:val="0000EE"/>
        </w:rPr>
      </w:pPr>
      <w:r>
        <w:rPr>
          <w:rFonts w:ascii="Arial" w:cs="Arial" w:eastAsia="Arial" w:hAnsi="Arial"/>
          <w:sz w:val="18"/>
          <w:szCs w:val="18"/>
          <w:color w:val="auto"/>
        </w:rPr>
        <w:t>Item 6.</w:t>
      </w:r>
      <w:r>
        <w:rPr>
          <w:sz w:val="20"/>
          <w:szCs w:val="20"/>
          <w:color w:val="auto"/>
        </w:rPr>
        <w:tab/>
      </w:r>
      <w:hyperlink w:anchor="page47">
        <w:r>
          <w:rPr>
            <w:rFonts w:ascii="Arial" w:cs="Arial" w:eastAsia="Arial" w:hAnsi="Arial"/>
            <w:sz w:val="17"/>
            <w:szCs w:val="17"/>
            <w:u w:val="single" w:color="auto"/>
            <w:color w:val="0000EE"/>
          </w:rPr>
          <w:t>Exhibits</w:t>
        </w:r>
      </w:hyperlink>
    </w:p>
    <w:p>
      <w:pPr>
        <w:spacing w:after="0" w:line="36" w:lineRule="exact"/>
        <w:rPr>
          <w:sz w:val="20"/>
          <w:szCs w:val="20"/>
          <w:color w:val="auto"/>
        </w:rPr>
      </w:pPr>
    </w:p>
    <w:p>
      <w:pPr>
        <w:ind w:left="1120"/>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Signatures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left="124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-179070</wp:posOffset>
            </wp:positionH>
            <wp:positionV relativeFrom="paragraph">
              <wp:posOffset>10160</wp:posOffset>
            </wp:positionV>
            <wp:extent cx="49720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5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29</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43</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43</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44</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44</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44</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44</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44</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44</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44</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45</w:t>
      </w:r>
    </w:p>
    <w:p>
      <w:pPr>
        <w:spacing w:after="0" w:line="5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46</w:t>
      </w:r>
    </w:p>
    <w:p>
      <w:pPr>
        <w:sectPr>
          <w:pgSz w:w="11900" w:h="16838" w:orient="portrait"/>
          <w:cols w:equalWidth="0" w:num="2">
            <w:col w:w="10020" w:space="720"/>
            <w:col w:w="480"/>
          </w:cols>
          <w:pgMar w:left="320" w:top="321" w:right="3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I—FINANCIAL INFORMATION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PARSONS CORPORATION AND SUBSIDIARIES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jc w:val="center"/>
        <w:spacing w:after="0" w:line="234" w:lineRule="auto"/>
        <w:rPr>
          <w:sz w:val="20"/>
          <w:szCs w:val="20"/>
          <w:color w:val="auto"/>
        </w:rPr>
      </w:pPr>
      <w:r>
        <w:rPr>
          <w:rFonts w:ascii="Arial" w:cs="Arial" w:eastAsia="Arial" w:hAnsi="Arial"/>
          <w:sz w:val="18"/>
          <w:szCs w:val="18"/>
          <w:i w:val="1"/>
          <w:iCs w:val="1"/>
          <w:color w:val="auto"/>
        </w:rPr>
        <w:t>(in thousands, except share information)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7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September 30, 2020</w:t>
            </w:r>
          </w:p>
        </w:tc>
        <w:tc>
          <w:tcPr>
            <w:tcW w:w="120" w:type="dxa"/>
            <w:vAlign w:val="bottom"/>
          </w:tcPr>
          <w:p>
            <w:pPr>
              <w:spacing w:after="0"/>
              <w:rPr>
                <w:sz w:val="15"/>
                <w:szCs w:val="15"/>
                <w:color w:val="auto"/>
              </w:rPr>
            </w:pPr>
          </w:p>
        </w:tc>
        <w:tc>
          <w:tcPr>
            <w:tcW w:w="16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December 31, 2019</w:t>
            </w:r>
          </w:p>
        </w:tc>
      </w:tr>
      <w:tr>
        <w:trPr>
          <w:trHeight w:val="169"/>
        </w:trPr>
        <w:tc>
          <w:tcPr>
            <w:tcW w:w="7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4"/>
                <w:szCs w:val="14"/>
                <w:b w:val="1"/>
                <w:bCs w:val="1"/>
                <w:color w:val="auto"/>
              </w:rPr>
              <w:t>Assets</w:t>
            </w:r>
          </w:p>
        </w:tc>
        <w:tc>
          <w:tcPr>
            <w:tcW w:w="10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1580" w:type="dxa"/>
            <w:vAlign w:val="bottom"/>
            <w:tcBorders>
              <w:top w:val="single" w:sz="8" w:color="auto"/>
            </w:tcBorders>
            <w:shd w:val="clear" w:color="auto" w:fill="CFF0FC"/>
          </w:tcPr>
          <w:p>
            <w:pPr>
              <w:spacing w:after="0"/>
              <w:rPr>
                <w:sz w:val="14"/>
                <w:szCs w:val="14"/>
                <w:color w:val="auto"/>
              </w:rPr>
            </w:pPr>
          </w:p>
        </w:tc>
        <w:tc>
          <w:tcPr>
            <w:tcW w:w="26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1580" w:type="dxa"/>
            <w:vAlign w:val="bottom"/>
            <w:tcBorders>
              <w:top w:val="single" w:sz="8" w:color="auto"/>
            </w:tcBorders>
            <w:shd w:val="clear" w:color="auto" w:fill="CFF0FC"/>
          </w:tcPr>
          <w:p>
            <w:pPr>
              <w:spacing w:after="0"/>
              <w:rPr>
                <w:sz w:val="14"/>
                <w:szCs w:val="14"/>
                <w:color w:val="auto"/>
              </w:rPr>
            </w:pPr>
          </w:p>
        </w:tc>
        <w:tc>
          <w:tcPr>
            <w:tcW w:w="100" w:type="dxa"/>
            <w:vAlign w:val="bottom"/>
            <w:tcBorders>
              <w:top w:val="single" w:sz="8" w:color="CFF0FC"/>
            </w:tcBorders>
            <w:shd w:val="clear" w:color="auto" w:fill="CFF0FC"/>
          </w:tcPr>
          <w:p>
            <w:pPr>
              <w:spacing w:after="0"/>
              <w:rPr>
                <w:sz w:val="14"/>
                <w:szCs w:val="14"/>
                <w:color w:val="auto"/>
              </w:rPr>
            </w:pPr>
          </w:p>
        </w:tc>
      </w:tr>
      <w:tr>
        <w:trPr>
          <w:trHeight w:val="175"/>
        </w:trPr>
        <w:tc>
          <w:tcPr>
            <w:tcW w:w="7380" w:type="dxa"/>
            <w:vAlign w:val="bottom"/>
          </w:tcPr>
          <w:p>
            <w:pPr>
              <w:spacing w:after="0"/>
              <w:rPr>
                <w:sz w:val="20"/>
                <w:szCs w:val="20"/>
                <w:color w:val="auto"/>
              </w:rPr>
            </w:pPr>
            <w:r>
              <w:rPr>
                <w:rFonts w:ascii="Arial" w:cs="Arial" w:eastAsia="Arial" w:hAnsi="Arial"/>
                <w:sz w:val="14"/>
                <w:szCs w:val="14"/>
                <w:color w:val="auto"/>
              </w:rPr>
              <w:t>Current assets: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73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Cash and cash equivalents (including $50,585 and $51,171 Cash of consolidated joint ventures)</w:t>
            </w: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614,031</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182,688</w:t>
            </w:r>
          </w:p>
        </w:tc>
        <w:tc>
          <w:tcPr>
            <w:tcW w:w="100" w:type="dxa"/>
            <w:vAlign w:val="bottom"/>
            <w:shd w:val="clear" w:color="auto" w:fill="CFF0FC"/>
          </w:tcPr>
          <w:p>
            <w:pPr>
              <w:spacing w:after="0"/>
              <w:rPr>
                <w:sz w:val="15"/>
                <w:szCs w:val="15"/>
                <w:color w:val="auto"/>
              </w:rPr>
            </w:pPr>
          </w:p>
        </w:tc>
      </w:tr>
      <w:tr>
        <w:trPr>
          <w:trHeight w:val="175"/>
        </w:trPr>
        <w:tc>
          <w:tcPr>
            <w:tcW w:w="7380" w:type="dxa"/>
            <w:vAlign w:val="bottom"/>
          </w:tcPr>
          <w:p>
            <w:pPr>
              <w:ind w:left="260"/>
              <w:spacing w:after="0"/>
              <w:rPr>
                <w:sz w:val="20"/>
                <w:szCs w:val="20"/>
                <w:color w:val="auto"/>
              </w:rPr>
            </w:pPr>
            <w:r>
              <w:rPr>
                <w:rFonts w:ascii="Arial" w:cs="Arial" w:eastAsia="Arial" w:hAnsi="Arial"/>
                <w:sz w:val="14"/>
                <w:szCs w:val="14"/>
                <w:color w:val="auto"/>
              </w:rPr>
              <w:t>Restricted cash and investments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3,726</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12,686</w:t>
            </w:r>
          </w:p>
        </w:tc>
        <w:tc>
          <w:tcPr>
            <w:tcW w:w="100" w:type="dxa"/>
            <w:vAlign w:val="bottom"/>
          </w:tcPr>
          <w:p>
            <w:pPr>
              <w:spacing w:after="0"/>
              <w:rPr>
                <w:sz w:val="15"/>
                <w:szCs w:val="15"/>
                <w:color w:val="auto"/>
              </w:rPr>
            </w:pPr>
          </w:p>
        </w:tc>
      </w:tr>
      <w:tr>
        <w:trPr>
          <w:trHeight w:val="162"/>
        </w:trPr>
        <w:tc>
          <w:tcPr>
            <w:tcW w:w="73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Accounts receivable, net (including $259,691 and $166,355 Accounts receivable of consolidated joint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5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5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5"/>
        </w:trPr>
        <w:tc>
          <w:tcPr>
            <w:tcW w:w="73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ventures, net)</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775,060</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671,492</w:t>
            </w:r>
          </w:p>
        </w:tc>
        <w:tc>
          <w:tcPr>
            <w:tcW w:w="100" w:type="dxa"/>
            <w:vAlign w:val="bottom"/>
            <w:shd w:val="clear" w:color="auto" w:fill="CFF0FC"/>
          </w:tcPr>
          <w:p>
            <w:pPr>
              <w:spacing w:after="0"/>
              <w:rPr>
                <w:sz w:val="15"/>
                <w:szCs w:val="15"/>
                <w:color w:val="auto"/>
              </w:rPr>
            </w:pPr>
          </w:p>
        </w:tc>
      </w:tr>
      <w:tr>
        <w:trPr>
          <w:trHeight w:val="176"/>
        </w:trPr>
        <w:tc>
          <w:tcPr>
            <w:tcW w:w="7380" w:type="dxa"/>
            <w:vAlign w:val="bottom"/>
          </w:tcPr>
          <w:p>
            <w:pPr>
              <w:ind w:left="260"/>
              <w:spacing w:after="0"/>
              <w:rPr>
                <w:sz w:val="20"/>
                <w:szCs w:val="20"/>
                <w:color w:val="auto"/>
              </w:rPr>
            </w:pPr>
            <w:r>
              <w:rPr>
                <w:rFonts w:ascii="Arial" w:cs="Arial" w:eastAsia="Arial" w:hAnsi="Arial"/>
                <w:sz w:val="14"/>
                <w:szCs w:val="14"/>
                <w:color w:val="auto"/>
              </w:rPr>
              <w:t>Contract assets (including $29,054 and $26,458 Contract assets of consolidated joint ventures)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610,893</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575,089</w:t>
            </w:r>
          </w:p>
        </w:tc>
        <w:tc>
          <w:tcPr>
            <w:tcW w:w="100" w:type="dxa"/>
            <w:vAlign w:val="bottom"/>
          </w:tcPr>
          <w:p>
            <w:pPr>
              <w:spacing w:after="0"/>
              <w:rPr>
                <w:sz w:val="15"/>
                <w:szCs w:val="15"/>
                <w:color w:val="auto"/>
              </w:rPr>
            </w:pPr>
          </w:p>
        </w:tc>
      </w:tr>
      <w:tr>
        <w:trPr>
          <w:trHeight w:val="162"/>
        </w:trPr>
        <w:tc>
          <w:tcPr>
            <w:tcW w:w="73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Prepaid expenses and other current assets (including $3,974 and $11,182 Prepaid expenses and other current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5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5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5"/>
        </w:trPr>
        <w:tc>
          <w:tcPr>
            <w:tcW w:w="73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assets of consolidated joint ventures)</w:t>
            </w:r>
          </w:p>
        </w:tc>
        <w:tc>
          <w:tcPr>
            <w:tcW w:w="100" w:type="dxa"/>
            <w:vAlign w:val="bottom"/>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77,909</w:t>
            </w:r>
          </w:p>
        </w:tc>
        <w:tc>
          <w:tcPr>
            <w:tcW w:w="260" w:type="dxa"/>
            <w:vAlign w:val="bottom"/>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84,454</w:t>
            </w:r>
          </w:p>
        </w:tc>
        <w:tc>
          <w:tcPr>
            <w:tcW w:w="100" w:type="dxa"/>
            <w:vAlign w:val="bottom"/>
            <w:shd w:val="clear" w:color="auto" w:fill="CFF0FC"/>
          </w:tcPr>
          <w:p>
            <w:pPr>
              <w:spacing w:after="0"/>
              <w:rPr>
                <w:sz w:val="15"/>
                <w:szCs w:val="15"/>
                <w:color w:val="auto"/>
              </w:rPr>
            </w:pPr>
          </w:p>
        </w:tc>
      </w:tr>
      <w:tr>
        <w:trPr>
          <w:trHeight w:val="169"/>
        </w:trPr>
        <w:tc>
          <w:tcPr>
            <w:tcW w:w="7380" w:type="dxa"/>
            <w:vAlign w:val="bottom"/>
            <w:tcBorders>
              <w:bottom w:val="single" w:sz="8" w:color="CFF0FC"/>
            </w:tcBorders>
          </w:tcPr>
          <w:p>
            <w:pPr>
              <w:ind w:left="520"/>
              <w:spacing w:after="0"/>
              <w:rPr>
                <w:sz w:val="20"/>
                <w:szCs w:val="20"/>
                <w:color w:val="auto"/>
              </w:rPr>
            </w:pPr>
            <w:r>
              <w:rPr>
                <w:rFonts w:ascii="Arial" w:cs="Arial" w:eastAsia="Arial" w:hAnsi="Arial"/>
                <w:sz w:val="14"/>
                <w:szCs w:val="14"/>
                <w:color w:val="auto"/>
              </w:rPr>
              <w:t>Total current assets</w:t>
            </w:r>
          </w:p>
        </w:tc>
        <w:tc>
          <w:tcPr>
            <w:tcW w:w="10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2,081,619</w:t>
            </w:r>
          </w:p>
        </w:tc>
        <w:tc>
          <w:tcPr>
            <w:tcW w:w="26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1,526,409</w:t>
            </w:r>
          </w:p>
        </w:tc>
        <w:tc>
          <w:tcPr>
            <w:tcW w:w="100" w:type="dxa"/>
            <w:vAlign w:val="bottom"/>
            <w:tcBorders>
              <w:bottom w:val="single" w:sz="8" w:color="CFF0FC"/>
            </w:tcBorders>
          </w:tcPr>
          <w:p>
            <w:pPr>
              <w:spacing w:after="0"/>
              <w:rPr>
                <w:sz w:val="14"/>
                <w:szCs w:val="14"/>
                <w:color w:val="auto"/>
              </w:rPr>
            </w:pPr>
          </w:p>
        </w:tc>
      </w:tr>
      <w:tr>
        <w:trPr>
          <w:trHeight w:val="169"/>
        </w:trPr>
        <w:tc>
          <w:tcPr>
            <w:tcW w:w="73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5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5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7380" w:type="dxa"/>
            <w:vAlign w:val="bottom"/>
          </w:tcPr>
          <w:p>
            <w:pPr>
              <w:ind w:left="260"/>
              <w:spacing w:after="0"/>
              <w:rPr>
                <w:sz w:val="20"/>
                <w:szCs w:val="20"/>
                <w:color w:val="auto"/>
              </w:rPr>
            </w:pPr>
            <w:r>
              <w:rPr>
                <w:rFonts w:ascii="Arial" w:cs="Arial" w:eastAsia="Arial" w:hAnsi="Arial"/>
                <w:sz w:val="14"/>
                <w:szCs w:val="14"/>
                <w:color w:val="auto"/>
              </w:rPr>
              <w:t>Property and equipment, net (including $2,649 and $2,945 Property and equipment of consolidated joint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5"/>
        </w:trPr>
        <w:tc>
          <w:tcPr>
            <w:tcW w:w="7380" w:type="dxa"/>
            <w:vAlign w:val="bottom"/>
          </w:tcPr>
          <w:p>
            <w:pPr>
              <w:ind w:left="260"/>
              <w:spacing w:after="0"/>
              <w:rPr>
                <w:sz w:val="20"/>
                <w:szCs w:val="20"/>
                <w:color w:val="auto"/>
              </w:rPr>
            </w:pPr>
            <w:r>
              <w:rPr>
                <w:rFonts w:ascii="Arial" w:cs="Arial" w:eastAsia="Arial" w:hAnsi="Arial"/>
                <w:sz w:val="14"/>
                <w:szCs w:val="14"/>
                <w:color w:val="auto"/>
              </w:rPr>
              <w:t>ventures, net)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121,486</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122,751</w:t>
            </w:r>
          </w:p>
        </w:tc>
        <w:tc>
          <w:tcPr>
            <w:tcW w:w="100" w:type="dxa"/>
            <w:vAlign w:val="bottom"/>
          </w:tcPr>
          <w:p>
            <w:pPr>
              <w:spacing w:after="0"/>
              <w:rPr>
                <w:sz w:val="15"/>
                <w:szCs w:val="15"/>
                <w:color w:val="auto"/>
              </w:rPr>
            </w:pPr>
          </w:p>
        </w:tc>
      </w:tr>
      <w:tr>
        <w:trPr>
          <w:trHeight w:val="176"/>
        </w:trPr>
        <w:tc>
          <w:tcPr>
            <w:tcW w:w="73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Right of use assets, operating leases</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212,592</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233,415</w:t>
            </w:r>
          </w:p>
        </w:tc>
        <w:tc>
          <w:tcPr>
            <w:tcW w:w="100" w:type="dxa"/>
            <w:vAlign w:val="bottom"/>
            <w:shd w:val="clear" w:color="auto" w:fill="CFF0FC"/>
          </w:tcPr>
          <w:p>
            <w:pPr>
              <w:spacing w:after="0"/>
              <w:rPr>
                <w:sz w:val="15"/>
                <w:szCs w:val="15"/>
                <w:color w:val="auto"/>
              </w:rPr>
            </w:pPr>
          </w:p>
        </w:tc>
      </w:tr>
      <w:tr>
        <w:trPr>
          <w:trHeight w:val="176"/>
        </w:trPr>
        <w:tc>
          <w:tcPr>
            <w:tcW w:w="7380" w:type="dxa"/>
            <w:vAlign w:val="bottom"/>
          </w:tcPr>
          <w:p>
            <w:pPr>
              <w:ind w:left="260"/>
              <w:spacing w:after="0"/>
              <w:rPr>
                <w:sz w:val="20"/>
                <w:szCs w:val="20"/>
                <w:color w:val="auto"/>
              </w:rPr>
            </w:pPr>
            <w:r>
              <w:rPr>
                <w:rFonts w:ascii="Arial" w:cs="Arial" w:eastAsia="Arial" w:hAnsi="Arial"/>
                <w:sz w:val="14"/>
                <w:szCs w:val="14"/>
                <w:color w:val="auto"/>
              </w:rPr>
              <w:t>Goodwill</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1,046,453</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1,047,425</w:t>
            </w:r>
          </w:p>
        </w:tc>
        <w:tc>
          <w:tcPr>
            <w:tcW w:w="100" w:type="dxa"/>
            <w:vAlign w:val="bottom"/>
          </w:tcPr>
          <w:p>
            <w:pPr>
              <w:spacing w:after="0"/>
              <w:rPr>
                <w:sz w:val="15"/>
                <w:szCs w:val="15"/>
                <w:color w:val="auto"/>
              </w:rPr>
            </w:pPr>
          </w:p>
        </w:tc>
      </w:tr>
      <w:tr>
        <w:trPr>
          <w:trHeight w:val="175"/>
        </w:trPr>
        <w:tc>
          <w:tcPr>
            <w:tcW w:w="73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Investments in and advances to unconsolidated joint ventures</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71,289</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68,620</w:t>
            </w:r>
          </w:p>
        </w:tc>
        <w:tc>
          <w:tcPr>
            <w:tcW w:w="100" w:type="dxa"/>
            <w:vAlign w:val="bottom"/>
            <w:shd w:val="clear" w:color="auto" w:fill="CFF0FC"/>
          </w:tcPr>
          <w:p>
            <w:pPr>
              <w:spacing w:after="0"/>
              <w:rPr>
                <w:sz w:val="15"/>
                <w:szCs w:val="15"/>
                <w:color w:val="auto"/>
              </w:rPr>
            </w:pPr>
          </w:p>
        </w:tc>
      </w:tr>
      <w:tr>
        <w:trPr>
          <w:trHeight w:val="176"/>
        </w:trPr>
        <w:tc>
          <w:tcPr>
            <w:tcW w:w="7380" w:type="dxa"/>
            <w:vAlign w:val="bottom"/>
          </w:tcPr>
          <w:p>
            <w:pPr>
              <w:ind w:left="260"/>
              <w:spacing w:after="0"/>
              <w:rPr>
                <w:sz w:val="20"/>
                <w:szCs w:val="20"/>
                <w:color w:val="auto"/>
              </w:rPr>
            </w:pPr>
            <w:r>
              <w:rPr>
                <w:rFonts w:ascii="Arial" w:cs="Arial" w:eastAsia="Arial" w:hAnsi="Arial"/>
                <w:sz w:val="14"/>
                <w:szCs w:val="14"/>
                <w:color w:val="auto"/>
              </w:rPr>
              <w:t>Intangible assets, net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194,082</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259,858</w:t>
            </w:r>
          </w:p>
        </w:tc>
        <w:tc>
          <w:tcPr>
            <w:tcW w:w="100" w:type="dxa"/>
            <w:vAlign w:val="bottom"/>
          </w:tcPr>
          <w:p>
            <w:pPr>
              <w:spacing w:after="0"/>
              <w:rPr>
                <w:sz w:val="15"/>
                <w:szCs w:val="15"/>
                <w:color w:val="auto"/>
              </w:rPr>
            </w:pPr>
          </w:p>
        </w:tc>
      </w:tr>
      <w:tr>
        <w:trPr>
          <w:trHeight w:val="175"/>
        </w:trPr>
        <w:tc>
          <w:tcPr>
            <w:tcW w:w="73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Deferred tax assets</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130,904</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130,401</w:t>
            </w:r>
          </w:p>
        </w:tc>
        <w:tc>
          <w:tcPr>
            <w:tcW w:w="100" w:type="dxa"/>
            <w:vAlign w:val="bottom"/>
            <w:shd w:val="clear" w:color="auto" w:fill="CFF0FC"/>
          </w:tcPr>
          <w:p>
            <w:pPr>
              <w:spacing w:after="0"/>
              <w:rPr>
                <w:sz w:val="15"/>
                <w:szCs w:val="15"/>
                <w:color w:val="auto"/>
              </w:rPr>
            </w:pPr>
          </w:p>
        </w:tc>
      </w:tr>
      <w:tr>
        <w:trPr>
          <w:trHeight w:val="176"/>
        </w:trPr>
        <w:tc>
          <w:tcPr>
            <w:tcW w:w="7380" w:type="dxa"/>
            <w:vAlign w:val="bottom"/>
            <w:tcBorders>
              <w:bottom w:val="single" w:sz="8" w:color="CFF0FC"/>
            </w:tcBorders>
          </w:tcPr>
          <w:p>
            <w:pPr>
              <w:ind w:left="260"/>
              <w:spacing w:after="0"/>
              <w:rPr>
                <w:sz w:val="20"/>
                <w:szCs w:val="20"/>
                <w:color w:val="auto"/>
              </w:rPr>
            </w:pPr>
            <w:r>
              <w:rPr>
                <w:rFonts w:ascii="Arial" w:cs="Arial" w:eastAsia="Arial" w:hAnsi="Arial"/>
                <w:sz w:val="14"/>
                <w:szCs w:val="14"/>
                <w:color w:val="auto"/>
              </w:rPr>
              <w:t>Other noncurrent assets</w:t>
            </w:r>
          </w:p>
        </w:tc>
        <w:tc>
          <w:tcPr>
            <w:tcW w:w="10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60,336</w:t>
            </w:r>
          </w:p>
        </w:tc>
        <w:tc>
          <w:tcPr>
            <w:tcW w:w="26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61,489</w:t>
            </w:r>
          </w:p>
        </w:tc>
        <w:tc>
          <w:tcPr>
            <w:tcW w:w="100" w:type="dxa"/>
            <w:vAlign w:val="bottom"/>
            <w:tcBorders>
              <w:bottom w:val="single" w:sz="8" w:color="CFF0FC"/>
            </w:tcBorders>
          </w:tcPr>
          <w:p>
            <w:pPr>
              <w:spacing w:after="0"/>
              <w:rPr>
                <w:sz w:val="15"/>
                <w:szCs w:val="15"/>
                <w:color w:val="auto"/>
              </w:rPr>
            </w:pPr>
          </w:p>
        </w:tc>
      </w:tr>
      <w:tr>
        <w:trPr>
          <w:trHeight w:val="169"/>
        </w:trPr>
        <w:tc>
          <w:tcPr>
            <w:tcW w:w="7380" w:type="dxa"/>
            <w:vAlign w:val="bottom"/>
            <w:shd w:val="clear" w:color="auto" w:fill="CFF0FC"/>
          </w:tcPr>
          <w:p>
            <w:pPr>
              <w:ind w:left="520"/>
              <w:spacing w:after="0"/>
              <w:rPr>
                <w:sz w:val="20"/>
                <w:szCs w:val="20"/>
                <w:color w:val="auto"/>
              </w:rPr>
            </w:pPr>
            <w:r>
              <w:rPr>
                <w:rFonts w:ascii="Arial" w:cs="Arial" w:eastAsia="Arial" w:hAnsi="Arial"/>
                <w:sz w:val="14"/>
                <w:szCs w:val="14"/>
                <w:color w:val="auto"/>
              </w:rPr>
              <w:t>Total assets</w:t>
            </w: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3,918,761</w:t>
            </w: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3,450,368</w:t>
            </w:r>
          </w:p>
        </w:tc>
        <w:tc>
          <w:tcPr>
            <w:tcW w:w="100" w:type="dxa"/>
            <w:vAlign w:val="bottom"/>
            <w:shd w:val="clear" w:color="auto" w:fill="CFF0FC"/>
          </w:tcPr>
          <w:p>
            <w:pPr>
              <w:spacing w:after="0"/>
              <w:rPr>
                <w:sz w:val="14"/>
                <w:szCs w:val="14"/>
                <w:color w:val="auto"/>
              </w:rPr>
            </w:pPr>
          </w:p>
        </w:tc>
      </w:tr>
      <w:tr>
        <w:trPr>
          <w:trHeight w:val="20"/>
        </w:trPr>
        <w:tc>
          <w:tcPr>
            <w:tcW w:w="73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r>
        <w:trPr>
          <w:trHeight w:val="156"/>
        </w:trPr>
        <w:tc>
          <w:tcPr>
            <w:tcW w:w="7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5"/>
        </w:trPr>
        <w:tc>
          <w:tcPr>
            <w:tcW w:w="738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Liabilities and Shareholders' Equity (Deficit)</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5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5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6"/>
        </w:trPr>
        <w:tc>
          <w:tcPr>
            <w:tcW w:w="7380" w:type="dxa"/>
            <w:vAlign w:val="bottom"/>
          </w:tcPr>
          <w:p>
            <w:pPr>
              <w:spacing w:after="0"/>
              <w:rPr>
                <w:sz w:val="20"/>
                <w:szCs w:val="20"/>
                <w:color w:val="auto"/>
              </w:rPr>
            </w:pPr>
            <w:r>
              <w:rPr>
                <w:rFonts w:ascii="Arial" w:cs="Arial" w:eastAsia="Arial" w:hAnsi="Arial"/>
                <w:sz w:val="14"/>
                <w:szCs w:val="14"/>
                <w:color w:val="auto"/>
              </w:rPr>
              <w:t>Current liabilities: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73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Accounts payable (including $72,949 and $85,869 Accounts payable of consolidated joint ventures)</w:t>
            </w: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208,307</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216,613</w:t>
            </w:r>
          </w:p>
        </w:tc>
        <w:tc>
          <w:tcPr>
            <w:tcW w:w="100" w:type="dxa"/>
            <w:vAlign w:val="bottom"/>
            <w:shd w:val="clear" w:color="auto" w:fill="CFF0FC"/>
          </w:tcPr>
          <w:p>
            <w:pPr>
              <w:spacing w:after="0"/>
              <w:rPr>
                <w:sz w:val="15"/>
                <w:szCs w:val="15"/>
                <w:color w:val="auto"/>
              </w:rPr>
            </w:pPr>
          </w:p>
        </w:tc>
      </w:tr>
      <w:tr>
        <w:trPr>
          <w:trHeight w:val="162"/>
        </w:trPr>
        <w:tc>
          <w:tcPr>
            <w:tcW w:w="7380" w:type="dxa"/>
            <w:vAlign w:val="bottom"/>
          </w:tcPr>
          <w:p>
            <w:pPr>
              <w:ind w:left="260"/>
              <w:spacing w:after="0"/>
              <w:rPr>
                <w:sz w:val="20"/>
                <w:szCs w:val="20"/>
                <w:color w:val="auto"/>
              </w:rPr>
            </w:pPr>
            <w:r>
              <w:rPr>
                <w:rFonts w:ascii="Arial" w:cs="Arial" w:eastAsia="Arial" w:hAnsi="Arial"/>
                <w:sz w:val="14"/>
                <w:szCs w:val="14"/>
                <w:color w:val="auto"/>
              </w:rPr>
              <w:t>Accrued expenses and other current liabilities (including $141,476 and $74,857 Accrued expenses and other</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5"/>
        </w:trPr>
        <w:tc>
          <w:tcPr>
            <w:tcW w:w="7380" w:type="dxa"/>
            <w:vAlign w:val="bottom"/>
          </w:tcPr>
          <w:p>
            <w:pPr>
              <w:ind w:left="260"/>
              <w:spacing w:after="0"/>
              <w:rPr>
                <w:sz w:val="20"/>
                <w:szCs w:val="20"/>
                <w:color w:val="auto"/>
              </w:rPr>
            </w:pPr>
            <w:r>
              <w:rPr>
                <w:rFonts w:ascii="Arial" w:cs="Arial" w:eastAsia="Arial" w:hAnsi="Arial"/>
                <w:sz w:val="14"/>
                <w:szCs w:val="14"/>
                <w:color w:val="auto"/>
              </w:rPr>
              <w:t>current liabilities of consolidated joint ventures)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725,867</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639,863</w:t>
            </w:r>
          </w:p>
        </w:tc>
        <w:tc>
          <w:tcPr>
            <w:tcW w:w="100" w:type="dxa"/>
            <w:vAlign w:val="bottom"/>
          </w:tcPr>
          <w:p>
            <w:pPr>
              <w:spacing w:after="0"/>
              <w:rPr>
                <w:sz w:val="15"/>
                <w:szCs w:val="15"/>
                <w:color w:val="auto"/>
              </w:rPr>
            </w:pPr>
          </w:p>
        </w:tc>
      </w:tr>
      <w:tr>
        <w:trPr>
          <w:trHeight w:val="175"/>
        </w:trPr>
        <w:tc>
          <w:tcPr>
            <w:tcW w:w="73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Contract liabilities (including $44,267 and $32,638 Contract liabilities of consolidated joint ventures)</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212,373</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230,681</w:t>
            </w:r>
          </w:p>
        </w:tc>
        <w:tc>
          <w:tcPr>
            <w:tcW w:w="100" w:type="dxa"/>
            <w:vAlign w:val="bottom"/>
            <w:shd w:val="clear" w:color="auto" w:fill="CFF0FC"/>
          </w:tcPr>
          <w:p>
            <w:pPr>
              <w:spacing w:after="0"/>
              <w:rPr>
                <w:sz w:val="15"/>
                <w:szCs w:val="15"/>
                <w:color w:val="auto"/>
              </w:rPr>
            </w:pPr>
          </w:p>
        </w:tc>
      </w:tr>
      <w:tr>
        <w:trPr>
          <w:trHeight w:val="175"/>
        </w:trPr>
        <w:tc>
          <w:tcPr>
            <w:tcW w:w="7380" w:type="dxa"/>
            <w:vAlign w:val="bottom"/>
          </w:tcPr>
          <w:p>
            <w:pPr>
              <w:ind w:left="260"/>
              <w:spacing w:after="0"/>
              <w:rPr>
                <w:sz w:val="20"/>
                <w:szCs w:val="20"/>
                <w:color w:val="auto"/>
              </w:rPr>
            </w:pPr>
            <w:r>
              <w:rPr>
                <w:rFonts w:ascii="Arial" w:cs="Arial" w:eastAsia="Arial" w:hAnsi="Arial"/>
                <w:sz w:val="14"/>
                <w:szCs w:val="14"/>
                <w:color w:val="auto"/>
              </w:rPr>
              <w:t>Short-term lease liabilities, operating leases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48,661</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49,994</w:t>
            </w:r>
          </w:p>
        </w:tc>
        <w:tc>
          <w:tcPr>
            <w:tcW w:w="100" w:type="dxa"/>
            <w:vAlign w:val="bottom"/>
          </w:tcPr>
          <w:p>
            <w:pPr>
              <w:spacing w:after="0"/>
              <w:rPr>
                <w:sz w:val="15"/>
                <w:szCs w:val="15"/>
                <w:color w:val="auto"/>
              </w:rPr>
            </w:pPr>
          </w:p>
        </w:tc>
      </w:tr>
      <w:tr>
        <w:trPr>
          <w:trHeight w:val="176"/>
        </w:trPr>
        <w:tc>
          <w:tcPr>
            <w:tcW w:w="73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Income taxes payable</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1,342</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7,231</w:t>
            </w:r>
          </w:p>
        </w:tc>
        <w:tc>
          <w:tcPr>
            <w:tcW w:w="100" w:type="dxa"/>
            <w:vAlign w:val="bottom"/>
            <w:shd w:val="clear" w:color="auto" w:fill="CFF0FC"/>
          </w:tcPr>
          <w:p>
            <w:pPr>
              <w:spacing w:after="0"/>
              <w:rPr>
                <w:sz w:val="15"/>
                <w:szCs w:val="15"/>
                <w:color w:val="auto"/>
              </w:rPr>
            </w:pPr>
          </w:p>
        </w:tc>
      </w:tr>
      <w:tr>
        <w:trPr>
          <w:trHeight w:val="175"/>
        </w:trPr>
        <w:tc>
          <w:tcPr>
            <w:tcW w:w="7380" w:type="dxa"/>
            <w:vAlign w:val="bottom"/>
            <w:tcBorders>
              <w:bottom w:val="single" w:sz="8" w:color="CFF0FC"/>
            </w:tcBorders>
          </w:tcPr>
          <w:p>
            <w:pPr>
              <w:ind w:left="260"/>
              <w:spacing w:after="0"/>
              <w:rPr>
                <w:sz w:val="20"/>
                <w:szCs w:val="20"/>
                <w:color w:val="auto"/>
              </w:rPr>
            </w:pPr>
            <w:r>
              <w:rPr>
                <w:rFonts w:ascii="Arial" w:cs="Arial" w:eastAsia="Arial" w:hAnsi="Arial"/>
                <w:sz w:val="14"/>
                <w:szCs w:val="14"/>
                <w:color w:val="auto"/>
              </w:rPr>
              <w:t>Short-term debt</w:t>
            </w:r>
          </w:p>
        </w:tc>
        <w:tc>
          <w:tcPr>
            <w:tcW w:w="10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50,000</w:t>
            </w:r>
          </w:p>
        </w:tc>
        <w:tc>
          <w:tcPr>
            <w:tcW w:w="26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FF0FC"/>
            </w:tcBorders>
          </w:tcPr>
          <w:p>
            <w:pPr>
              <w:spacing w:after="0"/>
              <w:rPr>
                <w:sz w:val="15"/>
                <w:szCs w:val="15"/>
                <w:color w:val="auto"/>
              </w:rPr>
            </w:pPr>
          </w:p>
        </w:tc>
      </w:tr>
      <w:tr>
        <w:trPr>
          <w:trHeight w:val="169"/>
        </w:trPr>
        <w:tc>
          <w:tcPr>
            <w:tcW w:w="7380" w:type="dxa"/>
            <w:vAlign w:val="bottom"/>
            <w:shd w:val="clear" w:color="auto" w:fill="CFF0FC"/>
          </w:tcPr>
          <w:p>
            <w:pPr>
              <w:ind w:left="520"/>
              <w:spacing w:after="0"/>
              <w:rPr>
                <w:sz w:val="20"/>
                <w:szCs w:val="20"/>
                <w:color w:val="auto"/>
              </w:rPr>
            </w:pPr>
            <w:r>
              <w:rPr>
                <w:rFonts w:ascii="Arial" w:cs="Arial" w:eastAsia="Arial" w:hAnsi="Arial"/>
                <w:sz w:val="14"/>
                <w:szCs w:val="14"/>
                <w:color w:val="auto"/>
              </w:rPr>
              <w:t>Total current liabilities</w:t>
            </w:r>
          </w:p>
        </w:tc>
        <w:tc>
          <w:tcPr>
            <w:tcW w:w="100" w:type="dxa"/>
            <w:vAlign w:val="bottom"/>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1,246,550</w:t>
            </w:r>
          </w:p>
        </w:tc>
        <w:tc>
          <w:tcPr>
            <w:tcW w:w="260" w:type="dxa"/>
            <w:vAlign w:val="bottom"/>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1,144,382</w:t>
            </w:r>
          </w:p>
        </w:tc>
        <w:tc>
          <w:tcPr>
            <w:tcW w:w="100" w:type="dxa"/>
            <w:vAlign w:val="bottom"/>
            <w:shd w:val="clear" w:color="auto" w:fill="CFF0FC"/>
          </w:tcPr>
          <w:p>
            <w:pPr>
              <w:spacing w:after="0"/>
              <w:rPr>
                <w:sz w:val="14"/>
                <w:szCs w:val="14"/>
                <w:color w:val="auto"/>
              </w:rPr>
            </w:pPr>
          </w:p>
        </w:tc>
      </w:tr>
      <w:tr>
        <w:trPr>
          <w:trHeight w:val="169"/>
        </w:trPr>
        <w:tc>
          <w:tcPr>
            <w:tcW w:w="7380" w:type="dxa"/>
            <w:vAlign w:val="bottom"/>
          </w:tcPr>
          <w:p>
            <w:pPr>
              <w:ind w:left="260"/>
              <w:spacing w:after="0"/>
              <w:rPr>
                <w:sz w:val="20"/>
                <w:szCs w:val="20"/>
                <w:color w:val="auto"/>
              </w:rPr>
            </w:pPr>
            <w:r>
              <w:rPr>
                <w:rFonts w:ascii="Arial" w:cs="Arial" w:eastAsia="Arial" w:hAnsi="Arial"/>
                <w:sz w:val="14"/>
                <w:szCs w:val="14"/>
                <w:color w:val="auto"/>
              </w:rPr>
              <w:t>Long-term employee incentives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21,535</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56,928</w:t>
            </w:r>
          </w:p>
        </w:tc>
        <w:tc>
          <w:tcPr>
            <w:tcW w:w="100" w:type="dxa"/>
            <w:vAlign w:val="bottom"/>
          </w:tcPr>
          <w:p>
            <w:pPr>
              <w:spacing w:after="0"/>
              <w:rPr>
                <w:sz w:val="14"/>
                <w:szCs w:val="14"/>
                <w:color w:val="auto"/>
              </w:rPr>
            </w:pPr>
          </w:p>
        </w:tc>
      </w:tr>
      <w:tr>
        <w:trPr>
          <w:trHeight w:val="175"/>
        </w:trPr>
        <w:tc>
          <w:tcPr>
            <w:tcW w:w="73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Long-term debt</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537,119</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249,353</w:t>
            </w:r>
          </w:p>
        </w:tc>
        <w:tc>
          <w:tcPr>
            <w:tcW w:w="100" w:type="dxa"/>
            <w:vAlign w:val="bottom"/>
            <w:shd w:val="clear" w:color="auto" w:fill="CFF0FC"/>
          </w:tcPr>
          <w:p>
            <w:pPr>
              <w:spacing w:after="0"/>
              <w:rPr>
                <w:sz w:val="15"/>
                <w:szCs w:val="15"/>
                <w:color w:val="auto"/>
              </w:rPr>
            </w:pPr>
          </w:p>
        </w:tc>
      </w:tr>
      <w:tr>
        <w:trPr>
          <w:trHeight w:val="175"/>
        </w:trPr>
        <w:tc>
          <w:tcPr>
            <w:tcW w:w="7380" w:type="dxa"/>
            <w:vAlign w:val="bottom"/>
          </w:tcPr>
          <w:p>
            <w:pPr>
              <w:ind w:left="260"/>
              <w:spacing w:after="0"/>
              <w:rPr>
                <w:sz w:val="20"/>
                <w:szCs w:val="20"/>
                <w:color w:val="auto"/>
              </w:rPr>
            </w:pPr>
            <w:r>
              <w:rPr>
                <w:rFonts w:ascii="Arial" w:cs="Arial" w:eastAsia="Arial" w:hAnsi="Arial"/>
                <w:sz w:val="14"/>
                <w:szCs w:val="14"/>
                <w:color w:val="auto"/>
              </w:rPr>
              <w:t>Long-term lease liabilities, operating leases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189,319</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203,624</w:t>
            </w:r>
          </w:p>
        </w:tc>
        <w:tc>
          <w:tcPr>
            <w:tcW w:w="100" w:type="dxa"/>
            <w:vAlign w:val="bottom"/>
          </w:tcPr>
          <w:p>
            <w:pPr>
              <w:spacing w:after="0"/>
              <w:rPr>
                <w:sz w:val="15"/>
                <w:szCs w:val="15"/>
                <w:color w:val="auto"/>
              </w:rPr>
            </w:pPr>
          </w:p>
        </w:tc>
      </w:tr>
      <w:tr>
        <w:trPr>
          <w:trHeight w:val="175"/>
        </w:trPr>
        <w:tc>
          <w:tcPr>
            <w:tcW w:w="73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Deferred tax liabilities</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9,273</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9,621</w:t>
            </w:r>
          </w:p>
        </w:tc>
        <w:tc>
          <w:tcPr>
            <w:tcW w:w="100" w:type="dxa"/>
            <w:vAlign w:val="bottom"/>
            <w:shd w:val="clear" w:color="auto" w:fill="CFF0FC"/>
          </w:tcPr>
          <w:p>
            <w:pPr>
              <w:spacing w:after="0"/>
              <w:rPr>
                <w:sz w:val="15"/>
                <w:szCs w:val="15"/>
                <w:color w:val="auto"/>
              </w:rPr>
            </w:pPr>
          </w:p>
        </w:tc>
      </w:tr>
      <w:tr>
        <w:trPr>
          <w:trHeight w:val="176"/>
        </w:trPr>
        <w:tc>
          <w:tcPr>
            <w:tcW w:w="7380" w:type="dxa"/>
            <w:vAlign w:val="bottom"/>
            <w:tcBorders>
              <w:bottom w:val="single" w:sz="8" w:color="CFF0FC"/>
            </w:tcBorders>
          </w:tcPr>
          <w:p>
            <w:pPr>
              <w:ind w:left="260"/>
              <w:spacing w:after="0"/>
              <w:rPr>
                <w:sz w:val="20"/>
                <w:szCs w:val="20"/>
                <w:color w:val="auto"/>
              </w:rPr>
            </w:pPr>
            <w:r>
              <w:rPr>
                <w:rFonts w:ascii="Arial" w:cs="Arial" w:eastAsia="Arial" w:hAnsi="Arial"/>
                <w:sz w:val="14"/>
                <w:szCs w:val="14"/>
                <w:color w:val="auto"/>
              </w:rPr>
              <w:t>Other long-term liabilities</w:t>
            </w:r>
          </w:p>
        </w:tc>
        <w:tc>
          <w:tcPr>
            <w:tcW w:w="10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145,494</w:t>
            </w:r>
          </w:p>
        </w:tc>
        <w:tc>
          <w:tcPr>
            <w:tcW w:w="26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125,704</w:t>
            </w:r>
          </w:p>
        </w:tc>
        <w:tc>
          <w:tcPr>
            <w:tcW w:w="100" w:type="dxa"/>
            <w:vAlign w:val="bottom"/>
            <w:tcBorders>
              <w:bottom w:val="single" w:sz="8" w:color="CFF0FC"/>
            </w:tcBorders>
          </w:tcPr>
          <w:p>
            <w:pPr>
              <w:spacing w:after="0"/>
              <w:rPr>
                <w:sz w:val="15"/>
                <w:szCs w:val="15"/>
                <w:color w:val="auto"/>
              </w:rPr>
            </w:pPr>
          </w:p>
        </w:tc>
      </w:tr>
      <w:tr>
        <w:trPr>
          <w:trHeight w:val="169"/>
        </w:trPr>
        <w:tc>
          <w:tcPr>
            <w:tcW w:w="7380" w:type="dxa"/>
            <w:vAlign w:val="bottom"/>
            <w:shd w:val="clear" w:color="auto" w:fill="CFF0FC"/>
          </w:tcPr>
          <w:p>
            <w:pPr>
              <w:ind w:left="520"/>
              <w:spacing w:after="0"/>
              <w:rPr>
                <w:sz w:val="20"/>
                <w:szCs w:val="20"/>
                <w:color w:val="auto"/>
              </w:rPr>
            </w:pPr>
            <w:r>
              <w:rPr>
                <w:rFonts w:ascii="Arial" w:cs="Arial" w:eastAsia="Arial" w:hAnsi="Arial"/>
                <w:sz w:val="14"/>
                <w:szCs w:val="14"/>
                <w:color w:val="auto"/>
              </w:rPr>
              <w:t>Total liabilities</w:t>
            </w:r>
          </w:p>
        </w:tc>
        <w:tc>
          <w:tcPr>
            <w:tcW w:w="100" w:type="dxa"/>
            <w:vAlign w:val="bottom"/>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2,149,290</w:t>
            </w:r>
          </w:p>
        </w:tc>
        <w:tc>
          <w:tcPr>
            <w:tcW w:w="260" w:type="dxa"/>
            <w:vAlign w:val="bottom"/>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1,789,612</w:t>
            </w:r>
          </w:p>
        </w:tc>
        <w:tc>
          <w:tcPr>
            <w:tcW w:w="100" w:type="dxa"/>
            <w:vAlign w:val="bottom"/>
            <w:shd w:val="clear" w:color="auto" w:fill="CFF0FC"/>
          </w:tcPr>
          <w:p>
            <w:pPr>
              <w:spacing w:after="0"/>
              <w:rPr>
                <w:sz w:val="14"/>
                <w:szCs w:val="14"/>
                <w:color w:val="auto"/>
              </w:rPr>
            </w:pPr>
          </w:p>
        </w:tc>
      </w:tr>
      <w:tr>
        <w:trPr>
          <w:trHeight w:val="169"/>
        </w:trPr>
        <w:tc>
          <w:tcPr>
            <w:tcW w:w="7380" w:type="dxa"/>
            <w:vAlign w:val="bottom"/>
          </w:tcPr>
          <w:p>
            <w:pPr>
              <w:spacing w:after="0"/>
              <w:rPr>
                <w:sz w:val="20"/>
                <w:szCs w:val="20"/>
                <w:color w:val="auto"/>
              </w:rPr>
            </w:pPr>
            <w:r>
              <w:rPr>
                <w:rFonts w:ascii="Arial" w:cs="Arial" w:eastAsia="Arial" w:hAnsi="Arial"/>
                <w:sz w:val="14"/>
                <w:szCs w:val="14"/>
                <w:color w:val="auto"/>
              </w:rPr>
              <w:t>Contingencies (Note 12)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5"/>
        </w:trPr>
        <w:tc>
          <w:tcPr>
            <w:tcW w:w="7380" w:type="dxa"/>
            <w:vAlign w:val="bottom"/>
            <w:shd w:val="clear" w:color="auto" w:fill="CFF0FC"/>
          </w:tcPr>
          <w:p>
            <w:pPr>
              <w:spacing w:after="0"/>
              <w:rPr>
                <w:sz w:val="20"/>
                <w:szCs w:val="20"/>
                <w:color w:val="auto"/>
              </w:rPr>
            </w:pPr>
            <w:r>
              <w:rPr>
                <w:rFonts w:ascii="Arial" w:cs="Arial" w:eastAsia="Arial" w:hAnsi="Arial"/>
                <w:sz w:val="14"/>
                <w:szCs w:val="14"/>
                <w:color w:val="auto"/>
              </w:rPr>
              <w:t>Shareholders' equity (deficit):</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5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5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62"/>
        </w:trPr>
        <w:tc>
          <w:tcPr>
            <w:tcW w:w="7380" w:type="dxa"/>
            <w:vAlign w:val="bottom"/>
          </w:tcPr>
          <w:p>
            <w:pPr>
              <w:ind w:left="260"/>
              <w:spacing w:after="0"/>
              <w:rPr>
                <w:sz w:val="20"/>
                <w:szCs w:val="20"/>
                <w:color w:val="auto"/>
              </w:rPr>
            </w:pPr>
            <w:r>
              <w:rPr>
                <w:rFonts w:ascii="Arial" w:cs="Arial" w:eastAsia="Arial" w:hAnsi="Arial"/>
                <w:sz w:val="14"/>
                <w:szCs w:val="14"/>
                <w:color w:val="auto"/>
              </w:rPr>
              <w:t>Common stock, $1 par value; authorized 1,000,000,000 shares; 146,498,582 and 146,440,701 shares issued;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5"/>
        </w:trPr>
        <w:tc>
          <w:tcPr>
            <w:tcW w:w="7380" w:type="dxa"/>
            <w:vAlign w:val="bottom"/>
          </w:tcPr>
          <w:p>
            <w:pPr>
              <w:ind w:left="260"/>
              <w:spacing w:after="0"/>
              <w:rPr>
                <w:sz w:val="20"/>
                <w:szCs w:val="20"/>
                <w:color w:val="auto"/>
              </w:rPr>
            </w:pPr>
            <w:r>
              <w:rPr>
                <w:rFonts w:ascii="Arial" w:cs="Arial" w:eastAsia="Arial" w:hAnsi="Arial"/>
                <w:sz w:val="14"/>
                <w:szCs w:val="14"/>
                <w:color w:val="auto"/>
              </w:rPr>
              <w:t>24,637,043 and 21,772,888 public shares outstanding; 76,090,531 and 78,896,806 ESOP shares outstanding</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146,498</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146,441</w:t>
            </w:r>
          </w:p>
        </w:tc>
        <w:tc>
          <w:tcPr>
            <w:tcW w:w="100" w:type="dxa"/>
            <w:vAlign w:val="bottom"/>
          </w:tcPr>
          <w:p>
            <w:pPr>
              <w:spacing w:after="0"/>
              <w:rPr>
                <w:sz w:val="15"/>
                <w:szCs w:val="15"/>
                <w:color w:val="auto"/>
              </w:rPr>
            </w:pPr>
          </w:p>
        </w:tc>
      </w:tr>
      <w:tr>
        <w:trPr>
          <w:trHeight w:val="175"/>
        </w:trPr>
        <w:tc>
          <w:tcPr>
            <w:tcW w:w="73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Treasury stock, 45,771,008 shares at cost</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(934,240)</w:t>
            </w:r>
          </w:p>
        </w:tc>
        <w:tc>
          <w:tcPr>
            <w:tcW w:w="120" w:type="dxa"/>
            <w:vAlign w:val="bottom"/>
            <w:shd w:val="clear" w:color="auto" w:fill="CFF0FC"/>
          </w:tcPr>
          <w:p>
            <w:pPr>
              <w:spacing w:after="0"/>
              <w:rPr>
                <w:sz w:val="15"/>
                <w:szCs w:val="15"/>
                <w:color w:val="auto"/>
              </w:rPr>
            </w:pPr>
          </w:p>
        </w:tc>
        <w:tc>
          <w:tcPr>
            <w:tcW w:w="16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(934,240)</w:t>
            </w:r>
          </w:p>
        </w:tc>
      </w:tr>
      <w:tr>
        <w:trPr>
          <w:trHeight w:val="176"/>
        </w:trPr>
        <w:tc>
          <w:tcPr>
            <w:tcW w:w="7380" w:type="dxa"/>
            <w:vAlign w:val="bottom"/>
          </w:tcPr>
          <w:p>
            <w:pPr>
              <w:ind w:left="260"/>
              <w:spacing w:after="0"/>
              <w:rPr>
                <w:sz w:val="20"/>
                <w:szCs w:val="20"/>
                <w:color w:val="auto"/>
              </w:rPr>
            </w:pPr>
            <w:r>
              <w:rPr>
                <w:rFonts w:ascii="Arial" w:cs="Arial" w:eastAsia="Arial" w:hAnsi="Arial"/>
                <w:sz w:val="14"/>
                <w:szCs w:val="14"/>
                <w:color w:val="auto"/>
              </w:rPr>
              <w:t>Additional paid-in capital</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2,675,383</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2,649,975</w:t>
            </w:r>
          </w:p>
        </w:tc>
        <w:tc>
          <w:tcPr>
            <w:tcW w:w="100" w:type="dxa"/>
            <w:vAlign w:val="bottom"/>
          </w:tcPr>
          <w:p>
            <w:pPr>
              <w:spacing w:after="0"/>
              <w:rPr>
                <w:sz w:val="15"/>
                <w:szCs w:val="15"/>
                <w:color w:val="auto"/>
              </w:rPr>
            </w:pPr>
          </w:p>
        </w:tc>
      </w:tr>
      <w:tr>
        <w:trPr>
          <w:trHeight w:val="175"/>
        </w:trPr>
        <w:tc>
          <w:tcPr>
            <w:tcW w:w="7380" w:type="dxa"/>
            <w:vAlign w:val="bottom"/>
          </w:tcPr>
          <w:p>
            <w:pPr>
              <w:ind w:left="260"/>
              <w:spacing w:after="0"/>
              <w:rPr>
                <w:sz w:val="20"/>
                <w:szCs w:val="20"/>
                <w:color w:val="auto"/>
              </w:rPr>
            </w:pPr>
            <w:r>
              <w:rPr>
                <w:rFonts w:ascii="Arial" w:cs="Arial" w:eastAsia="Arial" w:hAnsi="Arial"/>
                <w:sz w:val="14"/>
                <w:szCs w:val="14"/>
                <w:color w:val="auto"/>
              </w:rPr>
              <w:t>Accumulated deficit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40" w:type="dxa"/>
            <w:vAlign w:val="bottom"/>
            <w:gridSpan w:val="2"/>
          </w:tcPr>
          <w:p>
            <w:pPr>
              <w:jc w:val="right"/>
              <w:ind w:right="220"/>
              <w:spacing w:after="0"/>
              <w:rPr>
                <w:sz w:val="20"/>
                <w:szCs w:val="20"/>
                <w:color w:val="auto"/>
              </w:rPr>
            </w:pPr>
            <w:r>
              <w:rPr>
                <w:rFonts w:ascii="Arial" w:cs="Arial" w:eastAsia="Arial" w:hAnsi="Arial"/>
                <w:sz w:val="14"/>
                <w:szCs w:val="14"/>
                <w:color w:val="auto"/>
              </w:rPr>
              <w:t>(142,095)</w:t>
            </w:r>
          </w:p>
        </w:tc>
        <w:tc>
          <w:tcPr>
            <w:tcW w:w="120" w:type="dxa"/>
            <w:vAlign w:val="bottom"/>
          </w:tcPr>
          <w:p>
            <w:pPr>
              <w:spacing w:after="0"/>
              <w:rPr>
                <w:sz w:val="15"/>
                <w:szCs w:val="15"/>
                <w:color w:val="auto"/>
              </w:rPr>
            </w:pPr>
          </w:p>
        </w:tc>
        <w:tc>
          <w:tcPr>
            <w:tcW w:w="1680" w:type="dxa"/>
            <w:vAlign w:val="bottom"/>
            <w:gridSpan w:val="2"/>
          </w:tcPr>
          <w:p>
            <w:pPr>
              <w:jc w:val="right"/>
              <w:ind w:right="60"/>
              <w:spacing w:after="0"/>
              <w:rPr>
                <w:sz w:val="20"/>
                <w:szCs w:val="20"/>
                <w:color w:val="auto"/>
              </w:rPr>
            </w:pPr>
            <w:r>
              <w:rPr>
                <w:rFonts w:ascii="Arial" w:cs="Arial" w:eastAsia="Arial" w:hAnsi="Arial"/>
                <w:sz w:val="14"/>
                <w:szCs w:val="14"/>
                <w:color w:val="auto"/>
              </w:rPr>
              <w:t>(218,025)</w:t>
            </w:r>
          </w:p>
        </w:tc>
      </w:tr>
      <w:tr>
        <w:trPr>
          <w:trHeight w:val="176"/>
        </w:trPr>
        <w:tc>
          <w:tcPr>
            <w:tcW w:w="73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Accumulated other comprehensive loss</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(18,049)</w:t>
            </w:r>
          </w:p>
        </w:tc>
        <w:tc>
          <w:tcPr>
            <w:tcW w:w="120" w:type="dxa"/>
            <w:vAlign w:val="bottom"/>
            <w:shd w:val="clear" w:color="auto" w:fill="CFF0FC"/>
          </w:tcPr>
          <w:p>
            <w:pPr>
              <w:spacing w:after="0"/>
              <w:rPr>
                <w:sz w:val="15"/>
                <w:szCs w:val="15"/>
                <w:color w:val="auto"/>
              </w:rPr>
            </w:pPr>
          </w:p>
        </w:tc>
        <w:tc>
          <w:tcPr>
            <w:tcW w:w="16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(14,261)</w:t>
            </w:r>
          </w:p>
        </w:tc>
      </w:tr>
      <w:tr>
        <w:trPr>
          <w:trHeight w:val="169"/>
        </w:trPr>
        <w:tc>
          <w:tcPr>
            <w:tcW w:w="7380" w:type="dxa"/>
            <w:vAlign w:val="bottom"/>
          </w:tcPr>
          <w:p>
            <w:pPr>
              <w:ind w:left="260"/>
              <w:spacing w:after="0"/>
              <w:rPr>
                <w:sz w:val="20"/>
                <w:szCs w:val="20"/>
                <w:color w:val="auto"/>
              </w:rPr>
            </w:pPr>
            <w:r>
              <w:rPr>
                <w:rFonts w:ascii="Arial" w:cs="Arial" w:eastAsia="Arial" w:hAnsi="Arial"/>
                <w:sz w:val="14"/>
                <w:szCs w:val="14"/>
                <w:color w:val="auto"/>
              </w:rPr>
              <w:t>Total Parsons Corporation shareholders' equity</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1,727,497</w:t>
            </w:r>
          </w:p>
        </w:tc>
        <w:tc>
          <w:tcPr>
            <w:tcW w:w="2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1,629,890</w:t>
            </w:r>
          </w:p>
        </w:tc>
        <w:tc>
          <w:tcPr>
            <w:tcW w:w="100" w:type="dxa"/>
            <w:vAlign w:val="bottom"/>
          </w:tcPr>
          <w:p>
            <w:pPr>
              <w:spacing w:after="0"/>
              <w:rPr>
                <w:sz w:val="14"/>
                <w:szCs w:val="14"/>
                <w:color w:val="auto"/>
              </w:rPr>
            </w:pPr>
          </w:p>
        </w:tc>
      </w:tr>
      <w:tr>
        <w:trPr>
          <w:trHeight w:val="175"/>
        </w:trPr>
        <w:tc>
          <w:tcPr>
            <w:tcW w:w="73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Noncontrolling interests</w:t>
            </w:r>
          </w:p>
        </w:tc>
        <w:tc>
          <w:tcPr>
            <w:tcW w:w="100" w:type="dxa"/>
            <w:vAlign w:val="bottom"/>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41,974</w:t>
            </w:r>
          </w:p>
        </w:tc>
        <w:tc>
          <w:tcPr>
            <w:tcW w:w="260" w:type="dxa"/>
            <w:vAlign w:val="bottom"/>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30,866</w:t>
            </w:r>
          </w:p>
        </w:tc>
        <w:tc>
          <w:tcPr>
            <w:tcW w:w="100" w:type="dxa"/>
            <w:vAlign w:val="bottom"/>
            <w:shd w:val="clear" w:color="auto" w:fill="CFF0FC"/>
          </w:tcPr>
          <w:p>
            <w:pPr>
              <w:spacing w:after="0"/>
              <w:rPr>
                <w:sz w:val="15"/>
                <w:szCs w:val="15"/>
                <w:color w:val="auto"/>
              </w:rPr>
            </w:pPr>
          </w:p>
        </w:tc>
      </w:tr>
      <w:tr>
        <w:trPr>
          <w:trHeight w:val="169"/>
        </w:trPr>
        <w:tc>
          <w:tcPr>
            <w:tcW w:w="7380" w:type="dxa"/>
            <w:vAlign w:val="bottom"/>
            <w:tcBorders>
              <w:bottom w:val="single" w:sz="8" w:color="CFF0FC"/>
            </w:tcBorders>
          </w:tcPr>
          <w:p>
            <w:pPr>
              <w:ind w:left="260"/>
              <w:spacing w:after="0"/>
              <w:rPr>
                <w:sz w:val="20"/>
                <w:szCs w:val="20"/>
                <w:color w:val="auto"/>
              </w:rPr>
            </w:pPr>
            <w:r>
              <w:rPr>
                <w:rFonts w:ascii="Arial" w:cs="Arial" w:eastAsia="Arial" w:hAnsi="Arial"/>
                <w:sz w:val="14"/>
                <w:szCs w:val="14"/>
                <w:color w:val="auto"/>
              </w:rPr>
              <w:t>Total shareholders' equity</w:t>
            </w:r>
          </w:p>
        </w:tc>
        <w:tc>
          <w:tcPr>
            <w:tcW w:w="10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1,769,471</w:t>
            </w:r>
          </w:p>
        </w:tc>
        <w:tc>
          <w:tcPr>
            <w:tcW w:w="26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1,660,756</w:t>
            </w:r>
          </w:p>
        </w:tc>
        <w:tc>
          <w:tcPr>
            <w:tcW w:w="100" w:type="dxa"/>
            <w:vAlign w:val="bottom"/>
            <w:tcBorders>
              <w:bottom w:val="single" w:sz="8" w:color="CFF0FC"/>
            </w:tcBorders>
          </w:tcPr>
          <w:p>
            <w:pPr>
              <w:spacing w:after="0"/>
              <w:rPr>
                <w:sz w:val="14"/>
                <w:szCs w:val="14"/>
                <w:color w:val="auto"/>
              </w:rPr>
            </w:pPr>
          </w:p>
        </w:tc>
      </w:tr>
      <w:tr>
        <w:trPr>
          <w:trHeight w:val="169"/>
        </w:trPr>
        <w:tc>
          <w:tcPr>
            <w:tcW w:w="73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Total liabilities, redeemable common stock and shareholders' equity</w:t>
            </w: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3,918,761</w:t>
            </w: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3,450,368</w:t>
            </w:r>
          </w:p>
        </w:tc>
        <w:tc>
          <w:tcPr>
            <w:tcW w:w="100" w:type="dxa"/>
            <w:vAlign w:val="bottom"/>
            <w:shd w:val="clear" w:color="auto" w:fill="CFF0FC"/>
          </w:tcPr>
          <w:p>
            <w:pPr>
              <w:spacing w:after="0"/>
              <w:rPr>
                <w:sz w:val="14"/>
                <w:szCs w:val="14"/>
                <w:color w:val="auto"/>
              </w:rPr>
            </w:pPr>
          </w:p>
        </w:tc>
      </w:tr>
      <w:tr>
        <w:trPr>
          <w:trHeight w:val="20"/>
        </w:trPr>
        <w:tc>
          <w:tcPr>
            <w:tcW w:w="73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PARSONS CORPORATION AND SUBSIDIARIES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jc w:val="center"/>
        <w:spacing w:after="0" w:line="234" w:lineRule="auto"/>
        <w:rPr>
          <w:sz w:val="20"/>
          <w:szCs w:val="20"/>
          <w:color w:val="auto"/>
        </w:rPr>
      </w:pPr>
      <w:r>
        <w:rPr>
          <w:rFonts w:ascii="Arial" w:cs="Arial" w:eastAsia="Arial" w:hAnsi="Arial"/>
          <w:sz w:val="18"/>
          <w:szCs w:val="18"/>
          <w:i w:val="1"/>
          <w:iCs w:val="1"/>
          <w:color w:val="auto"/>
        </w:rPr>
        <w:t>(In thousands, except per share information)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8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8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rPr>
              <w:t>For the Three Months Ended</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6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For the Nine Months Ended</w:t>
            </w:r>
          </w:p>
        </w:tc>
      </w:tr>
      <w:tr>
        <w:trPr>
          <w:trHeight w:val="154"/>
        </w:trPr>
        <w:tc>
          <w:tcPr>
            <w:tcW w:w="48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300" w:type="dxa"/>
            <w:vAlign w:val="bottom"/>
            <w:tcBorders>
              <w:top w:val="single" w:sz="8" w:color="auto"/>
            </w:tcBorders>
            <w:gridSpan w:val="3"/>
          </w:tcPr>
          <w:p>
            <w:pPr>
              <w:jc w:val="right"/>
              <w:ind w:right="240"/>
              <w:spacing w:after="0" w:line="154" w:lineRule="exact"/>
              <w:rPr>
                <w:sz w:val="20"/>
                <w:szCs w:val="20"/>
                <w:color w:val="auto"/>
              </w:rPr>
            </w:pPr>
            <w:r>
              <w:rPr>
                <w:rFonts w:ascii="Arial" w:cs="Arial" w:eastAsia="Arial" w:hAnsi="Arial"/>
                <w:sz w:val="14"/>
                <w:szCs w:val="14"/>
                <w:b w:val="1"/>
                <w:bCs w:val="1"/>
                <w:color w:val="auto"/>
              </w:rPr>
              <w:t>September 30,</w:t>
            </w:r>
          </w:p>
        </w:tc>
        <w:tc>
          <w:tcPr>
            <w:tcW w:w="8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gridSpan w:val="2"/>
          </w:tcPr>
          <w:p>
            <w:pPr>
              <w:jc w:val="right"/>
              <w:spacing w:after="0" w:line="154" w:lineRule="exact"/>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Borders>
              <w:top w:val="single" w:sz="8" w:color="auto"/>
            </w:tcBorders>
            <w:gridSpan w:val="3"/>
          </w:tcPr>
          <w:p>
            <w:pPr>
              <w:jc w:val="right"/>
              <w:ind w:right="320"/>
              <w:spacing w:after="0" w:line="154" w:lineRule="exact"/>
              <w:rPr>
                <w:sz w:val="20"/>
                <w:szCs w:val="20"/>
                <w:color w:val="auto"/>
              </w:rPr>
            </w:pPr>
            <w:r>
              <w:rPr>
                <w:rFonts w:ascii="Arial" w:cs="Arial" w:eastAsia="Arial" w:hAnsi="Arial"/>
                <w:sz w:val="14"/>
                <w:szCs w:val="14"/>
                <w:b w:val="1"/>
                <w:bCs w:val="1"/>
                <w:color w:val="auto"/>
              </w:rPr>
              <w:t>September 30,</w:t>
            </w:r>
          </w:p>
        </w:tc>
        <w:tc>
          <w:tcPr>
            <w:tcW w:w="1180" w:type="dxa"/>
            <w:vAlign w:val="bottom"/>
            <w:tcBorders>
              <w:top w:val="single" w:sz="8" w:color="auto"/>
            </w:tcBorders>
            <w:gridSpan w:val="2"/>
          </w:tcPr>
          <w:p>
            <w:pPr>
              <w:jc w:val="right"/>
              <w:ind w:right="11"/>
              <w:spacing w:after="0" w:line="154" w:lineRule="exact"/>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3"/>
                <w:szCs w:val="13"/>
                <w:color w:val="auto"/>
              </w:rPr>
            </w:pPr>
          </w:p>
        </w:tc>
      </w:tr>
      <w:tr>
        <w:trPr>
          <w:trHeight w:val="177"/>
        </w:trPr>
        <w:tc>
          <w:tcPr>
            <w:tcW w:w="4800" w:type="dxa"/>
            <w:vAlign w:val="bottom"/>
            <w:tcBorders>
              <w:bottom w:val="single" w:sz="8" w:color="CFF0FC"/>
            </w:tcBorders>
          </w:tcPr>
          <w:p>
            <w:pPr>
              <w:spacing w:after="0"/>
              <w:rPr>
                <w:sz w:val="15"/>
                <w:szCs w:val="15"/>
                <w:color w:val="auto"/>
              </w:rPr>
            </w:pPr>
          </w:p>
        </w:tc>
        <w:tc>
          <w:tcPr>
            <w:tcW w:w="100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5"/>
                <w:szCs w:val="15"/>
                <w:color w:val="auto"/>
              </w:rPr>
            </w:pPr>
          </w:p>
        </w:tc>
      </w:tr>
      <w:tr>
        <w:trPr>
          <w:trHeight w:val="209"/>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1,004,236</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1,023,277</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2,954,688</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2,917,424</w:t>
            </w:r>
          </w:p>
        </w:tc>
        <w:tc>
          <w:tcPr>
            <w:tcW w:w="120" w:type="dxa"/>
            <w:vAlign w:val="bottom"/>
            <w:shd w:val="clear" w:color="auto" w:fill="CFF0FC"/>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Direct cost of contracts</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788,769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798,552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2,307,725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2,297,512</w:t>
            </w:r>
          </w:p>
        </w:tc>
        <w:tc>
          <w:tcPr>
            <w:tcW w:w="120" w:type="dxa"/>
            <w:vAlign w:val="bottom"/>
          </w:tcPr>
          <w:p>
            <w:pPr>
              <w:spacing w:after="0"/>
              <w:rPr>
                <w:sz w:val="18"/>
                <w:szCs w:val="18"/>
                <w:color w:val="auto"/>
              </w:rPr>
            </w:pPr>
          </w:p>
        </w:tc>
      </w:tr>
      <w:tr>
        <w:trPr>
          <w:trHeight w:val="216"/>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Equity in earnings of unconsolidated joint ventures</w:t>
            </w: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16,741</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7,274</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26,624</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29,305</w:t>
            </w:r>
          </w:p>
        </w:tc>
        <w:tc>
          <w:tcPr>
            <w:tcW w:w="120" w:type="dxa"/>
            <w:vAlign w:val="bottom"/>
            <w:shd w:val="clear" w:color="auto" w:fill="CFF0FC"/>
          </w:tcPr>
          <w:p>
            <w:pPr>
              <w:spacing w:after="0"/>
              <w:rPr>
                <w:sz w:val="18"/>
                <w:szCs w:val="18"/>
                <w:color w:val="auto"/>
              </w:rPr>
            </w:pPr>
          </w:p>
        </w:tc>
      </w:tr>
      <w:tr>
        <w:trPr>
          <w:trHeight w:val="216"/>
        </w:trPr>
        <w:tc>
          <w:tcPr>
            <w:tcW w:w="48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Indirect, general and administrative expenses</w:t>
            </w:r>
          </w:p>
        </w:tc>
        <w:tc>
          <w:tcPr>
            <w:tcW w:w="100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165,937</w:t>
            </w:r>
          </w:p>
        </w:tc>
        <w:tc>
          <w:tcPr>
            <w:tcW w:w="1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178,550</w:t>
            </w: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537,351</w:t>
            </w:r>
          </w:p>
        </w:tc>
        <w:tc>
          <w:tcPr>
            <w:tcW w:w="22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581,428</w:t>
            </w:r>
          </w:p>
        </w:tc>
        <w:tc>
          <w:tcPr>
            <w:tcW w:w="120" w:type="dxa"/>
            <w:vAlign w:val="bottom"/>
            <w:tcBorders>
              <w:bottom w:val="single" w:sz="8" w:color="CFF0FC"/>
            </w:tcBorders>
          </w:tcPr>
          <w:p>
            <w:pPr>
              <w:spacing w:after="0"/>
              <w:rPr>
                <w:sz w:val="18"/>
                <w:szCs w:val="18"/>
                <w:color w:val="auto"/>
              </w:rPr>
            </w:pPr>
          </w:p>
        </w:tc>
      </w:tr>
      <w:tr>
        <w:trPr>
          <w:trHeight w:val="209"/>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100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66,271</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53,449</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136,236</w:t>
            </w:r>
          </w:p>
        </w:tc>
        <w:tc>
          <w:tcPr>
            <w:tcW w:w="22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67,789</w:t>
            </w:r>
          </w:p>
        </w:tc>
        <w:tc>
          <w:tcPr>
            <w:tcW w:w="120" w:type="dxa"/>
            <w:vAlign w:val="bottom"/>
            <w:shd w:val="clear" w:color="auto" w:fill="CFF0FC"/>
          </w:tcPr>
          <w:p>
            <w:pPr>
              <w:spacing w:after="0"/>
              <w:rPr>
                <w:sz w:val="18"/>
                <w:szCs w:val="18"/>
                <w:color w:val="auto"/>
              </w:rPr>
            </w:pPr>
          </w:p>
        </w:tc>
      </w:tr>
      <w:tr>
        <w:trPr>
          <w:trHeight w:val="209"/>
        </w:trPr>
        <w:tc>
          <w:tcPr>
            <w:tcW w:w="4800" w:type="dxa"/>
            <w:vAlign w:val="bottom"/>
          </w:tcPr>
          <w:p>
            <w:pPr>
              <w:spacing w:after="0"/>
              <w:rPr>
                <w:sz w:val="20"/>
                <w:szCs w:val="20"/>
                <w:color w:val="auto"/>
              </w:rPr>
            </w:pPr>
            <w:r>
              <w:rPr>
                <w:rFonts w:ascii="Arial" w:cs="Arial" w:eastAsia="Arial" w:hAnsi="Arial"/>
                <w:sz w:val="18"/>
                <w:szCs w:val="18"/>
                <w:color w:val="auto"/>
              </w:rPr>
              <w:t>Interest income</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512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1,129</w:t>
            </w:r>
          </w:p>
        </w:tc>
        <w:tc>
          <w:tcPr>
            <w:tcW w:w="120" w:type="dxa"/>
            <w:vAlign w:val="bottom"/>
          </w:tcPr>
          <w:p>
            <w:pPr>
              <w:spacing w:after="0"/>
              <w:rPr>
                <w:sz w:val="18"/>
                <w:szCs w:val="18"/>
                <w:color w:val="auto"/>
              </w:rPr>
            </w:pPr>
          </w:p>
        </w:tc>
      </w:tr>
      <w:tr>
        <w:trPr>
          <w:trHeight w:val="216"/>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(5,475)</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(4,909)</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(13,656)</w:t>
            </w:r>
          </w:p>
        </w:tc>
        <w:tc>
          <w:tcPr>
            <w:tcW w:w="2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(19,577)</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1,653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(3,127)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1,916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(1,580)</w:t>
            </w:r>
          </w:p>
        </w:tc>
      </w:tr>
      <w:tr>
        <w:trPr>
          <w:trHeight w:val="209"/>
        </w:trPr>
        <w:tc>
          <w:tcPr>
            <w:tcW w:w="48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other income (expense)</w:t>
            </w:r>
          </w:p>
        </w:tc>
        <w:tc>
          <w:tcPr>
            <w:tcW w:w="100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(3,734)</w:t>
            </w: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(7,609)</w:t>
            </w: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(11,228)</w:t>
            </w:r>
          </w:p>
        </w:tc>
        <w:tc>
          <w:tcPr>
            <w:tcW w:w="2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(20,028)</w:t>
            </w:r>
          </w:p>
        </w:tc>
        <w:tc>
          <w:tcPr>
            <w:tcW w:w="120" w:type="dxa"/>
            <w:vAlign w:val="bottom"/>
            <w:tcBorders>
              <w:top w:val="single" w:sz="8" w:color="CFF0FC"/>
            </w:tcBorders>
            <w:shd w:val="clear" w:color="auto" w:fill="CFF0FC"/>
          </w:tcPr>
          <w:p>
            <w:pPr>
              <w:spacing w:after="0"/>
              <w:rPr>
                <w:sz w:val="18"/>
                <w:szCs w:val="18"/>
                <w:color w:val="auto"/>
              </w:rPr>
            </w:pPr>
          </w:p>
        </w:tc>
      </w:tr>
      <w:tr>
        <w:trPr>
          <w:trHeight w:val="209"/>
        </w:trPr>
        <w:tc>
          <w:tcPr>
            <w:tcW w:w="4800" w:type="dxa"/>
            <w:vAlign w:val="bottom"/>
          </w:tcPr>
          <w:p>
            <w:pPr>
              <w:spacing w:after="0"/>
              <w:rPr>
                <w:sz w:val="20"/>
                <w:szCs w:val="20"/>
                <w:color w:val="auto"/>
              </w:rPr>
            </w:pPr>
            <w:r>
              <w:rPr>
                <w:rFonts w:ascii="Arial" w:cs="Arial" w:eastAsia="Arial" w:hAnsi="Arial"/>
                <w:sz w:val="18"/>
                <w:szCs w:val="18"/>
                <w:color w:val="auto"/>
              </w:rPr>
              <w:t>Income before income tax expense</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62,537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45,840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125,008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47,761</w:t>
            </w:r>
          </w:p>
        </w:tc>
        <w:tc>
          <w:tcPr>
            <w:tcW w:w="120" w:type="dxa"/>
            <w:vAlign w:val="bottom"/>
          </w:tcPr>
          <w:p>
            <w:pPr>
              <w:spacing w:after="0"/>
              <w:rPr>
                <w:sz w:val="18"/>
                <w:szCs w:val="18"/>
                <w:color w:val="auto"/>
              </w:rPr>
            </w:pPr>
          </w:p>
        </w:tc>
      </w:tr>
      <w:tr>
        <w:trPr>
          <w:trHeight w:val="216"/>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 benefit</w:t>
            </w: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(16,017)</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15,453</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(32,992)</w:t>
            </w: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67,063</w:t>
            </w:r>
          </w:p>
        </w:tc>
        <w:tc>
          <w:tcPr>
            <w:tcW w:w="120" w:type="dxa"/>
            <w:vAlign w:val="bottom"/>
            <w:shd w:val="clear" w:color="auto" w:fill="CFF0FC"/>
          </w:tcPr>
          <w:p>
            <w:pPr>
              <w:spacing w:after="0"/>
              <w:rPr>
                <w:sz w:val="18"/>
                <w:szCs w:val="18"/>
                <w:color w:val="auto"/>
              </w:rPr>
            </w:pPr>
          </w:p>
        </w:tc>
      </w:tr>
      <w:tr>
        <w:trPr>
          <w:trHeight w:val="209"/>
        </w:trPr>
        <w:tc>
          <w:tcPr>
            <w:tcW w:w="4800" w:type="dxa"/>
            <w:vAlign w:val="bottom"/>
          </w:tcPr>
          <w:p>
            <w:pPr>
              <w:spacing w:after="0"/>
              <w:rPr>
                <w:sz w:val="20"/>
                <w:szCs w:val="20"/>
                <w:color w:val="auto"/>
              </w:rPr>
            </w:pPr>
            <w:r>
              <w:rPr>
                <w:rFonts w:ascii="Arial" w:cs="Arial" w:eastAsia="Arial" w:hAnsi="Arial"/>
                <w:sz w:val="18"/>
                <w:szCs w:val="18"/>
                <w:color w:val="auto"/>
              </w:rPr>
              <w:t>Net income including noncontrolling interests</w:t>
            </w:r>
          </w:p>
        </w:tc>
        <w:tc>
          <w:tcPr>
            <w:tcW w:w="10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46,520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61,293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92,016</w:t>
            </w: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114,824</w:t>
            </w:r>
          </w:p>
        </w:tc>
        <w:tc>
          <w:tcPr>
            <w:tcW w:w="120" w:type="dxa"/>
            <w:vAlign w:val="bottom"/>
          </w:tcPr>
          <w:p>
            <w:pPr>
              <w:spacing w:after="0"/>
              <w:rPr>
                <w:sz w:val="18"/>
                <w:szCs w:val="18"/>
                <w:color w:val="auto"/>
              </w:rPr>
            </w:pPr>
          </w:p>
        </w:tc>
      </w:tr>
      <w:tr>
        <w:trPr>
          <w:trHeight w:val="216"/>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Net income attributable to noncontrolling interests</w:t>
            </w: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(5,862)</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(4,481)</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(15,086)</w:t>
            </w:r>
          </w:p>
        </w:tc>
        <w:tc>
          <w:tcPr>
            <w:tcW w:w="2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(8,012)</w:t>
            </w:r>
          </w:p>
        </w:tc>
      </w:tr>
      <w:tr>
        <w:trPr>
          <w:trHeight w:val="250"/>
        </w:trPr>
        <w:tc>
          <w:tcPr>
            <w:tcW w:w="48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income attributable to Parsons Corporation</w:t>
            </w:r>
          </w:p>
        </w:tc>
        <w:tc>
          <w:tcPr>
            <w:tcW w:w="1000" w:type="dxa"/>
            <w:vAlign w:val="bottom"/>
            <w:tcBorders>
              <w:bottom w:val="single" w:sz="8" w:color="CFF0FC"/>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40,658</w:t>
            </w:r>
          </w:p>
        </w:tc>
        <w:tc>
          <w:tcPr>
            <w:tcW w:w="16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56,812</w:t>
            </w:r>
          </w:p>
        </w:tc>
        <w:tc>
          <w:tcPr>
            <w:tcW w:w="14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76,930</w:t>
            </w:r>
          </w:p>
        </w:tc>
        <w:tc>
          <w:tcPr>
            <w:tcW w:w="220" w:type="dxa"/>
            <w:vAlign w:val="bottom"/>
            <w:tcBorders>
              <w:bottom w:val="single" w:sz="8" w:color="CFF0FC"/>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106,812</w:t>
            </w:r>
          </w:p>
        </w:tc>
        <w:tc>
          <w:tcPr>
            <w:tcW w:w="120" w:type="dxa"/>
            <w:vAlign w:val="bottom"/>
            <w:tcBorders>
              <w:bottom w:val="single" w:sz="8" w:color="CFF0FC"/>
            </w:tcBorders>
          </w:tcPr>
          <w:p>
            <w:pPr>
              <w:spacing w:after="0"/>
              <w:rPr>
                <w:sz w:val="21"/>
                <w:szCs w:val="21"/>
                <w:color w:val="auto"/>
              </w:rPr>
            </w:pPr>
          </w:p>
        </w:tc>
      </w:tr>
      <w:tr>
        <w:trPr>
          <w:trHeight w:val="196"/>
        </w:trPr>
        <w:tc>
          <w:tcPr>
            <w:tcW w:w="48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Earnings per share:</w:t>
            </w:r>
          </w:p>
        </w:tc>
        <w:tc>
          <w:tcPr>
            <w:tcW w:w="10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6"/>
        </w:trPr>
        <w:tc>
          <w:tcPr>
            <w:tcW w:w="4800" w:type="dxa"/>
            <w:vAlign w:val="bottom"/>
          </w:tcPr>
          <w:p>
            <w:pPr>
              <w:ind w:left="260"/>
              <w:spacing w:after="0"/>
              <w:rPr>
                <w:sz w:val="20"/>
                <w:szCs w:val="20"/>
                <w:color w:val="auto"/>
              </w:rPr>
            </w:pPr>
            <w:r>
              <w:rPr>
                <w:rFonts w:ascii="Arial" w:cs="Arial" w:eastAsia="Arial" w:hAnsi="Arial"/>
                <w:sz w:val="18"/>
                <w:szCs w:val="18"/>
                <w:color w:val="auto"/>
              </w:rPr>
              <w:t>Basic</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0.40</w:t>
            </w:r>
          </w:p>
        </w:tc>
        <w:tc>
          <w:tcPr>
            <w:tcW w:w="160" w:type="dxa"/>
            <w:vAlign w:val="bottom"/>
          </w:tcPr>
          <w:p>
            <w:pPr>
              <w:spacing w:after="0"/>
              <w:rPr>
                <w:sz w:val="18"/>
                <w:szCs w:val="18"/>
                <w:color w:val="auto"/>
              </w:rPr>
            </w:pPr>
          </w:p>
        </w:tc>
        <w:tc>
          <w:tcPr>
            <w:tcW w:w="300" w:type="dxa"/>
            <w:vAlign w:val="bottom"/>
            <w:gridSpan w:val="2"/>
          </w:tcPr>
          <w:p>
            <w:pPr>
              <w:jc w:val="right"/>
              <w:ind w:right="36"/>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0.57</w:t>
            </w:r>
          </w:p>
        </w:tc>
        <w:tc>
          <w:tcPr>
            <w:tcW w:w="140" w:type="dxa"/>
            <w:vAlign w:val="bottom"/>
          </w:tcPr>
          <w:p>
            <w:pPr>
              <w:spacing w:after="0"/>
              <w:rPr>
                <w:sz w:val="18"/>
                <w:szCs w:val="18"/>
                <w:color w:val="auto"/>
              </w:rPr>
            </w:pPr>
          </w:p>
        </w:tc>
        <w:tc>
          <w:tcPr>
            <w:tcW w:w="320" w:type="dxa"/>
            <w:vAlign w:val="bottom"/>
            <w:gridSpan w:val="2"/>
          </w:tcPr>
          <w:p>
            <w:pPr>
              <w:jc w:val="right"/>
              <w:ind w:right="36"/>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0.76</w:t>
            </w:r>
          </w:p>
        </w:tc>
        <w:tc>
          <w:tcPr>
            <w:tcW w:w="220" w:type="dxa"/>
            <w:vAlign w:val="bottom"/>
          </w:tcPr>
          <w:p>
            <w:pPr>
              <w:spacing w:after="0"/>
              <w:rPr>
                <w:sz w:val="18"/>
                <w:szCs w:val="18"/>
                <w:color w:val="auto"/>
              </w:rPr>
            </w:pPr>
          </w:p>
        </w:tc>
        <w:tc>
          <w:tcPr>
            <w:tcW w:w="240" w:type="dxa"/>
            <w:vAlign w:val="bottom"/>
          </w:tcPr>
          <w:p>
            <w:pPr>
              <w:jc w:val="right"/>
              <w:ind w:right="54"/>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18"/>
                <w:szCs w:val="18"/>
                <w:color w:val="auto"/>
              </w:rPr>
            </w:pPr>
          </w:p>
        </w:tc>
      </w:tr>
      <w:tr>
        <w:trPr>
          <w:trHeight w:val="216"/>
        </w:trPr>
        <w:tc>
          <w:tcPr>
            <w:tcW w:w="4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0.40</w:t>
            </w:r>
          </w:p>
        </w:tc>
        <w:tc>
          <w:tcPr>
            <w:tcW w:w="16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36"/>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0.57</w:t>
            </w:r>
          </w:p>
        </w:tc>
        <w:tc>
          <w:tcPr>
            <w:tcW w:w="14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36"/>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0.76</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w:t>
            </w:r>
          </w:p>
        </w:tc>
        <w:tc>
          <w:tcPr>
            <w:tcW w:w="120" w:type="dxa"/>
            <w:vAlign w:val="bottom"/>
            <w:shd w:val="clear" w:color="auto" w:fill="CFF0FC"/>
          </w:tcPr>
          <w:p>
            <w:pPr>
              <w:spacing w:after="0"/>
              <w:rPr>
                <w:sz w:val="18"/>
                <w:szCs w:val="18"/>
                <w:color w:val="auto"/>
              </w:rPr>
            </w:pPr>
          </w:p>
        </w:tc>
      </w:tr>
      <w:tr>
        <w:trPr>
          <w:trHeight w:val="243"/>
        </w:trPr>
        <w:tc>
          <w:tcPr>
            <w:tcW w:w="9940" w:type="dxa"/>
            <w:vAlign w:val="bottom"/>
            <w:gridSpan w:val="13"/>
          </w:tcPr>
          <w:p>
            <w:pPr>
              <w:jc w:val="center"/>
              <w:ind w:left="1210"/>
              <w:spacing w:after="0"/>
              <w:rPr>
                <w:sz w:val="20"/>
                <w:szCs w:val="20"/>
                <w:color w:val="auto"/>
              </w:rPr>
            </w:pPr>
            <w:r>
              <w:rPr>
                <w:rFonts w:ascii="Arial" w:cs="Arial" w:eastAsia="Arial" w:hAnsi="Arial"/>
                <w:sz w:val="18"/>
                <w:szCs w:val="18"/>
                <w:color w:val="auto"/>
                <w:w w:val="99"/>
              </w:rPr>
              <w:t>The accompanying notes are an integral part of these consolidated financial statements.</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396"/>
        </w:trPr>
        <w:tc>
          <w:tcPr>
            <w:tcW w:w="4800" w:type="dxa"/>
            <w:vAlign w:val="bottom"/>
          </w:tcPr>
          <w:p>
            <w:pPr>
              <w:spacing w:after="0"/>
              <w:rPr>
                <w:sz w:val="24"/>
                <w:szCs w:val="24"/>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98"/>
        </w:trPr>
        <w:tc>
          <w:tcPr>
            <w:tcW w:w="480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4" w:name="page5"/>
    <w:bookmarkEnd w:id="4"/>
    <w:p>
      <w:pPr>
        <w:spacing w:after="0" w:line="199" w:lineRule="auto"/>
        <w:framePr w:w="180" w:h="163" w:wrap="auto" w:vAnchor="page" w:hAnchor="page" w:x="5860" w:y="4405"/>
        <w:rPr>
          <w:rFonts w:ascii="Arial" w:cs="Arial" w:eastAsia="Arial" w:hAnsi="Arial"/>
          <w:sz w:val="17"/>
          <w:szCs w:val="17"/>
          <w:color w:val="auto"/>
        </w:rPr>
      </w:pPr>
      <w:r>
        <w:rPr>
          <w:rFonts w:ascii="Arial" w:cs="Arial" w:eastAsia="Arial" w:hAnsi="Arial"/>
          <w:sz w:val="17"/>
          <w:szCs w:val="17"/>
          <w:color w:val="auto"/>
        </w:rPr>
        <w:t>3</w:t>
      </w:r>
    </w:p>
    <w:p>
      <w:pPr>
        <w:jc w:val="center"/>
        <w:spacing w:after="0"/>
        <w:rPr>
          <w:sz w:val="20"/>
          <w:szCs w:val="20"/>
          <w:color w:val="auto"/>
        </w:rPr>
      </w:pPr>
      <w:r>
        <w:rPr>
          <w:rFonts w:ascii="Arial" w:cs="Arial" w:eastAsia="Arial" w:hAnsi="Arial"/>
          <w:sz w:val="18"/>
          <w:szCs w:val="18"/>
          <w:b w:val="1"/>
          <w:bCs w:val="1"/>
          <w:color w:val="auto"/>
        </w:rPr>
        <w:t>PARSONS CORPORATION AND SUBSIDIARIES</w:t>
      </w:r>
    </w:p>
    <w:p>
      <w:pPr>
        <w:spacing w:after="0" w:line="15" w:lineRule="exact"/>
        <w:rPr>
          <w:rFonts w:ascii="Arial" w:cs="Arial" w:eastAsia="Arial" w:hAnsi="Arial"/>
          <w:sz w:val="17"/>
          <w:szCs w:val="17"/>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jc w:val="center"/>
        <w:spacing w:after="0" w:line="234" w:lineRule="auto"/>
        <w:rPr>
          <w:sz w:val="20"/>
          <w:szCs w:val="20"/>
          <w:color w:val="auto"/>
        </w:rPr>
      </w:pPr>
      <w:r>
        <w:rPr>
          <w:rFonts w:ascii="Arial" w:cs="Arial" w:eastAsia="Arial" w:hAnsi="Arial"/>
          <w:sz w:val="18"/>
          <w:szCs w:val="18"/>
          <w:i w:val="1"/>
          <w:iCs w:val="1"/>
          <w:color w:val="auto"/>
        </w:rPr>
        <w:t>(In thousands)</w:t>
      </w:r>
    </w:p>
    <w:p>
      <w:pPr>
        <w:spacing w:after="0" w:line="1" w:lineRule="exact"/>
        <w:rPr>
          <w:rFonts w:ascii="Arial" w:cs="Arial" w:eastAsia="Arial" w:hAnsi="Arial"/>
          <w:sz w:val="17"/>
          <w:szCs w:val="17"/>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92" w:lineRule="exact"/>
        <w:rPr>
          <w:rFonts w:ascii="Arial" w:cs="Arial" w:eastAsia="Arial" w:hAnsi="Arial"/>
          <w:sz w:val="17"/>
          <w:szCs w:val="17"/>
          <w:color w:val="auto"/>
        </w:rPr>
      </w:pPr>
    </w:p>
    <w:tbl>
      <w:tblPr>
        <w:tblLayout w:type="fixed"/>
        <w:tblInd w:w="0" w:type="dxa"/>
        <w:tblCellMar>
          <w:top w:w="0" w:type="dxa"/>
          <w:left w:w="0" w:type="dxa"/>
          <w:bottom w:w="0" w:type="dxa"/>
          <w:right w:w="0" w:type="dxa"/>
        </w:tblCellMar>
      </w:tblPr>
      <w:tr>
        <w:trPr>
          <w:trHeight w:val="177"/>
        </w:trPr>
        <w:tc>
          <w:tcPr>
            <w:tcW w:w="5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56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For the Three Months Ended</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4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rPr>
              <w:t>For the Nine Months Ended</w:t>
            </w:r>
          </w:p>
        </w:tc>
      </w:tr>
      <w:tr>
        <w:trPr>
          <w:trHeight w:val="154"/>
        </w:trPr>
        <w:tc>
          <w:tcPr>
            <w:tcW w:w="5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Borders>
              <w:top w:val="single" w:sz="8" w:color="auto"/>
            </w:tcBorders>
            <w:gridSpan w:val="3"/>
          </w:tcPr>
          <w:p>
            <w:pPr>
              <w:jc w:val="right"/>
              <w:ind w:right="260"/>
              <w:spacing w:after="0" w:line="154" w:lineRule="exact"/>
              <w:rPr>
                <w:sz w:val="20"/>
                <w:szCs w:val="20"/>
                <w:color w:val="auto"/>
              </w:rPr>
            </w:pPr>
            <w:r>
              <w:rPr>
                <w:rFonts w:ascii="Arial" w:cs="Arial" w:eastAsia="Arial" w:hAnsi="Arial"/>
                <w:sz w:val="14"/>
                <w:szCs w:val="14"/>
                <w:b w:val="1"/>
                <w:bCs w:val="1"/>
                <w:color w:val="auto"/>
              </w:rPr>
              <w:t>September 30,</w:t>
            </w:r>
          </w:p>
        </w:tc>
        <w:tc>
          <w:tcPr>
            <w:tcW w:w="10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gridSpan w:val="2"/>
          </w:tcPr>
          <w:p>
            <w:pPr>
              <w:jc w:val="right"/>
              <w:ind w:right="13"/>
              <w:spacing w:after="0" w:line="154" w:lineRule="exact"/>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Borders>
              <w:top w:val="single" w:sz="8" w:color="auto"/>
            </w:tcBorders>
            <w:gridSpan w:val="3"/>
          </w:tcPr>
          <w:p>
            <w:pPr>
              <w:jc w:val="right"/>
              <w:ind w:right="180"/>
              <w:spacing w:after="0" w:line="154" w:lineRule="exact"/>
              <w:rPr>
                <w:sz w:val="20"/>
                <w:szCs w:val="20"/>
                <w:color w:val="auto"/>
              </w:rPr>
            </w:pPr>
            <w:r>
              <w:rPr>
                <w:rFonts w:ascii="Arial" w:cs="Arial" w:eastAsia="Arial" w:hAnsi="Arial"/>
                <w:sz w:val="14"/>
                <w:szCs w:val="14"/>
                <w:b w:val="1"/>
                <w:bCs w:val="1"/>
                <w:color w:val="auto"/>
              </w:rPr>
              <w:t>September 30,</w:t>
            </w:r>
          </w:p>
        </w:tc>
        <w:tc>
          <w:tcPr>
            <w:tcW w:w="8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gridSpan w:val="2"/>
          </w:tcPr>
          <w:p>
            <w:pPr>
              <w:jc w:val="right"/>
              <w:spacing w:after="0" w:line="154" w:lineRule="exact"/>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3"/>
                <w:szCs w:val="13"/>
                <w:color w:val="auto"/>
              </w:rPr>
            </w:pPr>
          </w:p>
        </w:tc>
      </w:tr>
      <w:tr>
        <w:trPr>
          <w:trHeight w:val="177"/>
        </w:trPr>
        <w:tc>
          <w:tcPr>
            <w:tcW w:w="588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5"/>
                <w:szCs w:val="15"/>
                <w:color w:val="auto"/>
              </w:rPr>
            </w:pPr>
          </w:p>
        </w:tc>
      </w:tr>
      <w:tr>
        <w:trPr>
          <w:trHeight w:val="209"/>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Net income including noncontrolling interests</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46,520</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9"/>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61,293</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92,016</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114,824</w:t>
            </w:r>
          </w:p>
        </w:tc>
        <w:tc>
          <w:tcPr>
            <w:tcW w:w="120" w:type="dxa"/>
            <w:vAlign w:val="bottom"/>
            <w:shd w:val="clear" w:color="auto" w:fill="CFF0FC"/>
          </w:tcPr>
          <w:p>
            <w:pPr>
              <w:spacing w:after="0"/>
              <w:rPr>
                <w:sz w:val="18"/>
                <w:szCs w:val="18"/>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Other comprehensive income (loss), net of tax</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currency translation adjustment, net of tax</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1,926</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(3,770)</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4,958</w:t>
            </w:r>
          </w:p>
        </w:tc>
        <w:tc>
          <w:tcPr>
            <w:tcW w:w="120" w:type="dxa"/>
            <w:vAlign w:val="bottom"/>
            <w:shd w:val="clear" w:color="auto" w:fill="CFF0FC"/>
          </w:tcPr>
          <w:p>
            <w:pPr>
              <w:spacing w:after="0"/>
              <w:rPr>
                <w:sz w:val="18"/>
                <w:szCs w:val="18"/>
                <w:color w:val="auto"/>
              </w:rPr>
            </w:pPr>
          </w:p>
        </w:tc>
      </w:tr>
      <w:tr>
        <w:trPr>
          <w:trHeight w:val="216"/>
        </w:trPr>
        <w:tc>
          <w:tcPr>
            <w:tcW w:w="5880" w:type="dxa"/>
            <w:vAlign w:val="bottom"/>
          </w:tcPr>
          <w:p>
            <w:pPr>
              <w:ind w:left="260"/>
              <w:spacing w:after="0"/>
              <w:rPr>
                <w:sz w:val="20"/>
                <w:szCs w:val="20"/>
                <w:color w:val="auto"/>
              </w:rPr>
            </w:pPr>
            <w:r>
              <w:rPr>
                <w:rFonts w:ascii="Arial" w:cs="Arial" w:eastAsia="Arial" w:hAnsi="Arial"/>
                <w:sz w:val="18"/>
                <w:szCs w:val="18"/>
                <w:color w:val="auto"/>
              </w:rPr>
              <w:t>Pension adjustments, net of tax</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8"/>
                <w:szCs w:val="18"/>
                <w:color w:val="auto"/>
              </w:rPr>
            </w:pPr>
          </w:p>
        </w:tc>
      </w:tr>
      <w:tr>
        <w:trPr>
          <w:trHeight w:val="187"/>
        </w:trPr>
        <w:tc>
          <w:tcPr>
            <w:tcW w:w="5880" w:type="dxa"/>
            <w:vAlign w:val="bottom"/>
            <w:tcBorders>
              <w:top w:val="single" w:sz="8" w:color="CFF0FC"/>
            </w:tcBorders>
            <w:shd w:val="clear" w:color="auto" w:fill="CFF0FC"/>
          </w:tcPr>
          <w:p>
            <w:pPr>
              <w:ind w:left="500"/>
              <w:spacing w:after="0" w:line="187" w:lineRule="exact"/>
              <w:rPr>
                <w:sz w:val="20"/>
                <w:szCs w:val="20"/>
                <w:color w:val="auto"/>
              </w:rPr>
            </w:pPr>
            <w:r>
              <w:rPr>
                <w:rFonts w:ascii="Arial" w:cs="Arial" w:eastAsia="Arial" w:hAnsi="Arial"/>
                <w:sz w:val="18"/>
                <w:szCs w:val="18"/>
                <w:color w:val="auto"/>
              </w:rPr>
              <w:t>Comprehensive income including noncontrolling interests, net of</w:t>
            </w:r>
          </w:p>
        </w:tc>
        <w:tc>
          <w:tcPr>
            <w:tcW w:w="100" w:type="dxa"/>
            <w:vAlign w:val="bottom"/>
            <w:tcBorders>
              <w:top w:val="single" w:sz="8" w:color="CFF0FC"/>
            </w:tcBorders>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980" w:type="dxa"/>
            <w:vAlign w:val="bottom"/>
            <w:tcBorders>
              <w:top w:val="single" w:sz="8" w:color="auto"/>
            </w:tcBorders>
            <w:shd w:val="clear" w:color="auto" w:fill="CFF0FC"/>
          </w:tcPr>
          <w:p>
            <w:pPr>
              <w:spacing w:after="0"/>
              <w:rPr>
                <w:sz w:val="16"/>
                <w:szCs w:val="16"/>
                <w:color w:val="auto"/>
              </w:rPr>
            </w:pPr>
          </w:p>
        </w:tc>
        <w:tc>
          <w:tcPr>
            <w:tcW w:w="14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260" w:type="dxa"/>
            <w:vAlign w:val="bottom"/>
            <w:tcBorders>
              <w:top w:val="single" w:sz="8" w:color="auto"/>
            </w:tcBorders>
            <w:shd w:val="clear" w:color="auto" w:fill="CFF0FC"/>
          </w:tcPr>
          <w:p>
            <w:pPr>
              <w:spacing w:after="0"/>
              <w:rPr>
                <w:sz w:val="16"/>
                <w:szCs w:val="16"/>
                <w:color w:val="auto"/>
              </w:rPr>
            </w:pPr>
          </w:p>
        </w:tc>
        <w:tc>
          <w:tcPr>
            <w:tcW w:w="92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880" w:type="dxa"/>
            <w:vAlign w:val="bottom"/>
            <w:tcBorders>
              <w:top w:val="single" w:sz="8" w:color="auto"/>
            </w:tcBorders>
            <w:shd w:val="clear" w:color="auto" w:fill="CFF0FC"/>
          </w:tcPr>
          <w:p>
            <w:pPr>
              <w:spacing w:after="0"/>
              <w:rPr>
                <w:sz w:val="16"/>
                <w:szCs w:val="16"/>
                <w:color w:val="auto"/>
              </w:rPr>
            </w:pPr>
          </w:p>
        </w:tc>
        <w:tc>
          <w:tcPr>
            <w:tcW w:w="14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80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r>
      <w:tr>
        <w:trPr>
          <w:trHeight w:val="225"/>
        </w:trPr>
        <w:tc>
          <w:tcPr>
            <w:tcW w:w="58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tax</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48,466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61,455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88,228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119,799</w:t>
            </w:r>
          </w:p>
        </w:tc>
        <w:tc>
          <w:tcPr>
            <w:tcW w:w="120" w:type="dxa"/>
            <w:vAlign w:val="bottom"/>
            <w:shd w:val="clear" w:color="auto" w:fill="CFF0FC"/>
          </w:tcPr>
          <w:p>
            <w:pPr>
              <w:spacing w:after="0"/>
              <w:rPr>
                <w:sz w:val="19"/>
                <w:szCs w:val="19"/>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Comprehensive income attributable to noncontrolling interests, net of tax</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(5,866)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(4,481)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(15,086)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(8,012)</w:t>
            </w:r>
          </w:p>
        </w:tc>
      </w:tr>
      <w:tr>
        <w:trPr>
          <w:trHeight w:val="187"/>
        </w:trPr>
        <w:tc>
          <w:tcPr>
            <w:tcW w:w="5880" w:type="dxa"/>
            <w:vAlign w:val="bottom"/>
            <w:tcBorders>
              <w:top w:val="single" w:sz="8" w:color="CFF0FC"/>
            </w:tcBorders>
            <w:shd w:val="clear" w:color="auto" w:fill="CFF0FC"/>
          </w:tcPr>
          <w:p>
            <w:pPr>
              <w:spacing w:after="0" w:line="187" w:lineRule="exact"/>
              <w:rPr>
                <w:sz w:val="20"/>
                <w:szCs w:val="20"/>
                <w:color w:val="auto"/>
              </w:rPr>
            </w:pPr>
            <w:r>
              <w:rPr>
                <w:rFonts w:ascii="Arial" w:cs="Arial" w:eastAsia="Arial" w:hAnsi="Arial"/>
                <w:sz w:val="18"/>
                <w:szCs w:val="18"/>
                <w:color w:val="auto"/>
              </w:rPr>
              <w:t>Comprehensive income attributable to Parsons Corporation,</w:t>
            </w:r>
          </w:p>
        </w:tc>
        <w:tc>
          <w:tcPr>
            <w:tcW w:w="100" w:type="dxa"/>
            <w:vAlign w:val="bottom"/>
            <w:tcBorders>
              <w:top w:val="single" w:sz="8" w:color="CFF0FC"/>
            </w:tcBorders>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980" w:type="dxa"/>
            <w:vAlign w:val="bottom"/>
            <w:tcBorders>
              <w:top w:val="single" w:sz="8" w:color="auto"/>
            </w:tcBorders>
            <w:shd w:val="clear" w:color="auto" w:fill="CFF0FC"/>
          </w:tcPr>
          <w:p>
            <w:pPr>
              <w:spacing w:after="0"/>
              <w:rPr>
                <w:sz w:val="16"/>
                <w:szCs w:val="16"/>
                <w:color w:val="auto"/>
              </w:rPr>
            </w:pPr>
          </w:p>
        </w:tc>
        <w:tc>
          <w:tcPr>
            <w:tcW w:w="14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260" w:type="dxa"/>
            <w:vAlign w:val="bottom"/>
            <w:tcBorders>
              <w:top w:val="single" w:sz="8" w:color="auto"/>
            </w:tcBorders>
            <w:shd w:val="clear" w:color="auto" w:fill="CFF0FC"/>
          </w:tcPr>
          <w:p>
            <w:pPr>
              <w:spacing w:after="0"/>
              <w:rPr>
                <w:sz w:val="16"/>
                <w:szCs w:val="16"/>
                <w:color w:val="auto"/>
              </w:rPr>
            </w:pPr>
          </w:p>
        </w:tc>
        <w:tc>
          <w:tcPr>
            <w:tcW w:w="92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880" w:type="dxa"/>
            <w:vAlign w:val="bottom"/>
            <w:tcBorders>
              <w:top w:val="single" w:sz="8" w:color="auto"/>
            </w:tcBorders>
            <w:shd w:val="clear" w:color="auto" w:fill="CFF0FC"/>
          </w:tcPr>
          <w:p>
            <w:pPr>
              <w:spacing w:after="0"/>
              <w:rPr>
                <w:sz w:val="16"/>
                <w:szCs w:val="16"/>
                <w:color w:val="auto"/>
              </w:rPr>
            </w:pPr>
          </w:p>
        </w:tc>
        <w:tc>
          <w:tcPr>
            <w:tcW w:w="14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80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r>
      <w:tr>
        <w:trPr>
          <w:trHeight w:val="225"/>
        </w:trPr>
        <w:tc>
          <w:tcPr>
            <w:tcW w:w="5880" w:type="dxa"/>
            <w:vAlign w:val="bottom"/>
            <w:shd w:val="clear" w:color="auto" w:fill="CFF0FC"/>
          </w:tcPr>
          <w:p>
            <w:pPr>
              <w:ind w:left="160"/>
              <w:spacing w:after="0"/>
              <w:rPr>
                <w:sz w:val="20"/>
                <w:szCs w:val="20"/>
                <w:color w:val="auto"/>
              </w:rPr>
            </w:pPr>
            <w:r>
              <w:rPr>
                <w:rFonts w:ascii="Arial" w:cs="Arial" w:eastAsia="Arial" w:hAnsi="Arial"/>
                <w:sz w:val="18"/>
                <w:szCs w:val="18"/>
                <w:color w:val="auto"/>
              </w:rPr>
              <w:t>net of tax</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42,600</w:t>
            </w:r>
          </w:p>
        </w:tc>
        <w:tc>
          <w:tcPr>
            <w:tcW w:w="14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79"/>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56,974</w:t>
            </w:r>
          </w:p>
        </w:tc>
        <w:tc>
          <w:tcPr>
            <w:tcW w:w="16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73,142</w:t>
            </w:r>
          </w:p>
        </w:tc>
        <w:tc>
          <w:tcPr>
            <w:tcW w:w="14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39"/>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111,787</w:t>
            </w:r>
          </w:p>
        </w:tc>
        <w:tc>
          <w:tcPr>
            <w:tcW w:w="120" w:type="dxa"/>
            <w:vAlign w:val="bottom"/>
            <w:shd w:val="clear" w:color="auto" w:fill="CFF0FC"/>
          </w:tcPr>
          <w:p>
            <w:pPr>
              <w:spacing w:after="0"/>
              <w:rPr>
                <w:sz w:val="19"/>
                <w:szCs w:val="19"/>
                <w:color w:val="auto"/>
              </w:rPr>
            </w:pPr>
          </w:p>
        </w:tc>
      </w:tr>
      <w:tr>
        <w:trPr>
          <w:trHeight w:val="20"/>
        </w:trPr>
        <w:tc>
          <w:tcPr>
            <w:tcW w:w="58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bl>
    <w:p>
      <w:pPr>
        <w:spacing w:after="0" w:line="4" w:lineRule="exact"/>
        <w:rPr>
          <w:rFonts w:ascii="Arial" w:cs="Arial" w:eastAsia="Arial" w:hAnsi="Arial"/>
          <w:sz w:val="17"/>
          <w:szCs w:val="17"/>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 w:lineRule="exact"/>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column">
              <wp:posOffset>3802380</wp:posOffset>
            </wp:positionH>
            <wp:positionV relativeFrom="paragraph">
              <wp:posOffset>-125095</wp:posOffset>
            </wp:positionV>
            <wp:extent cx="325755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5755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PARSONS CORPORATION AND SUBSIDIARIES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jc w:val="center"/>
        <w:spacing w:after="0" w:line="234" w:lineRule="auto"/>
        <w:rPr>
          <w:sz w:val="20"/>
          <w:szCs w:val="20"/>
          <w:color w:val="auto"/>
        </w:rPr>
      </w:pPr>
      <w:r>
        <w:rPr>
          <w:rFonts w:ascii="Arial" w:cs="Arial" w:eastAsia="Arial" w:hAnsi="Arial"/>
          <w:sz w:val="18"/>
          <w:szCs w:val="18"/>
          <w:i w:val="1"/>
          <w:iCs w:val="1"/>
          <w:color w:val="auto"/>
        </w:rPr>
        <w:t>(In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67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280" w:type="dxa"/>
            <w:vAlign w:val="bottom"/>
            <w:tcBorders>
              <w:bottom w:val="single" w:sz="8" w:color="auto"/>
            </w:tcBorders>
            <w:gridSpan w:val="4"/>
          </w:tcPr>
          <w:p>
            <w:pPr>
              <w:jc w:val="right"/>
              <w:ind w:right="679"/>
              <w:spacing w:after="0"/>
              <w:rPr>
                <w:sz w:val="20"/>
                <w:szCs w:val="20"/>
                <w:color w:val="auto"/>
              </w:rPr>
            </w:pPr>
            <w:r>
              <w:rPr>
                <w:rFonts w:ascii="Arial" w:cs="Arial" w:eastAsia="Arial" w:hAnsi="Arial"/>
                <w:sz w:val="14"/>
                <w:szCs w:val="14"/>
                <w:b w:val="1"/>
                <w:bCs w:val="1"/>
                <w:color w:val="auto"/>
              </w:rPr>
              <w:t>For the Nine Months Ended</w:t>
            </w:r>
          </w:p>
        </w:tc>
        <w:tc>
          <w:tcPr>
            <w:tcW w:w="120" w:type="dxa"/>
            <w:vAlign w:val="bottom"/>
          </w:tcPr>
          <w:p>
            <w:pPr>
              <w:spacing w:after="0"/>
              <w:rPr>
                <w:sz w:val="15"/>
                <w:szCs w:val="15"/>
                <w:color w:val="auto"/>
              </w:rPr>
            </w:pPr>
          </w:p>
        </w:tc>
      </w:tr>
      <w:tr>
        <w:trPr>
          <w:trHeight w:val="196"/>
        </w:trPr>
        <w:tc>
          <w:tcPr>
            <w:tcW w:w="67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September 30, 2020</w:t>
            </w:r>
          </w:p>
        </w:tc>
        <w:tc>
          <w:tcPr>
            <w:tcW w:w="100" w:type="dxa"/>
            <w:vAlign w:val="bottom"/>
          </w:tcPr>
          <w:p>
            <w:pPr>
              <w:spacing w:after="0"/>
              <w:rPr>
                <w:sz w:val="17"/>
                <w:szCs w:val="17"/>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September 30, 2019</w:t>
            </w:r>
          </w:p>
        </w:tc>
      </w:tr>
      <w:tr>
        <w:trPr>
          <w:trHeight w:val="196"/>
        </w:trPr>
        <w:tc>
          <w:tcPr>
            <w:tcW w:w="6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10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44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46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r>
      <w:tr>
        <w:trPr>
          <w:trHeight w:val="203"/>
        </w:trPr>
        <w:tc>
          <w:tcPr>
            <w:tcW w:w="6720" w:type="dxa"/>
            <w:vAlign w:val="bottom"/>
          </w:tcPr>
          <w:p>
            <w:pPr>
              <w:ind w:left="300"/>
              <w:spacing w:after="0"/>
              <w:rPr>
                <w:sz w:val="20"/>
                <w:szCs w:val="20"/>
                <w:color w:val="auto"/>
              </w:rPr>
            </w:pPr>
            <w:r>
              <w:rPr>
                <w:rFonts w:ascii="Arial" w:cs="Arial" w:eastAsia="Arial" w:hAnsi="Arial"/>
                <w:sz w:val="16"/>
                <w:szCs w:val="16"/>
                <w:color w:val="auto"/>
              </w:rPr>
              <w:t>Net income including noncontrolling interests</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92,016</w:t>
            </w:r>
          </w:p>
        </w:tc>
        <w:tc>
          <w:tcPr>
            <w:tcW w:w="2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114,824</w:t>
            </w:r>
          </w:p>
        </w:tc>
        <w:tc>
          <w:tcPr>
            <w:tcW w:w="120" w:type="dxa"/>
            <w:vAlign w:val="bottom"/>
          </w:tcPr>
          <w:p>
            <w:pPr>
              <w:spacing w:after="0"/>
              <w:rPr>
                <w:sz w:val="17"/>
                <w:szCs w:val="17"/>
                <w:color w:val="auto"/>
              </w:rPr>
            </w:pPr>
          </w:p>
        </w:tc>
      </w:tr>
      <w:tr>
        <w:trPr>
          <w:trHeight w:val="203"/>
        </w:trPr>
        <w:tc>
          <w:tcPr>
            <w:tcW w:w="6720" w:type="dxa"/>
            <w:vAlign w:val="bottom"/>
            <w:shd w:val="clear" w:color="auto" w:fill="CFF0FC"/>
          </w:tcPr>
          <w:p>
            <w:pPr>
              <w:ind w:left="300"/>
              <w:spacing w:after="0"/>
              <w:rPr>
                <w:sz w:val="20"/>
                <w:szCs w:val="20"/>
                <w:color w:val="auto"/>
              </w:rPr>
            </w:pPr>
            <w:r>
              <w:rPr>
                <w:rFonts w:ascii="Arial" w:cs="Arial" w:eastAsia="Arial" w:hAnsi="Arial"/>
                <w:sz w:val="16"/>
                <w:szCs w:val="16"/>
                <w:color w:val="auto"/>
              </w:rPr>
              <w:t>Adjustments to reconcile net income to net cash used in operating activities</w:t>
            </w: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6720" w:type="dxa"/>
            <w:vAlign w:val="bottom"/>
          </w:tcPr>
          <w:p>
            <w:pPr>
              <w:ind w:left="420"/>
              <w:spacing w:after="0"/>
              <w:rPr>
                <w:sz w:val="20"/>
                <w:szCs w:val="20"/>
                <w:color w:val="auto"/>
              </w:rPr>
            </w:pPr>
            <w:r>
              <w:rPr>
                <w:rFonts w:ascii="Arial" w:cs="Arial" w:eastAsia="Arial" w:hAnsi="Arial"/>
                <w:sz w:val="16"/>
                <w:szCs w:val="16"/>
                <w:color w:val="auto"/>
              </w:rPr>
              <w:t>Depreciation and amortization</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95,442</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92,692</w:t>
            </w:r>
          </w:p>
        </w:tc>
        <w:tc>
          <w:tcPr>
            <w:tcW w:w="120" w:type="dxa"/>
            <w:vAlign w:val="bottom"/>
          </w:tcPr>
          <w:p>
            <w:pPr>
              <w:spacing w:after="0"/>
              <w:rPr>
                <w:sz w:val="17"/>
                <w:szCs w:val="17"/>
                <w:color w:val="auto"/>
              </w:rPr>
            </w:pPr>
          </w:p>
        </w:tc>
      </w:tr>
      <w:tr>
        <w:trPr>
          <w:trHeight w:val="203"/>
        </w:trPr>
        <w:tc>
          <w:tcPr>
            <w:tcW w:w="6720" w:type="dxa"/>
            <w:vAlign w:val="bottom"/>
            <w:shd w:val="clear" w:color="auto" w:fill="CFF0FC"/>
          </w:tcPr>
          <w:p>
            <w:pPr>
              <w:ind w:left="420"/>
              <w:spacing w:after="0"/>
              <w:rPr>
                <w:sz w:val="20"/>
                <w:szCs w:val="20"/>
                <w:color w:val="auto"/>
              </w:rPr>
            </w:pPr>
            <w:r>
              <w:rPr>
                <w:rFonts w:ascii="Arial" w:cs="Arial" w:eastAsia="Arial" w:hAnsi="Arial"/>
                <w:sz w:val="16"/>
                <w:szCs w:val="16"/>
                <w:color w:val="auto"/>
              </w:rPr>
              <w:t>Amortization of debt issue costs</w:t>
            </w: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760</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802</w:t>
            </w:r>
          </w:p>
        </w:tc>
        <w:tc>
          <w:tcPr>
            <w:tcW w:w="120" w:type="dxa"/>
            <w:vAlign w:val="bottom"/>
            <w:shd w:val="clear" w:color="auto" w:fill="CFF0FC"/>
          </w:tcPr>
          <w:p>
            <w:pPr>
              <w:spacing w:after="0"/>
              <w:rPr>
                <w:sz w:val="17"/>
                <w:szCs w:val="17"/>
                <w:color w:val="auto"/>
              </w:rPr>
            </w:pPr>
          </w:p>
        </w:tc>
      </w:tr>
      <w:tr>
        <w:trPr>
          <w:trHeight w:val="203"/>
        </w:trPr>
        <w:tc>
          <w:tcPr>
            <w:tcW w:w="6720" w:type="dxa"/>
            <w:vAlign w:val="bottom"/>
          </w:tcPr>
          <w:p>
            <w:pPr>
              <w:ind w:left="420"/>
              <w:spacing w:after="0"/>
              <w:rPr>
                <w:sz w:val="20"/>
                <w:szCs w:val="20"/>
                <w:color w:val="auto"/>
              </w:rPr>
            </w:pPr>
            <w:r>
              <w:rPr>
                <w:rFonts w:ascii="Arial" w:cs="Arial" w:eastAsia="Arial" w:hAnsi="Arial"/>
                <w:sz w:val="16"/>
                <w:szCs w:val="16"/>
                <w:color w:val="auto"/>
              </w:rPr>
              <w:t>Amortization of convertible notes discount</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1,277</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r>
      <w:tr>
        <w:trPr>
          <w:trHeight w:val="203"/>
        </w:trPr>
        <w:tc>
          <w:tcPr>
            <w:tcW w:w="6720" w:type="dxa"/>
            <w:vAlign w:val="bottom"/>
            <w:shd w:val="clear" w:color="auto" w:fill="CFF0FC"/>
          </w:tcPr>
          <w:p>
            <w:pPr>
              <w:ind w:left="420"/>
              <w:spacing w:after="0"/>
              <w:rPr>
                <w:sz w:val="20"/>
                <w:szCs w:val="20"/>
                <w:color w:val="auto"/>
              </w:rPr>
            </w:pPr>
            <w:r>
              <w:rPr>
                <w:rFonts w:ascii="Arial" w:cs="Arial" w:eastAsia="Arial" w:hAnsi="Arial"/>
                <w:sz w:val="16"/>
                <w:szCs w:val="16"/>
                <w:color w:val="auto"/>
              </w:rPr>
              <w:t>Gain on disposal of property and equipment</w:t>
            </w: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7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1,045</w:t>
            </w:r>
          </w:p>
        </w:tc>
        <w:tc>
          <w:tcPr>
            <w:tcW w:w="120" w:type="dxa"/>
            <w:vAlign w:val="bottom"/>
            <w:shd w:val="clear" w:color="auto" w:fill="CFF0FC"/>
          </w:tcPr>
          <w:p>
            <w:pPr>
              <w:spacing w:after="0"/>
              <w:rPr>
                <w:sz w:val="17"/>
                <w:szCs w:val="17"/>
                <w:color w:val="auto"/>
              </w:rPr>
            </w:pPr>
          </w:p>
        </w:tc>
      </w:tr>
      <w:tr>
        <w:trPr>
          <w:trHeight w:val="203"/>
        </w:trPr>
        <w:tc>
          <w:tcPr>
            <w:tcW w:w="6720" w:type="dxa"/>
            <w:vAlign w:val="bottom"/>
          </w:tcPr>
          <w:p>
            <w:pPr>
              <w:ind w:left="420"/>
              <w:spacing w:after="0"/>
              <w:rPr>
                <w:sz w:val="20"/>
                <w:szCs w:val="20"/>
                <w:color w:val="auto"/>
              </w:rPr>
            </w:pPr>
            <w:r>
              <w:rPr>
                <w:rFonts w:ascii="Arial" w:cs="Arial" w:eastAsia="Arial" w:hAnsi="Arial"/>
                <w:sz w:val="16"/>
                <w:szCs w:val="16"/>
                <w:color w:val="auto"/>
              </w:rPr>
              <w:t>Provision for doubtful accounts</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54</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6"/>
                <w:szCs w:val="16"/>
                <w:color w:val="auto"/>
              </w:rPr>
              <w:t>(964)</w:t>
            </w:r>
          </w:p>
        </w:tc>
      </w:tr>
      <w:tr>
        <w:trPr>
          <w:trHeight w:val="203"/>
        </w:trPr>
        <w:tc>
          <w:tcPr>
            <w:tcW w:w="6720" w:type="dxa"/>
            <w:vAlign w:val="bottom"/>
            <w:shd w:val="clear" w:color="auto" w:fill="CFF0FC"/>
          </w:tcPr>
          <w:p>
            <w:pPr>
              <w:ind w:left="420"/>
              <w:spacing w:after="0"/>
              <w:rPr>
                <w:sz w:val="20"/>
                <w:szCs w:val="20"/>
                <w:color w:val="auto"/>
              </w:rPr>
            </w:pPr>
            <w:r>
              <w:rPr>
                <w:rFonts w:ascii="Arial" w:cs="Arial" w:eastAsia="Arial" w:hAnsi="Arial"/>
                <w:sz w:val="16"/>
                <w:szCs w:val="16"/>
                <w:color w:val="auto"/>
              </w:rPr>
              <w:t>Deferred taxes</w:t>
            </w: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7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(763)</w:t>
            </w:r>
          </w:p>
        </w:tc>
        <w:tc>
          <w:tcPr>
            <w:tcW w:w="100" w:type="dxa"/>
            <w:vAlign w:val="bottom"/>
            <w:shd w:val="clear" w:color="auto" w:fill="CFF0FC"/>
          </w:tcPr>
          <w:p>
            <w:pPr>
              <w:spacing w:after="0"/>
              <w:rPr>
                <w:sz w:val="17"/>
                <w:szCs w:val="17"/>
                <w:color w:val="auto"/>
              </w:rPr>
            </w:pPr>
          </w:p>
        </w:tc>
        <w:tc>
          <w:tcPr>
            <w:tcW w:w="15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(105,161)</w:t>
            </w:r>
          </w:p>
        </w:tc>
      </w:tr>
      <w:tr>
        <w:trPr>
          <w:trHeight w:val="203"/>
        </w:trPr>
        <w:tc>
          <w:tcPr>
            <w:tcW w:w="6720" w:type="dxa"/>
            <w:vAlign w:val="bottom"/>
          </w:tcPr>
          <w:p>
            <w:pPr>
              <w:ind w:left="420"/>
              <w:spacing w:after="0"/>
              <w:rPr>
                <w:sz w:val="20"/>
                <w:szCs w:val="20"/>
                <w:color w:val="auto"/>
              </w:rPr>
            </w:pPr>
            <w:r>
              <w:rPr>
                <w:rFonts w:ascii="Arial" w:cs="Arial" w:eastAsia="Arial" w:hAnsi="Arial"/>
                <w:sz w:val="16"/>
                <w:szCs w:val="16"/>
                <w:color w:val="auto"/>
              </w:rPr>
              <w:t>Foreign currency transaction gains and losses</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431</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1,689</w:t>
            </w:r>
          </w:p>
        </w:tc>
        <w:tc>
          <w:tcPr>
            <w:tcW w:w="120" w:type="dxa"/>
            <w:vAlign w:val="bottom"/>
          </w:tcPr>
          <w:p>
            <w:pPr>
              <w:spacing w:after="0"/>
              <w:rPr>
                <w:sz w:val="17"/>
                <w:szCs w:val="17"/>
                <w:color w:val="auto"/>
              </w:rPr>
            </w:pPr>
          </w:p>
        </w:tc>
      </w:tr>
      <w:tr>
        <w:trPr>
          <w:trHeight w:val="203"/>
        </w:trPr>
        <w:tc>
          <w:tcPr>
            <w:tcW w:w="6720" w:type="dxa"/>
            <w:vAlign w:val="bottom"/>
            <w:shd w:val="clear" w:color="auto" w:fill="CFF0FC"/>
          </w:tcPr>
          <w:p>
            <w:pPr>
              <w:ind w:left="420"/>
              <w:spacing w:after="0"/>
              <w:rPr>
                <w:sz w:val="20"/>
                <w:szCs w:val="20"/>
                <w:color w:val="auto"/>
              </w:rPr>
            </w:pPr>
            <w:r>
              <w:rPr>
                <w:rFonts w:ascii="Arial" w:cs="Arial" w:eastAsia="Arial" w:hAnsi="Arial"/>
                <w:sz w:val="16"/>
                <w:szCs w:val="16"/>
                <w:color w:val="auto"/>
              </w:rPr>
              <w:t>Equity in earnings of unconsolidated joint ventures</w:t>
            </w: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7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(26,624)</w:t>
            </w:r>
          </w:p>
        </w:tc>
        <w:tc>
          <w:tcPr>
            <w:tcW w:w="100" w:type="dxa"/>
            <w:vAlign w:val="bottom"/>
            <w:shd w:val="clear" w:color="auto" w:fill="CFF0FC"/>
          </w:tcPr>
          <w:p>
            <w:pPr>
              <w:spacing w:after="0"/>
              <w:rPr>
                <w:sz w:val="17"/>
                <w:szCs w:val="17"/>
                <w:color w:val="auto"/>
              </w:rPr>
            </w:pPr>
          </w:p>
        </w:tc>
        <w:tc>
          <w:tcPr>
            <w:tcW w:w="15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(29,305)</w:t>
            </w:r>
          </w:p>
        </w:tc>
      </w:tr>
      <w:tr>
        <w:trPr>
          <w:trHeight w:val="202"/>
        </w:trPr>
        <w:tc>
          <w:tcPr>
            <w:tcW w:w="6720" w:type="dxa"/>
            <w:vAlign w:val="bottom"/>
          </w:tcPr>
          <w:p>
            <w:pPr>
              <w:ind w:left="420"/>
              <w:spacing w:after="0"/>
              <w:rPr>
                <w:sz w:val="20"/>
                <w:szCs w:val="20"/>
                <w:color w:val="auto"/>
              </w:rPr>
            </w:pPr>
            <w:r>
              <w:rPr>
                <w:rFonts w:ascii="Arial" w:cs="Arial" w:eastAsia="Arial" w:hAnsi="Arial"/>
                <w:sz w:val="16"/>
                <w:szCs w:val="16"/>
                <w:color w:val="auto"/>
              </w:rPr>
              <w:t>Return on investments in unconsolidated joint ventures</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31,189</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32,848</w:t>
            </w:r>
          </w:p>
        </w:tc>
        <w:tc>
          <w:tcPr>
            <w:tcW w:w="120" w:type="dxa"/>
            <w:vAlign w:val="bottom"/>
          </w:tcPr>
          <w:p>
            <w:pPr>
              <w:spacing w:after="0"/>
              <w:rPr>
                <w:sz w:val="17"/>
                <w:szCs w:val="17"/>
                <w:color w:val="auto"/>
              </w:rPr>
            </w:pPr>
          </w:p>
        </w:tc>
      </w:tr>
      <w:tr>
        <w:trPr>
          <w:trHeight w:val="203"/>
        </w:trPr>
        <w:tc>
          <w:tcPr>
            <w:tcW w:w="6720" w:type="dxa"/>
            <w:vAlign w:val="bottom"/>
            <w:shd w:val="clear" w:color="auto" w:fill="CFF0FC"/>
          </w:tcPr>
          <w:p>
            <w:pPr>
              <w:ind w:left="420"/>
              <w:spacing w:after="0"/>
              <w:rPr>
                <w:sz w:val="20"/>
                <w:szCs w:val="20"/>
                <w:color w:val="auto"/>
              </w:rPr>
            </w:pPr>
            <w:r>
              <w:rPr>
                <w:rFonts w:ascii="Arial" w:cs="Arial" w:eastAsia="Arial" w:hAnsi="Arial"/>
                <w:sz w:val="16"/>
                <w:szCs w:val="16"/>
                <w:color w:val="auto"/>
              </w:rPr>
              <w:t>Stock-based compensation</w:t>
            </w: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11,044</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9,224</w:t>
            </w:r>
          </w:p>
        </w:tc>
        <w:tc>
          <w:tcPr>
            <w:tcW w:w="120" w:type="dxa"/>
            <w:vAlign w:val="bottom"/>
            <w:shd w:val="clear" w:color="auto" w:fill="CFF0FC"/>
          </w:tcPr>
          <w:p>
            <w:pPr>
              <w:spacing w:after="0"/>
              <w:rPr>
                <w:sz w:val="17"/>
                <w:szCs w:val="17"/>
                <w:color w:val="auto"/>
              </w:rPr>
            </w:pPr>
          </w:p>
        </w:tc>
      </w:tr>
      <w:tr>
        <w:trPr>
          <w:trHeight w:val="203"/>
        </w:trPr>
        <w:tc>
          <w:tcPr>
            <w:tcW w:w="6720" w:type="dxa"/>
            <w:vAlign w:val="bottom"/>
          </w:tcPr>
          <w:p>
            <w:pPr>
              <w:ind w:left="420"/>
              <w:spacing w:after="0"/>
              <w:rPr>
                <w:sz w:val="20"/>
                <w:szCs w:val="20"/>
                <w:color w:val="auto"/>
              </w:rPr>
            </w:pPr>
            <w:r>
              <w:rPr>
                <w:rFonts w:ascii="Arial" w:cs="Arial" w:eastAsia="Arial" w:hAnsi="Arial"/>
                <w:sz w:val="16"/>
                <w:szCs w:val="16"/>
                <w:color w:val="auto"/>
              </w:rPr>
              <w:t>Contributions of treasury stock</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42,006</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36,779</w:t>
            </w:r>
          </w:p>
        </w:tc>
        <w:tc>
          <w:tcPr>
            <w:tcW w:w="120" w:type="dxa"/>
            <w:vAlign w:val="bottom"/>
          </w:tcPr>
          <w:p>
            <w:pPr>
              <w:spacing w:after="0"/>
              <w:rPr>
                <w:sz w:val="17"/>
                <w:szCs w:val="17"/>
                <w:color w:val="auto"/>
              </w:rPr>
            </w:pPr>
          </w:p>
        </w:tc>
      </w:tr>
      <w:tr>
        <w:trPr>
          <w:trHeight w:val="184"/>
        </w:trPr>
        <w:tc>
          <w:tcPr>
            <w:tcW w:w="6720" w:type="dxa"/>
            <w:vAlign w:val="bottom"/>
            <w:shd w:val="clear" w:color="auto" w:fill="CFF0FC"/>
          </w:tcPr>
          <w:p>
            <w:pPr>
              <w:ind w:left="300"/>
              <w:spacing w:after="0"/>
              <w:rPr>
                <w:sz w:val="20"/>
                <w:szCs w:val="20"/>
                <w:color w:val="auto"/>
              </w:rPr>
            </w:pPr>
            <w:r>
              <w:rPr>
                <w:rFonts w:ascii="Arial" w:cs="Arial" w:eastAsia="Arial" w:hAnsi="Arial"/>
                <w:sz w:val="16"/>
                <w:szCs w:val="16"/>
                <w:color w:val="auto"/>
              </w:rPr>
              <w:t>Changes in assets and liabilities, net of acquisitions and newly consolidated</w:t>
            </w:r>
          </w:p>
        </w:tc>
        <w:tc>
          <w:tcPr>
            <w:tcW w:w="10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207"/>
        </w:trPr>
        <w:tc>
          <w:tcPr>
            <w:tcW w:w="6720" w:type="dxa"/>
            <w:vAlign w:val="bottom"/>
            <w:shd w:val="clear" w:color="auto" w:fill="CFF0FC"/>
          </w:tcPr>
          <w:p>
            <w:pPr>
              <w:ind w:left="420"/>
              <w:spacing w:after="0"/>
              <w:rPr>
                <w:sz w:val="20"/>
                <w:szCs w:val="20"/>
                <w:color w:val="auto"/>
              </w:rPr>
            </w:pPr>
            <w:r>
              <w:rPr>
                <w:rFonts w:ascii="Arial" w:cs="Arial" w:eastAsia="Arial" w:hAnsi="Arial"/>
                <w:sz w:val="16"/>
                <w:szCs w:val="16"/>
                <w:color w:val="auto"/>
              </w:rPr>
              <w:t>joint ventures:</w:t>
            </w: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03"/>
        </w:trPr>
        <w:tc>
          <w:tcPr>
            <w:tcW w:w="6720" w:type="dxa"/>
            <w:vAlign w:val="bottom"/>
          </w:tcPr>
          <w:p>
            <w:pPr>
              <w:ind w:left="420"/>
              <w:spacing w:after="0"/>
              <w:rPr>
                <w:sz w:val="20"/>
                <w:szCs w:val="20"/>
                <w:color w:val="auto"/>
              </w:rPr>
            </w:pPr>
            <w:r>
              <w:rPr>
                <w:rFonts w:ascii="Arial" w:cs="Arial" w:eastAsia="Arial" w:hAnsi="Arial"/>
                <w:sz w:val="16"/>
                <w:szCs w:val="16"/>
                <w:color w:val="auto"/>
              </w:rPr>
              <w:t>Accounts receivable</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6"/>
                <w:szCs w:val="16"/>
                <w:color w:val="auto"/>
              </w:rPr>
              <w:t>(106,487)</w:t>
            </w:r>
          </w:p>
        </w:tc>
        <w:tc>
          <w:tcPr>
            <w:tcW w:w="100" w:type="dxa"/>
            <w:vAlign w:val="bottom"/>
          </w:tcPr>
          <w:p>
            <w:pPr>
              <w:spacing w:after="0"/>
              <w:rPr>
                <w:sz w:val="17"/>
                <w:szCs w:val="17"/>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6"/>
                <w:szCs w:val="16"/>
                <w:color w:val="auto"/>
              </w:rPr>
              <w:t>(31,726)</w:t>
            </w:r>
          </w:p>
        </w:tc>
      </w:tr>
      <w:tr>
        <w:trPr>
          <w:trHeight w:val="203"/>
        </w:trPr>
        <w:tc>
          <w:tcPr>
            <w:tcW w:w="6720" w:type="dxa"/>
            <w:vAlign w:val="bottom"/>
            <w:shd w:val="clear" w:color="auto" w:fill="CFF0FC"/>
          </w:tcPr>
          <w:p>
            <w:pPr>
              <w:ind w:left="420"/>
              <w:spacing w:after="0"/>
              <w:rPr>
                <w:sz w:val="20"/>
                <w:szCs w:val="20"/>
                <w:color w:val="auto"/>
              </w:rPr>
            </w:pPr>
            <w:r>
              <w:rPr>
                <w:rFonts w:ascii="Arial" w:cs="Arial" w:eastAsia="Arial" w:hAnsi="Arial"/>
                <w:sz w:val="16"/>
                <w:szCs w:val="16"/>
                <w:color w:val="auto"/>
              </w:rPr>
              <w:t>Contract assets</w:t>
            </w: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7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(34,931)</w:t>
            </w:r>
          </w:p>
        </w:tc>
        <w:tc>
          <w:tcPr>
            <w:tcW w:w="100" w:type="dxa"/>
            <w:vAlign w:val="bottom"/>
            <w:shd w:val="clear" w:color="auto" w:fill="CFF0FC"/>
          </w:tcPr>
          <w:p>
            <w:pPr>
              <w:spacing w:after="0"/>
              <w:rPr>
                <w:sz w:val="17"/>
                <w:szCs w:val="17"/>
                <w:color w:val="auto"/>
              </w:rPr>
            </w:pPr>
          </w:p>
        </w:tc>
        <w:tc>
          <w:tcPr>
            <w:tcW w:w="15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(59,161)</w:t>
            </w:r>
          </w:p>
        </w:tc>
      </w:tr>
      <w:tr>
        <w:trPr>
          <w:trHeight w:val="203"/>
        </w:trPr>
        <w:tc>
          <w:tcPr>
            <w:tcW w:w="6720" w:type="dxa"/>
            <w:vAlign w:val="bottom"/>
          </w:tcPr>
          <w:p>
            <w:pPr>
              <w:ind w:left="420"/>
              <w:spacing w:after="0"/>
              <w:rPr>
                <w:sz w:val="20"/>
                <w:szCs w:val="20"/>
                <w:color w:val="auto"/>
              </w:rPr>
            </w:pPr>
            <w:r>
              <w:rPr>
                <w:rFonts w:ascii="Arial" w:cs="Arial" w:eastAsia="Arial" w:hAnsi="Arial"/>
                <w:sz w:val="16"/>
                <w:szCs w:val="16"/>
                <w:color w:val="auto"/>
              </w:rPr>
              <w:t>Prepaid expenses and current assets</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7,649</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2,980</w:t>
            </w:r>
          </w:p>
        </w:tc>
        <w:tc>
          <w:tcPr>
            <w:tcW w:w="120" w:type="dxa"/>
            <w:vAlign w:val="bottom"/>
          </w:tcPr>
          <w:p>
            <w:pPr>
              <w:spacing w:after="0"/>
              <w:rPr>
                <w:sz w:val="17"/>
                <w:szCs w:val="17"/>
                <w:color w:val="auto"/>
              </w:rPr>
            </w:pPr>
          </w:p>
        </w:tc>
      </w:tr>
      <w:tr>
        <w:trPr>
          <w:trHeight w:val="203"/>
        </w:trPr>
        <w:tc>
          <w:tcPr>
            <w:tcW w:w="6720" w:type="dxa"/>
            <w:vAlign w:val="bottom"/>
            <w:shd w:val="clear" w:color="auto" w:fill="CFF0FC"/>
          </w:tcPr>
          <w:p>
            <w:pPr>
              <w:ind w:left="420"/>
              <w:spacing w:after="0"/>
              <w:rPr>
                <w:sz w:val="20"/>
                <w:szCs w:val="20"/>
                <w:color w:val="auto"/>
              </w:rPr>
            </w:pPr>
            <w:r>
              <w:rPr>
                <w:rFonts w:ascii="Arial" w:cs="Arial" w:eastAsia="Arial" w:hAnsi="Arial"/>
                <w:sz w:val="16"/>
                <w:szCs w:val="16"/>
                <w:color w:val="auto"/>
              </w:rPr>
              <w:t>Accounts payable</w:t>
            </w: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7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(8,074)</w:t>
            </w:r>
          </w:p>
        </w:tc>
        <w:tc>
          <w:tcPr>
            <w:tcW w:w="100" w:type="dxa"/>
            <w:vAlign w:val="bottom"/>
            <w:shd w:val="clear" w:color="auto" w:fill="CFF0FC"/>
          </w:tcPr>
          <w:p>
            <w:pPr>
              <w:spacing w:after="0"/>
              <w:rPr>
                <w:sz w:val="17"/>
                <w:szCs w:val="17"/>
                <w:color w:val="auto"/>
              </w:rPr>
            </w:pPr>
          </w:p>
        </w:tc>
        <w:tc>
          <w:tcPr>
            <w:tcW w:w="15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(6,946)</w:t>
            </w:r>
          </w:p>
        </w:tc>
      </w:tr>
      <w:tr>
        <w:trPr>
          <w:trHeight w:val="203"/>
        </w:trPr>
        <w:tc>
          <w:tcPr>
            <w:tcW w:w="6720" w:type="dxa"/>
            <w:vAlign w:val="bottom"/>
          </w:tcPr>
          <w:p>
            <w:pPr>
              <w:ind w:left="420"/>
              <w:spacing w:after="0"/>
              <w:rPr>
                <w:sz w:val="20"/>
                <w:szCs w:val="20"/>
                <w:color w:val="auto"/>
              </w:rPr>
            </w:pPr>
            <w:r>
              <w:rPr>
                <w:rFonts w:ascii="Arial" w:cs="Arial" w:eastAsia="Arial" w:hAnsi="Arial"/>
                <w:sz w:val="16"/>
                <w:szCs w:val="16"/>
                <w:color w:val="auto"/>
              </w:rPr>
              <w:t>Accrued expenses and other current liabilities</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48,901</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40,186</w:t>
            </w:r>
          </w:p>
        </w:tc>
        <w:tc>
          <w:tcPr>
            <w:tcW w:w="120" w:type="dxa"/>
            <w:vAlign w:val="bottom"/>
          </w:tcPr>
          <w:p>
            <w:pPr>
              <w:spacing w:after="0"/>
              <w:rPr>
                <w:sz w:val="17"/>
                <w:szCs w:val="17"/>
                <w:color w:val="auto"/>
              </w:rPr>
            </w:pPr>
          </w:p>
        </w:tc>
      </w:tr>
      <w:tr>
        <w:trPr>
          <w:trHeight w:val="203"/>
        </w:trPr>
        <w:tc>
          <w:tcPr>
            <w:tcW w:w="6720" w:type="dxa"/>
            <w:vAlign w:val="bottom"/>
            <w:shd w:val="clear" w:color="auto" w:fill="CFF0FC"/>
          </w:tcPr>
          <w:p>
            <w:pPr>
              <w:ind w:left="420"/>
              <w:spacing w:after="0"/>
              <w:rPr>
                <w:sz w:val="20"/>
                <w:szCs w:val="20"/>
                <w:color w:val="auto"/>
              </w:rPr>
            </w:pPr>
            <w:r>
              <w:rPr>
                <w:rFonts w:ascii="Arial" w:cs="Arial" w:eastAsia="Arial" w:hAnsi="Arial"/>
                <w:sz w:val="16"/>
                <w:szCs w:val="16"/>
                <w:color w:val="auto"/>
              </w:rPr>
              <w:t>Contract liabilities</w:t>
            </w: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7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(18,094)</w:t>
            </w: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20,703</w:t>
            </w:r>
          </w:p>
        </w:tc>
        <w:tc>
          <w:tcPr>
            <w:tcW w:w="120" w:type="dxa"/>
            <w:vAlign w:val="bottom"/>
            <w:shd w:val="clear" w:color="auto" w:fill="CFF0FC"/>
          </w:tcPr>
          <w:p>
            <w:pPr>
              <w:spacing w:after="0"/>
              <w:rPr>
                <w:sz w:val="17"/>
                <w:szCs w:val="17"/>
                <w:color w:val="auto"/>
              </w:rPr>
            </w:pPr>
          </w:p>
        </w:tc>
      </w:tr>
      <w:tr>
        <w:trPr>
          <w:trHeight w:val="203"/>
        </w:trPr>
        <w:tc>
          <w:tcPr>
            <w:tcW w:w="6720" w:type="dxa"/>
            <w:vAlign w:val="bottom"/>
          </w:tcPr>
          <w:p>
            <w:pPr>
              <w:ind w:left="420"/>
              <w:spacing w:after="0"/>
              <w:rPr>
                <w:sz w:val="20"/>
                <w:szCs w:val="20"/>
                <w:color w:val="auto"/>
              </w:rPr>
            </w:pPr>
            <w:r>
              <w:rPr>
                <w:rFonts w:ascii="Arial" w:cs="Arial" w:eastAsia="Arial" w:hAnsi="Arial"/>
                <w:sz w:val="16"/>
                <w:szCs w:val="16"/>
                <w:color w:val="auto"/>
              </w:rPr>
              <w:t>Income taxes</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6"/>
                <w:szCs w:val="16"/>
                <w:color w:val="auto"/>
              </w:rPr>
              <w:t>(6,761)</w:t>
            </w:r>
          </w:p>
        </w:tc>
        <w:tc>
          <w:tcPr>
            <w:tcW w:w="100" w:type="dxa"/>
            <w:vAlign w:val="bottom"/>
          </w:tcPr>
          <w:p>
            <w:pPr>
              <w:spacing w:after="0"/>
              <w:rPr>
                <w:sz w:val="17"/>
                <w:szCs w:val="17"/>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6"/>
                <w:szCs w:val="16"/>
                <w:color w:val="auto"/>
              </w:rPr>
              <w:t>(3,019)</w:t>
            </w:r>
          </w:p>
        </w:tc>
      </w:tr>
      <w:tr>
        <w:trPr>
          <w:trHeight w:val="203"/>
        </w:trPr>
        <w:tc>
          <w:tcPr>
            <w:tcW w:w="6720" w:type="dxa"/>
            <w:vAlign w:val="bottom"/>
            <w:shd w:val="clear" w:color="auto" w:fill="CFF0FC"/>
          </w:tcPr>
          <w:p>
            <w:pPr>
              <w:ind w:left="420"/>
              <w:spacing w:after="0"/>
              <w:rPr>
                <w:sz w:val="20"/>
                <w:szCs w:val="20"/>
                <w:color w:val="auto"/>
              </w:rPr>
            </w:pPr>
            <w:r>
              <w:rPr>
                <w:rFonts w:ascii="Arial" w:cs="Arial" w:eastAsia="Arial" w:hAnsi="Arial"/>
                <w:sz w:val="16"/>
                <w:szCs w:val="16"/>
                <w:color w:val="auto"/>
              </w:rPr>
              <w:t>Other long-term liabilities</w:t>
            </w: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7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(15,574)</w:t>
            </w: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13,138</w:t>
            </w:r>
          </w:p>
        </w:tc>
        <w:tc>
          <w:tcPr>
            <w:tcW w:w="120" w:type="dxa"/>
            <w:vAlign w:val="bottom"/>
            <w:shd w:val="clear" w:color="auto" w:fill="CFF0FC"/>
          </w:tcPr>
          <w:p>
            <w:pPr>
              <w:spacing w:after="0"/>
              <w:rPr>
                <w:sz w:val="17"/>
                <w:szCs w:val="17"/>
                <w:color w:val="auto"/>
              </w:rPr>
            </w:pPr>
          </w:p>
        </w:tc>
      </w:tr>
      <w:tr>
        <w:trPr>
          <w:trHeight w:val="196"/>
        </w:trPr>
        <w:tc>
          <w:tcPr>
            <w:tcW w:w="6720" w:type="dxa"/>
            <w:vAlign w:val="bottom"/>
            <w:tcBorders>
              <w:bottom w:val="single" w:sz="8" w:color="CFF0FC"/>
            </w:tcBorders>
          </w:tcPr>
          <w:p>
            <w:pPr>
              <w:ind w:left="300"/>
              <w:spacing w:after="0"/>
              <w:rPr>
                <w:sz w:val="20"/>
                <w:szCs w:val="20"/>
                <w:color w:val="auto"/>
              </w:rPr>
            </w:pPr>
            <w:r>
              <w:rPr>
                <w:rFonts w:ascii="Arial" w:cs="Arial" w:eastAsia="Arial" w:hAnsi="Arial"/>
                <w:sz w:val="16"/>
                <w:szCs w:val="16"/>
                <w:color w:val="auto"/>
              </w:rPr>
              <w:t>Net cash provided by operating activities</w:t>
            </w:r>
          </w:p>
        </w:tc>
        <w:tc>
          <w:tcPr>
            <w:tcW w:w="1020" w:type="dxa"/>
            <w:vAlign w:val="bottom"/>
            <w:tcBorders>
              <w:bottom w:val="single" w:sz="8" w:color="CFF0FC"/>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113,439</w:t>
            </w:r>
          </w:p>
        </w:tc>
        <w:tc>
          <w:tcPr>
            <w:tcW w:w="280" w:type="dxa"/>
            <w:vAlign w:val="bottom"/>
            <w:tcBorders>
              <w:bottom w:val="single" w:sz="8" w:color="CFF0FC"/>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130,628</w:t>
            </w:r>
          </w:p>
        </w:tc>
        <w:tc>
          <w:tcPr>
            <w:tcW w:w="120" w:type="dxa"/>
            <w:vAlign w:val="bottom"/>
            <w:tcBorders>
              <w:bottom w:val="single" w:sz="8" w:color="CFF0FC"/>
            </w:tcBorders>
          </w:tcPr>
          <w:p>
            <w:pPr>
              <w:spacing w:after="0"/>
              <w:rPr>
                <w:sz w:val="17"/>
                <w:szCs w:val="17"/>
                <w:color w:val="auto"/>
              </w:rPr>
            </w:pPr>
          </w:p>
        </w:tc>
      </w:tr>
      <w:tr>
        <w:trPr>
          <w:trHeight w:val="196"/>
        </w:trPr>
        <w:tc>
          <w:tcPr>
            <w:tcW w:w="67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6720" w:type="dxa"/>
            <w:vAlign w:val="bottom"/>
          </w:tcPr>
          <w:p>
            <w:pPr>
              <w:ind w:left="300"/>
              <w:spacing w:after="0"/>
              <w:rPr>
                <w:sz w:val="20"/>
                <w:szCs w:val="20"/>
                <w:color w:val="auto"/>
              </w:rPr>
            </w:pPr>
            <w:r>
              <w:rPr>
                <w:rFonts w:ascii="Arial" w:cs="Arial" w:eastAsia="Arial" w:hAnsi="Arial"/>
                <w:sz w:val="16"/>
                <w:szCs w:val="16"/>
                <w:color w:val="auto"/>
              </w:rPr>
              <w:t>Capital expenditures</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6"/>
                <w:szCs w:val="16"/>
                <w:color w:val="auto"/>
              </w:rPr>
              <w:t>(29,178)</w:t>
            </w:r>
          </w:p>
        </w:tc>
        <w:tc>
          <w:tcPr>
            <w:tcW w:w="100" w:type="dxa"/>
            <w:vAlign w:val="bottom"/>
          </w:tcPr>
          <w:p>
            <w:pPr>
              <w:spacing w:after="0"/>
              <w:rPr>
                <w:sz w:val="17"/>
                <w:szCs w:val="17"/>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6"/>
                <w:szCs w:val="16"/>
                <w:color w:val="auto"/>
              </w:rPr>
              <w:t>(44,030)</w:t>
            </w:r>
          </w:p>
        </w:tc>
      </w:tr>
      <w:tr>
        <w:trPr>
          <w:trHeight w:val="203"/>
        </w:trPr>
        <w:tc>
          <w:tcPr>
            <w:tcW w:w="6720" w:type="dxa"/>
            <w:vAlign w:val="bottom"/>
            <w:shd w:val="clear" w:color="auto" w:fill="CFF0FC"/>
          </w:tcPr>
          <w:p>
            <w:pPr>
              <w:ind w:left="300"/>
              <w:spacing w:after="0"/>
              <w:rPr>
                <w:sz w:val="20"/>
                <w:szCs w:val="20"/>
                <w:color w:val="auto"/>
              </w:rPr>
            </w:pPr>
            <w:r>
              <w:rPr>
                <w:rFonts w:ascii="Arial" w:cs="Arial" w:eastAsia="Arial" w:hAnsi="Arial"/>
                <w:sz w:val="16"/>
                <w:szCs w:val="16"/>
                <w:color w:val="auto"/>
              </w:rPr>
              <w:t>Proceeds from sale of property and equipment</w:t>
            </w: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1,053</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2,824</w:t>
            </w:r>
          </w:p>
        </w:tc>
        <w:tc>
          <w:tcPr>
            <w:tcW w:w="120" w:type="dxa"/>
            <w:vAlign w:val="bottom"/>
            <w:shd w:val="clear" w:color="auto" w:fill="CFF0FC"/>
          </w:tcPr>
          <w:p>
            <w:pPr>
              <w:spacing w:after="0"/>
              <w:rPr>
                <w:sz w:val="17"/>
                <w:szCs w:val="17"/>
                <w:color w:val="auto"/>
              </w:rPr>
            </w:pPr>
          </w:p>
        </w:tc>
      </w:tr>
      <w:tr>
        <w:trPr>
          <w:trHeight w:val="203"/>
        </w:trPr>
        <w:tc>
          <w:tcPr>
            <w:tcW w:w="6720" w:type="dxa"/>
            <w:vAlign w:val="bottom"/>
          </w:tcPr>
          <w:p>
            <w:pPr>
              <w:ind w:left="300"/>
              <w:spacing w:after="0"/>
              <w:rPr>
                <w:sz w:val="20"/>
                <w:szCs w:val="20"/>
                <w:color w:val="auto"/>
              </w:rPr>
            </w:pPr>
            <w:r>
              <w:rPr>
                <w:rFonts w:ascii="Arial" w:cs="Arial" w:eastAsia="Arial" w:hAnsi="Arial"/>
                <w:sz w:val="16"/>
                <w:szCs w:val="16"/>
                <w:color w:val="auto"/>
              </w:rPr>
              <w:t>Payments for acquisitions, net of cash acquired</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6"/>
                <w:szCs w:val="16"/>
                <w:color w:val="auto"/>
              </w:rPr>
              <w:t>(495,690)</w:t>
            </w:r>
          </w:p>
        </w:tc>
      </w:tr>
      <w:tr>
        <w:trPr>
          <w:trHeight w:val="203"/>
        </w:trPr>
        <w:tc>
          <w:tcPr>
            <w:tcW w:w="6720" w:type="dxa"/>
            <w:vAlign w:val="bottom"/>
            <w:shd w:val="clear" w:color="auto" w:fill="CFF0FC"/>
          </w:tcPr>
          <w:p>
            <w:pPr>
              <w:ind w:left="300"/>
              <w:spacing w:after="0"/>
              <w:rPr>
                <w:sz w:val="20"/>
                <w:szCs w:val="20"/>
                <w:color w:val="auto"/>
              </w:rPr>
            </w:pPr>
            <w:r>
              <w:rPr>
                <w:rFonts w:ascii="Arial" w:cs="Arial" w:eastAsia="Arial" w:hAnsi="Arial"/>
                <w:sz w:val="16"/>
                <w:szCs w:val="16"/>
                <w:color w:val="auto"/>
              </w:rPr>
              <w:t>Investments in unconsolidated joint ventures</w:t>
            </w: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7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(7,969)</w:t>
            </w:r>
          </w:p>
        </w:tc>
        <w:tc>
          <w:tcPr>
            <w:tcW w:w="100" w:type="dxa"/>
            <w:vAlign w:val="bottom"/>
            <w:shd w:val="clear" w:color="auto" w:fill="CFF0FC"/>
          </w:tcPr>
          <w:p>
            <w:pPr>
              <w:spacing w:after="0"/>
              <w:rPr>
                <w:sz w:val="17"/>
                <w:szCs w:val="17"/>
                <w:color w:val="auto"/>
              </w:rPr>
            </w:pPr>
          </w:p>
        </w:tc>
        <w:tc>
          <w:tcPr>
            <w:tcW w:w="15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(11,446)</w:t>
            </w:r>
          </w:p>
        </w:tc>
      </w:tr>
      <w:tr>
        <w:trPr>
          <w:trHeight w:val="203"/>
        </w:trPr>
        <w:tc>
          <w:tcPr>
            <w:tcW w:w="6720" w:type="dxa"/>
            <w:vAlign w:val="bottom"/>
            <w:tcBorders>
              <w:bottom w:val="single" w:sz="8" w:color="CFF0FC"/>
            </w:tcBorders>
          </w:tcPr>
          <w:p>
            <w:pPr>
              <w:ind w:left="300"/>
              <w:spacing w:after="0"/>
              <w:rPr>
                <w:sz w:val="20"/>
                <w:szCs w:val="20"/>
                <w:color w:val="auto"/>
              </w:rPr>
            </w:pPr>
            <w:r>
              <w:rPr>
                <w:rFonts w:ascii="Arial" w:cs="Arial" w:eastAsia="Arial" w:hAnsi="Arial"/>
                <w:sz w:val="16"/>
                <w:szCs w:val="16"/>
                <w:color w:val="auto"/>
              </w:rPr>
              <w:t>Return of investments in unconsolidated joint ventures</w:t>
            </w:r>
          </w:p>
        </w:tc>
        <w:tc>
          <w:tcPr>
            <w:tcW w:w="102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28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6,632</w:t>
            </w:r>
          </w:p>
        </w:tc>
        <w:tc>
          <w:tcPr>
            <w:tcW w:w="120" w:type="dxa"/>
            <w:vAlign w:val="bottom"/>
            <w:tcBorders>
              <w:bottom w:val="single" w:sz="8" w:color="CFF0FC"/>
            </w:tcBorders>
          </w:tcPr>
          <w:p>
            <w:pPr>
              <w:spacing w:after="0"/>
              <w:rPr>
                <w:sz w:val="17"/>
                <w:szCs w:val="17"/>
                <w:color w:val="auto"/>
              </w:rPr>
            </w:pPr>
          </w:p>
        </w:tc>
      </w:tr>
      <w:tr>
        <w:trPr>
          <w:trHeight w:val="196"/>
        </w:trPr>
        <w:tc>
          <w:tcPr>
            <w:tcW w:w="6720" w:type="dxa"/>
            <w:vAlign w:val="bottom"/>
            <w:shd w:val="clear" w:color="auto" w:fill="CFF0FC"/>
          </w:tcPr>
          <w:p>
            <w:pPr>
              <w:ind w:left="300"/>
              <w:spacing w:after="0"/>
              <w:rPr>
                <w:sz w:val="20"/>
                <w:szCs w:val="20"/>
                <w:color w:val="auto"/>
              </w:rPr>
            </w:pPr>
            <w:r>
              <w:rPr>
                <w:rFonts w:ascii="Arial" w:cs="Arial" w:eastAsia="Arial" w:hAnsi="Arial"/>
                <w:sz w:val="16"/>
                <w:szCs w:val="16"/>
                <w:color w:val="auto"/>
              </w:rPr>
              <w:t>Net cash used in investing activities</w:t>
            </w:r>
          </w:p>
        </w:tc>
        <w:tc>
          <w:tcPr>
            <w:tcW w:w="1020" w:type="dxa"/>
            <w:vAlign w:val="bottom"/>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(36,077)</w:t>
            </w:r>
          </w:p>
        </w:tc>
        <w:tc>
          <w:tcPr>
            <w:tcW w:w="280" w:type="dxa"/>
            <w:vAlign w:val="bottom"/>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(541,710)</w:t>
            </w:r>
          </w:p>
        </w:tc>
        <w:tc>
          <w:tcPr>
            <w:tcW w:w="120" w:type="dxa"/>
            <w:vAlign w:val="bottom"/>
            <w:shd w:val="clear" w:color="auto" w:fill="CFF0FC"/>
          </w:tcPr>
          <w:p>
            <w:pPr>
              <w:spacing w:after="0"/>
              <w:rPr>
                <w:sz w:val="17"/>
                <w:szCs w:val="17"/>
                <w:color w:val="auto"/>
              </w:rPr>
            </w:pPr>
          </w:p>
        </w:tc>
      </w:tr>
      <w:tr>
        <w:trPr>
          <w:trHeight w:val="196"/>
        </w:trPr>
        <w:tc>
          <w:tcPr>
            <w:tcW w:w="6720" w:type="dxa"/>
            <w:vAlign w:val="bottom"/>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6720" w:type="dxa"/>
            <w:vAlign w:val="bottom"/>
            <w:shd w:val="clear" w:color="auto" w:fill="CFF0FC"/>
          </w:tcPr>
          <w:p>
            <w:pPr>
              <w:ind w:left="300"/>
              <w:spacing w:after="0"/>
              <w:rPr>
                <w:sz w:val="20"/>
                <w:szCs w:val="20"/>
                <w:color w:val="auto"/>
              </w:rPr>
            </w:pPr>
            <w:r>
              <w:rPr>
                <w:rFonts w:ascii="Arial" w:cs="Arial" w:eastAsia="Arial" w:hAnsi="Arial"/>
                <w:sz w:val="16"/>
                <w:szCs w:val="16"/>
                <w:color w:val="auto"/>
              </w:rPr>
              <w:t>Proceeds from borrowings under credit agreement</w:t>
            </w: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212,900</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530,000</w:t>
            </w:r>
          </w:p>
        </w:tc>
        <w:tc>
          <w:tcPr>
            <w:tcW w:w="120" w:type="dxa"/>
            <w:vAlign w:val="bottom"/>
            <w:shd w:val="clear" w:color="auto" w:fill="CFF0FC"/>
          </w:tcPr>
          <w:p>
            <w:pPr>
              <w:spacing w:after="0"/>
              <w:rPr>
                <w:sz w:val="17"/>
                <w:szCs w:val="17"/>
                <w:color w:val="auto"/>
              </w:rPr>
            </w:pPr>
          </w:p>
        </w:tc>
      </w:tr>
      <w:tr>
        <w:trPr>
          <w:trHeight w:val="203"/>
        </w:trPr>
        <w:tc>
          <w:tcPr>
            <w:tcW w:w="6720" w:type="dxa"/>
            <w:vAlign w:val="bottom"/>
          </w:tcPr>
          <w:p>
            <w:pPr>
              <w:ind w:left="300"/>
              <w:spacing w:after="0"/>
              <w:rPr>
                <w:sz w:val="20"/>
                <w:szCs w:val="20"/>
                <w:color w:val="auto"/>
              </w:rPr>
            </w:pPr>
            <w:r>
              <w:rPr>
                <w:rFonts w:ascii="Arial" w:cs="Arial" w:eastAsia="Arial" w:hAnsi="Arial"/>
                <w:sz w:val="16"/>
                <w:szCs w:val="16"/>
                <w:color w:val="auto"/>
              </w:rPr>
              <w:t>Repayments of borrowings under credit agreement</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6"/>
                <w:szCs w:val="16"/>
                <w:color w:val="auto"/>
              </w:rPr>
              <w:t>(212,900)</w:t>
            </w:r>
          </w:p>
        </w:tc>
        <w:tc>
          <w:tcPr>
            <w:tcW w:w="100" w:type="dxa"/>
            <w:vAlign w:val="bottom"/>
          </w:tcPr>
          <w:p>
            <w:pPr>
              <w:spacing w:after="0"/>
              <w:rPr>
                <w:sz w:val="17"/>
                <w:szCs w:val="17"/>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6"/>
                <w:szCs w:val="16"/>
                <w:color w:val="auto"/>
              </w:rPr>
              <w:t>(710,000)</w:t>
            </w:r>
          </w:p>
        </w:tc>
      </w:tr>
      <w:tr>
        <w:trPr>
          <w:trHeight w:val="203"/>
        </w:trPr>
        <w:tc>
          <w:tcPr>
            <w:tcW w:w="6720" w:type="dxa"/>
            <w:vAlign w:val="bottom"/>
            <w:shd w:val="clear" w:color="auto" w:fill="CFF0FC"/>
          </w:tcPr>
          <w:p>
            <w:pPr>
              <w:ind w:left="300"/>
              <w:spacing w:after="0"/>
              <w:rPr>
                <w:sz w:val="20"/>
                <w:szCs w:val="20"/>
                <w:color w:val="auto"/>
              </w:rPr>
            </w:pPr>
            <w:r>
              <w:rPr>
                <w:rFonts w:ascii="Arial" w:cs="Arial" w:eastAsia="Arial" w:hAnsi="Arial"/>
                <w:sz w:val="16"/>
                <w:szCs w:val="16"/>
                <w:color w:val="auto"/>
              </w:rPr>
              <w:t>Payments for debt costs and credit agreement</w:t>
            </w: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5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(286)</w:t>
            </w:r>
          </w:p>
        </w:tc>
      </w:tr>
      <w:tr>
        <w:trPr>
          <w:trHeight w:val="203"/>
        </w:trPr>
        <w:tc>
          <w:tcPr>
            <w:tcW w:w="6720" w:type="dxa"/>
            <w:vAlign w:val="bottom"/>
          </w:tcPr>
          <w:p>
            <w:pPr>
              <w:ind w:left="300"/>
              <w:spacing w:after="0"/>
              <w:rPr>
                <w:sz w:val="20"/>
                <w:szCs w:val="20"/>
                <w:color w:val="auto"/>
              </w:rPr>
            </w:pPr>
            <w:r>
              <w:rPr>
                <w:rFonts w:ascii="Arial" w:cs="Arial" w:eastAsia="Arial" w:hAnsi="Arial"/>
                <w:sz w:val="16"/>
                <w:szCs w:val="16"/>
                <w:color w:val="auto"/>
              </w:rPr>
              <w:t>Proceeds from issuance of convertible notes</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400,000</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r>
      <w:tr>
        <w:trPr>
          <w:trHeight w:val="203"/>
        </w:trPr>
        <w:tc>
          <w:tcPr>
            <w:tcW w:w="6720" w:type="dxa"/>
            <w:vAlign w:val="bottom"/>
            <w:shd w:val="clear" w:color="auto" w:fill="CFF0FC"/>
          </w:tcPr>
          <w:p>
            <w:pPr>
              <w:ind w:left="300"/>
              <w:spacing w:after="0"/>
              <w:rPr>
                <w:sz w:val="20"/>
                <w:szCs w:val="20"/>
                <w:color w:val="auto"/>
              </w:rPr>
            </w:pPr>
            <w:r>
              <w:rPr>
                <w:rFonts w:ascii="Arial" w:cs="Arial" w:eastAsia="Arial" w:hAnsi="Arial"/>
                <w:sz w:val="16"/>
                <w:szCs w:val="16"/>
                <w:color w:val="auto"/>
              </w:rPr>
              <w:t>Payments for purchase of bond hedges</w:t>
            </w: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7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(54,968)</w:t>
            </w: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r>
      <w:tr>
        <w:trPr>
          <w:trHeight w:val="203"/>
        </w:trPr>
        <w:tc>
          <w:tcPr>
            <w:tcW w:w="6720" w:type="dxa"/>
            <w:vAlign w:val="bottom"/>
          </w:tcPr>
          <w:p>
            <w:pPr>
              <w:ind w:left="300"/>
              <w:spacing w:after="0"/>
              <w:rPr>
                <w:sz w:val="20"/>
                <w:szCs w:val="20"/>
                <w:color w:val="auto"/>
              </w:rPr>
            </w:pPr>
            <w:r>
              <w:rPr>
                <w:rFonts w:ascii="Arial" w:cs="Arial" w:eastAsia="Arial" w:hAnsi="Arial"/>
                <w:sz w:val="16"/>
                <w:szCs w:val="16"/>
                <w:color w:val="auto"/>
              </w:rPr>
              <w:t>Proceeds from issuance of warrants</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13,808</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r>
      <w:tr>
        <w:trPr>
          <w:trHeight w:val="203"/>
        </w:trPr>
        <w:tc>
          <w:tcPr>
            <w:tcW w:w="6720" w:type="dxa"/>
            <w:vAlign w:val="bottom"/>
            <w:shd w:val="clear" w:color="auto" w:fill="CFF0FC"/>
          </w:tcPr>
          <w:p>
            <w:pPr>
              <w:ind w:left="300"/>
              <w:spacing w:after="0"/>
              <w:rPr>
                <w:sz w:val="20"/>
                <w:szCs w:val="20"/>
                <w:color w:val="auto"/>
              </w:rPr>
            </w:pPr>
            <w:r>
              <w:rPr>
                <w:rFonts w:ascii="Arial" w:cs="Arial" w:eastAsia="Arial" w:hAnsi="Arial"/>
                <w:sz w:val="16"/>
                <w:szCs w:val="16"/>
                <w:color w:val="auto"/>
              </w:rPr>
              <w:t>Transaction costs paid in connection with convertible notes issuance</w:t>
            </w: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7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(10,307)</w:t>
            </w: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r>
      <w:tr>
        <w:trPr>
          <w:trHeight w:val="203"/>
        </w:trPr>
        <w:tc>
          <w:tcPr>
            <w:tcW w:w="6720" w:type="dxa"/>
            <w:vAlign w:val="bottom"/>
          </w:tcPr>
          <w:p>
            <w:pPr>
              <w:ind w:left="300"/>
              <w:spacing w:after="0"/>
              <w:rPr>
                <w:sz w:val="20"/>
                <w:szCs w:val="20"/>
                <w:color w:val="auto"/>
              </w:rPr>
            </w:pPr>
            <w:r>
              <w:rPr>
                <w:rFonts w:ascii="Arial" w:cs="Arial" w:eastAsia="Arial" w:hAnsi="Arial"/>
                <w:sz w:val="16"/>
                <w:szCs w:val="16"/>
                <w:color w:val="auto"/>
              </w:rPr>
              <w:t>Contributions by noncontrolling interests</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491</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8,999</w:t>
            </w:r>
          </w:p>
        </w:tc>
        <w:tc>
          <w:tcPr>
            <w:tcW w:w="120" w:type="dxa"/>
            <w:vAlign w:val="bottom"/>
          </w:tcPr>
          <w:p>
            <w:pPr>
              <w:spacing w:after="0"/>
              <w:rPr>
                <w:sz w:val="17"/>
                <w:szCs w:val="17"/>
                <w:color w:val="auto"/>
              </w:rPr>
            </w:pPr>
          </w:p>
        </w:tc>
      </w:tr>
      <w:tr>
        <w:trPr>
          <w:trHeight w:val="203"/>
        </w:trPr>
        <w:tc>
          <w:tcPr>
            <w:tcW w:w="6720" w:type="dxa"/>
            <w:vAlign w:val="bottom"/>
            <w:shd w:val="clear" w:color="auto" w:fill="CFF0FC"/>
          </w:tcPr>
          <w:p>
            <w:pPr>
              <w:ind w:left="300"/>
              <w:spacing w:after="0"/>
              <w:rPr>
                <w:sz w:val="20"/>
                <w:szCs w:val="20"/>
                <w:color w:val="auto"/>
              </w:rPr>
            </w:pPr>
            <w:r>
              <w:rPr>
                <w:rFonts w:ascii="Arial" w:cs="Arial" w:eastAsia="Arial" w:hAnsi="Arial"/>
                <w:sz w:val="16"/>
                <w:szCs w:val="16"/>
                <w:color w:val="auto"/>
              </w:rPr>
              <w:t>Distributions to noncontrolling interests</w:t>
            </w: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7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(4,469)</w:t>
            </w:r>
          </w:p>
        </w:tc>
        <w:tc>
          <w:tcPr>
            <w:tcW w:w="100" w:type="dxa"/>
            <w:vAlign w:val="bottom"/>
            <w:shd w:val="clear" w:color="auto" w:fill="CFF0FC"/>
          </w:tcPr>
          <w:p>
            <w:pPr>
              <w:spacing w:after="0"/>
              <w:rPr>
                <w:sz w:val="17"/>
                <w:szCs w:val="17"/>
                <w:color w:val="auto"/>
              </w:rPr>
            </w:pPr>
          </w:p>
        </w:tc>
        <w:tc>
          <w:tcPr>
            <w:tcW w:w="15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(35,378)</w:t>
            </w:r>
          </w:p>
        </w:tc>
      </w:tr>
      <w:tr>
        <w:trPr>
          <w:trHeight w:val="203"/>
        </w:trPr>
        <w:tc>
          <w:tcPr>
            <w:tcW w:w="6720" w:type="dxa"/>
            <w:vAlign w:val="bottom"/>
          </w:tcPr>
          <w:p>
            <w:pPr>
              <w:ind w:left="300"/>
              <w:spacing w:after="0"/>
              <w:rPr>
                <w:sz w:val="20"/>
                <w:szCs w:val="20"/>
                <w:color w:val="auto"/>
              </w:rPr>
            </w:pPr>
            <w:r>
              <w:rPr>
                <w:rFonts w:ascii="Arial" w:cs="Arial" w:eastAsia="Arial" w:hAnsi="Arial"/>
                <w:sz w:val="16"/>
                <w:szCs w:val="16"/>
                <w:color w:val="auto"/>
              </w:rPr>
              <w:t>Purchase of treasury stock</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6"/>
                <w:szCs w:val="16"/>
                <w:color w:val="auto"/>
              </w:rPr>
              <w:t>(819)</w:t>
            </w:r>
          </w:p>
        </w:tc>
      </w:tr>
      <w:tr>
        <w:trPr>
          <w:trHeight w:val="203"/>
        </w:trPr>
        <w:tc>
          <w:tcPr>
            <w:tcW w:w="6720" w:type="dxa"/>
            <w:vAlign w:val="bottom"/>
            <w:shd w:val="clear" w:color="auto" w:fill="CFF0FC"/>
          </w:tcPr>
          <w:p>
            <w:pPr>
              <w:ind w:left="300"/>
              <w:spacing w:after="0"/>
              <w:rPr>
                <w:sz w:val="20"/>
                <w:szCs w:val="20"/>
                <w:color w:val="auto"/>
              </w:rPr>
            </w:pPr>
            <w:r>
              <w:rPr>
                <w:rFonts w:ascii="Arial" w:cs="Arial" w:eastAsia="Arial" w:hAnsi="Arial"/>
                <w:sz w:val="16"/>
                <w:szCs w:val="16"/>
                <w:color w:val="auto"/>
              </w:rPr>
              <w:t>Taxes paid on vested stock</w:t>
            </w: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7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(1,149)</w:t>
            </w: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r>
      <w:tr>
        <w:trPr>
          <w:trHeight w:val="203"/>
        </w:trPr>
        <w:tc>
          <w:tcPr>
            <w:tcW w:w="6720" w:type="dxa"/>
            <w:vAlign w:val="bottom"/>
          </w:tcPr>
          <w:p>
            <w:pPr>
              <w:ind w:left="300"/>
              <w:spacing w:after="0"/>
              <w:rPr>
                <w:sz w:val="20"/>
                <w:szCs w:val="20"/>
                <w:color w:val="auto"/>
              </w:rPr>
            </w:pPr>
            <w:r>
              <w:rPr>
                <w:rFonts w:ascii="Arial" w:cs="Arial" w:eastAsia="Arial" w:hAnsi="Arial"/>
                <w:sz w:val="16"/>
                <w:szCs w:val="16"/>
                <w:color w:val="auto"/>
              </w:rPr>
              <w:t>Proceeds from issuance of common stock</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1,684</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536,879</w:t>
            </w:r>
          </w:p>
        </w:tc>
        <w:tc>
          <w:tcPr>
            <w:tcW w:w="120" w:type="dxa"/>
            <w:vAlign w:val="bottom"/>
          </w:tcPr>
          <w:p>
            <w:pPr>
              <w:spacing w:after="0"/>
              <w:rPr>
                <w:sz w:val="17"/>
                <w:szCs w:val="17"/>
                <w:color w:val="auto"/>
              </w:rPr>
            </w:pPr>
          </w:p>
        </w:tc>
      </w:tr>
      <w:tr>
        <w:trPr>
          <w:trHeight w:val="203"/>
        </w:trPr>
        <w:tc>
          <w:tcPr>
            <w:tcW w:w="6720" w:type="dxa"/>
            <w:vAlign w:val="bottom"/>
            <w:shd w:val="clear" w:color="auto" w:fill="CFF0FC"/>
          </w:tcPr>
          <w:p>
            <w:pPr>
              <w:ind w:left="300"/>
              <w:spacing w:after="0"/>
              <w:rPr>
                <w:sz w:val="20"/>
                <w:szCs w:val="20"/>
                <w:color w:val="auto"/>
              </w:rPr>
            </w:pPr>
            <w:r>
              <w:rPr>
                <w:rFonts w:ascii="Arial" w:cs="Arial" w:eastAsia="Arial" w:hAnsi="Arial"/>
                <w:sz w:val="16"/>
                <w:szCs w:val="16"/>
                <w:color w:val="auto"/>
              </w:rPr>
              <w:t>Dividend paid</w:t>
            </w: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5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(52,093)</w:t>
            </w:r>
          </w:p>
        </w:tc>
      </w:tr>
      <w:tr>
        <w:trPr>
          <w:trHeight w:val="196"/>
        </w:trPr>
        <w:tc>
          <w:tcPr>
            <w:tcW w:w="6720" w:type="dxa"/>
            <w:vAlign w:val="bottom"/>
            <w:tcBorders>
              <w:bottom w:val="single" w:sz="8" w:color="CFF0FC"/>
            </w:tcBorders>
          </w:tcPr>
          <w:p>
            <w:pPr>
              <w:ind w:left="300"/>
              <w:spacing w:after="0"/>
              <w:rPr>
                <w:sz w:val="20"/>
                <w:szCs w:val="20"/>
                <w:color w:val="auto"/>
              </w:rPr>
            </w:pPr>
            <w:r>
              <w:rPr>
                <w:rFonts w:ascii="Arial" w:cs="Arial" w:eastAsia="Arial" w:hAnsi="Arial"/>
                <w:sz w:val="16"/>
                <w:szCs w:val="16"/>
                <w:color w:val="auto"/>
              </w:rPr>
              <w:t>Net cash provided by financing activities</w:t>
            </w:r>
          </w:p>
        </w:tc>
        <w:tc>
          <w:tcPr>
            <w:tcW w:w="1020" w:type="dxa"/>
            <w:vAlign w:val="bottom"/>
            <w:tcBorders>
              <w:bottom w:val="single" w:sz="8" w:color="CFF0FC"/>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345,090</w:t>
            </w:r>
          </w:p>
        </w:tc>
        <w:tc>
          <w:tcPr>
            <w:tcW w:w="280" w:type="dxa"/>
            <w:vAlign w:val="bottom"/>
            <w:tcBorders>
              <w:bottom w:val="single" w:sz="8" w:color="CFF0FC"/>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277,302</w:t>
            </w:r>
          </w:p>
        </w:tc>
        <w:tc>
          <w:tcPr>
            <w:tcW w:w="120" w:type="dxa"/>
            <w:vAlign w:val="bottom"/>
            <w:tcBorders>
              <w:bottom w:val="single" w:sz="8" w:color="CFF0FC"/>
            </w:tcBorders>
          </w:tcPr>
          <w:p>
            <w:pPr>
              <w:spacing w:after="0"/>
              <w:rPr>
                <w:sz w:val="17"/>
                <w:szCs w:val="17"/>
                <w:color w:val="auto"/>
              </w:rPr>
            </w:pPr>
          </w:p>
        </w:tc>
      </w:tr>
      <w:tr>
        <w:trPr>
          <w:trHeight w:val="196"/>
        </w:trPr>
        <w:tc>
          <w:tcPr>
            <w:tcW w:w="6720" w:type="dxa"/>
            <w:vAlign w:val="bottom"/>
            <w:shd w:val="clear" w:color="auto" w:fill="CFF0FC"/>
          </w:tcPr>
          <w:p>
            <w:pPr>
              <w:ind w:left="300"/>
              <w:spacing w:after="0"/>
              <w:rPr>
                <w:sz w:val="20"/>
                <w:szCs w:val="20"/>
                <w:color w:val="auto"/>
              </w:rPr>
            </w:pPr>
            <w:r>
              <w:rPr>
                <w:rFonts w:ascii="Arial" w:cs="Arial" w:eastAsia="Arial" w:hAnsi="Arial"/>
                <w:sz w:val="16"/>
                <w:szCs w:val="16"/>
                <w:color w:val="auto"/>
              </w:rPr>
              <w:t>Effect of exchange rate changes</w:t>
            </w:r>
          </w:p>
        </w:tc>
        <w:tc>
          <w:tcPr>
            <w:tcW w:w="1020" w:type="dxa"/>
            <w:vAlign w:val="bottom"/>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(69)</w:t>
            </w:r>
          </w:p>
        </w:tc>
        <w:tc>
          <w:tcPr>
            <w:tcW w:w="280" w:type="dxa"/>
            <w:vAlign w:val="bottom"/>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(953)</w:t>
            </w:r>
          </w:p>
        </w:tc>
        <w:tc>
          <w:tcPr>
            <w:tcW w:w="120" w:type="dxa"/>
            <w:vAlign w:val="bottom"/>
            <w:shd w:val="clear" w:color="auto" w:fill="CFF0FC"/>
          </w:tcPr>
          <w:p>
            <w:pPr>
              <w:spacing w:after="0"/>
              <w:rPr>
                <w:sz w:val="17"/>
                <w:szCs w:val="17"/>
                <w:color w:val="auto"/>
              </w:rPr>
            </w:pPr>
          </w:p>
        </w:tc>
      </w:tr>
      <w:tr>
        <w:trPr>
          <w:trHeight w:val="196"/>
        </w:trPr>
        <w:tc>
          <w:tcPr>
            <w:tcW w:w="6720" w:type="dxa"/>
            <w:vAlign w:val="bottom"/>
          </w:tcPr>
          <w:p>
            <w:pPr>
              <w:ind w:left="300"/>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422,383</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(134,733)</w:t>
            </w:r>
          </w:p>
        </w:tc>
        <w:tc>
          <w:tcPr>
            <w:tcW w:w="120" w:type="dxa"/>
            <w:vAlign w:val="bottom"/>
          </w:tcPr>
          <w:p>
            <w:pPr>
              <w:spacing w:after="0"/>
              <w:rPr>
                <w:sz w:val="17"/>
                <w:szCs w:val="17"/>
                <w:color w:val="auto"/>
              </w:rPr>
            </w:pPr>
          </w:p>
        </w:tc>
      </w:tr>
      <w:tr>
        <w:trPr>
          <w:trHeight w:val="203"/>
        </w:trPr>
        <w:tc>
          <w:tcPr>
            <w:tcW w:w="6720" w:type="dxa"/>
            <w:vAlign w:val="bottom"/>
            <w:shd w:val="clear" w:color="auto" w:fill="CFF0FC"/>
          </w:tcPr>
          <w:p>
            <w:pPr>
              <w:ind w:left="300"/>
              <w:spacing w:after="0"/>
              <w:rPr>
                <w:sz w:val="20"/>
                <w:szCs w:val="20"/>
                <w:color w:val="auto"/>
              </w:rPr>
            </w:pPr>
            <w:r>
              <w:rPr>
                <w:rFonts w:ascii="Arial" w:cs="Arial" w:eastAsia="Arial" w:hAnsi="Arial"/>
                <w:sz w:val="16"/>
                <w:szCs w:val="16"/>
                <w:color w:val="auto"/>
              </w:rPr>
              <w:t>Cash, cash equivalents and restricted cash:</w:t>
            </w: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6720" w:type="dxa"/>
            <w:vAlign w:val="bottom"/>
            <w:tcBorders>
              <w:bottom w:val="single" w:sz="8" w:color="CFF0FC"/>
            </w:tcBorders>
          </w:tcPr>
          <w:p>
            <w:pPr>
              <w:ind w:left="300"/>
              <w:spacing w:after="0"/>
              <w:rPr>
                <w:sz w:val="20"/>
                <w:szCs w:val="20"/>
                <w:color w:val="auto"/>
              </w:rPr>
            </w:pPr>
            <w:r>
              <w:rPr>
                <w:rFonts w:ascii="Arial" w:cs="Arial" w:eastAsia="Arial" w:hAnsi="Arial"/>
                <w:sz w:val="16"/>
                <w:szCs w:val="16"/>
                <w:color w:val="auto"/>
              </w:rPr>
              <w:t>Beginning of year</w:t>
            </w:r>
          </w:p>
        </w:tc>
        <w:tc>
          <w:tcPr>
            <w:tcW w:w="102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195,374</w:t>
            </w:r>
          </w:p>
        </w:tc>
        <w:tc>
          <w:tcPr>
            <w:tcW w:w="28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281,195</w:t>
            </w:r>
          </w:p>
        </w:tc>
        <w:tc>
          <w:tcPr>
            <w:tcW w:w="120" w:type="dxa"/>
            <w:vAlign w:val="bottom"/>
            <w:tcBorders>
              <w:bottom w:val="single" w:sz="8" w:color="CFF0FC"/>
            </w:tcBorders>
          </w:tcPr>
          <w:p>
            <w:pPr>
              <w:spacing w:after="0"/>
              <w:rPr>
                <w:sz w:val="17"/>
                <w:szCs w:val="17"/>
                <w:color w:val="auto"/>
              </w:rPr>
            </w:pPr>
          </w:p>
        </w:tc>
      </w:tr>
      <w:tr>
        <w:trPr>
          <w:trHeight w:val="196"/>
        </w:trPr>
        <w:tc>
          <w:tcPr>
            <w:tcW w:w="672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16"/>
                <w:szCs w:val="16"/>
                <w:color w:val="auto"/>
              </w:rPr>
              <w:t>End of period</w:t>
            </w:r>
          </w:p>
        </w:tc>
        <w:tc>
          <w:tcPr>
            <w:tcW w:w="10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617,757</w:t>
            </w:r>
          </w:p>
        </w:tc>
        <w:tc>
          <w:tcPr>
            <w:tcW w:w="2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146,462</w:t>
            </w:r>
          </w:p>
        </w:tc>
        <w:tc>
          <w:tcPr>
            <w:tcW w:w="120" w:type="dxa"/>
            <w:vAlign w:val="bottom"/>
            <w:tcBorders>
              <w:bottom w:val="single" w:sz="8" w:color="CFF0FC"/>
            </w:tcBorders>
            <w:shd w:val="clear" w:color="auto" w:fill="CFF0FC"/>
          </w:tcPr>
          <w:p>
            <w:pPr>
              <w:spacing w:after="0"/>
              <w:rPr>
                <w:sz w:val="17"/>
                <w:szCs w:val="17"/>
                <w:color w:val="auto"/>
              </w:rPr>
            </w:pPr>
          </w:p>
        </w:tc>
      </w:tr>
    </w:tbl>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4916805</wp:posOffset>
            </wp:positionH>
            <wp:positionV relativeFrom="paragraph">
              <wp:posOffset>-125095</wp:posOffset>
            </wp:positionV>
            <wp:extent cx="214312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6" w:name="page7"/>
    <w:bookmarkEnd w:id="6"/>
    <w:p>
      <w:pPr>
        <w:ind w:left="3640"/>
        <w:spacing w:after="0"/>
        <w:rPr>
          <w:sz w:val="20"/>
          <w:szCs w:val="20"/>
          <w:color w:val="auto"/>
        </w:rPr>
      </w:pPr>
      <w:r>
        <w:rPr>
          <w:rFonts w:ascii="Times New Roman" w:cs="Times New Roman" w:eastAsia="Times New Roman" w:hAnsi="Times New Roman"/>
          <w:sz w:val="18"/>
          <w:szCs w:val="18"/>
          <w:b w:val="1"/>
          <w:bCs w:val="1"/>
          <w:color w:val="auto"/>
        </w:rPr>
        <w:t>PARSONS CORPORATION AND SUBSIDIARIES</w:t>
      </w:r>
    </w:p>
    <w:p>
      <w:pPr>
        <w:spacing w:after="0" w:line="31"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 (Deficit)</w:t>
      </w:r>
    </w:p>
    <w:p>
      <w:pPr>
        <w:spacing w:after="0" w:line="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For the Three Months Ended September 30, 2020 and September 30, 2019</w:t>
      </w:r>
    </w:p>
    <w:p>
      <w:pPr>
        <w:spacing w:after="0" w:line="4" w:lineRule="exact"/>
        <w:rPr>
          <w:sz w:val="20"/>
          <w:szCs w:val="20"/>
          <w:color w:val="auto"/>
        </w:rPr>
      </w:pPr>
    </w:p>
    <w:p>
      <w:pPr>
        <w:ind w:left="5040"/>
        <w:spacing w:after="0"/>
        <w:rPr>
          <w:sz w:val="20"/>
          <w:szCs w:val="20"/>
          <w:color w:val="auto"/>
        </w:rPr>
      </w:pPr>
      <w:r>
        <w:rPr>
          <w:rFonts w:ascii="Arial" w:cs="Arial" w:eastAsia="Arial" w:hAnsi="Arial"/>
          <w:sz w:val="18"/>
          <w:szCs w:val="18"/>
          <w:i w:val="1"/>
          <w:iCs w:val="1"/>
          <w:color w:val="auto"/>
        </w:rPr>
        <w:t>(In thousands)</w:t>
      </w:r>
    </w:p>
    <w:p>
      <w:pPr>
        <w:jc w:val="center"/>
        <w:spacing w:after="0"/>
        <w:rPr>
          <w:sz w:val="20"/>
          <w:szCs w:val="20"/>
          <w:color w:val="auto"/>
        </w:rPr>
      </w:pPr>
      <w:r>
        <w:rPr>
          <w:rFonts w:ascii="Arial" w:cs="Arial" w:eastAsia="Arial" w:hAnsi="Arial"/>
          <w:sz w:val="18"/>
          <w:szCs w:val="18"/>
          <w:color w:val="auto"/>
        </w:rPr>
        <w:t>(Unaudited)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98"/>
              </w:rPr>
              <w:t>Retained</w:t>
            </w:r>
          </w:p>
        </w:tc>
        <w:tc>
          <w:tcPr>
            <w:tcW w:w="80" w:type="dxa"/>
            <w:vAlign w:val="bottom"/>
          </w:tcPr>
          <w:p>
            <w:pPr>
              <w:spacing w:after="0"/>
              <w:rPr>
                <w:sz w:val="20"/>
                <w:szCs w:val="20"/>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8"/>
              </w:rPr>
              <w:t>Accumulated</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8"/>
              </w:rPr>
              <w:t>Total</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440" w:type="dxa"/>
            <w:vAlign w:val="bottom"/>
          </w:tcPr>
          <w:p>
            <w:pPr>
              <w:spacing w:after="0"/>
              <w:rPr>
                <w:sz w:val="12"/>
                <w:szCs w:val="12"/>
                <w:color w:val="auto"/>
              </w:rPr>
            </w:pPr>
          </w:p>
        </w:tc>
        <w:tc>
          <w:tcPr>
            <w:tcW w:w="1000" w:type="dxa"/>
            <w:vAlign w:val="bottom"/>
            <w:tcBorders>
              <w:right w:val="single" w:sz="8" w:color="auto"/>
            </w:tcBorders>
            <w:gridSpan w:val="3"/>
          </w:tcPr>
          <w:p>
            <w:pPr>
              <w:jc w:val="center"/>
              <w:ind w:right="240"/>
              <w:spacing w:after="0"/>
              <w:rPr>
                <w:sz w:val="20"/>
                <w:szCs w:val="20"/>
                <w:color w:val="auto"/>
              </w:rPr>
            </w:pPr>
            <w:r>
              <w:rPr>
                <w:rFonts w:ascii="Arial" w:cs="Arial" w:eastAsia="Arial" w:hAnsi="Arial"/>
                <w:sz w:val="11"/>
                <w:szCs w:val="11"/>
                <w:b w:val="1"/>
                <w:bCs w:val="1"/>
                <w:color w:val="auto"/>
                <w:w w:val="98"/>
              </w:rPr>
              <w:t>Redeemable</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1"/>
                <w:szCs w:val="11"/>
                <w:b w:val="1"/>
                <w:bCs w:val="1"/>
                <w:color w:val="auto"/>
                <w:w w:val="96"/>
              </w:rPr>
              <w:t>Additional</w:t>
            </w:r>
          </w:p>
        </w:tc>
        <w:tc>
          <w:tcPr>
            <w:tcW w:w="100" w:type="dxa"/>
            <w:vAlign w:val="bottom"/>
          </w:tcPr>
          <w:p>
            <w:pPr>
              <w:spacing w:after="0"/>
              <w:rPr>
                <w:sz w:val="12"/>
                <w:szCs w:val="12"/>
                <w:color w:val="auto"/>
              </w:rPr>
            </w:pPr>
          </w:p>
        </w:tc>
        <w:tc>
          <w:tcPr>
            <w:tcW w:w="82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97"/>
              </w:rPr>
              <w:t>Earnings</w:t>
            </w:r>
          </w:p>
        </w:tc>
        <w:tc>
          <w:tcPr>
            <w:tcW w:w="80" w:type="dxa"/>
            <w:vAlign w:val="bottom"/>
          </w:tcPr>
          <w:p>
            <w:pPr>
              <w:spacing w:after="0"/>
              <w:rPr>
                <w:sz w:val="12"/>
                <w:szCs w:val="12"/>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5"/>
              </w:rPr>
              <w:t>Other</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6"/>
              </w:rPr>
              <w:t>Parsons</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Borders>
              <w:right w:val="single" w:sz="8" w:color="auto"/>
            </w:tcBorders>
            <w:gridSpan w:val="2"/>
          </w:tcPr>
          <w:p>
            <w:pPr>
              <w:jc w:val="center"/>
              <w:ind w:right="340"/>
              <w:spacing w:after="0"/>
              <w:rPr>
                <w:sz w:val="20"/>
                <w:szCs w:val="20"/>
                <w:color w:val="auto"/>
              </w:rPr>
            </w:pPr>
            <w:r>
              <w:rPr>
                <w:rFonts w:ascii="Arial" w:cs="Arial" w:eastAsia="Arial" w:hAnsi="Arial"/>
                <w:sz w:val="11"/>
                <w:szCs w:val="11"/>
                <w:b w:val="1"/>
                <w:bCs w:val="1"/>
                <w:color w:val="auto"/>
              </w:rPr>
              <w:t>Common</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ind w:right="30"/>
              <w:spacing w:after="0"/>
              <w:rPr>
                <w:sz w:val="20"/>
                <w:szCs w:val="20"/>
                <w:color w:val="auto"/>
              </w:rPr>
            </w:pPr>
            <w:r>
              <w:rPr>
                <w:rFonts w:ascii="Arial" w:cs="Arial" w:eastAsia="Arial" w:hAnsi="Arial"/>
                <w:sz w:val="11"/>
                <w:szCs w:val="11"/>
                <w:b w:val="1"/>
                <w:bCs w:val="1"/>
                <w:color w:val="auto"/>
                <w:w w:val="92"/>
              </w:rPr>
              <w:t>Common</w:t>
            </w:r>
          </w:p>
        </w:tc>
        <w:tc>
          <w:tcPr>
            <w:tcW w:w="180" w:type="dxa"/>
            <w:vAlign w:val="bottom"/>
          </w:tcPr>
          <w:p>
            <w:pPr>
              <w:spacing w:after="0"/>
              <w:rPr>
                <w:sz w:val="12"/>
                <w:szCs w:val="12"/>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1"/>
                <w:szCs w:val="11"/>
                <w:b w:val="1"/>
                <w:bCs w:val="1"/>
                <w:color w:val="auto"/>
              </w:rPr>
              <w:t>Treasury</w:t>
            </w:r>
          </w:p>
        </w:tc>
        <w:tc>
          <w:tcPr>
            <w:tcW w:w="100" w:type="dxa"/>
            <w:vAlign w:val="bottom"/>
          </w:tcPr>
          <w:p>
            <w:pPr>
              <w:spacing w:after="0"/>
              <w:rPr>
                <w:sz w:val="12"/>
                <w:szCs w:val="12"/>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1"/>
                <w:szCs w:val="11"/>
                <w:b w:val="1"/>
                <w:bCs w:val="1"/>
                <w:color w:val="auto"/>
              </w:rPr>
              <w:t>Paid-in</w:t>
            </w:r>
          </w:p>
        </w:tc>
        <w:tc>
          <w:tcPr>
            <w:tcW w:w="920" w:type="dxa"/>
            <w:vAlign w:val="bottom"/>
            <w:gridSpan w:val="3"/>
          </w:tcPr>
          <w:p>
            <w:pPr>
              <w:spacing w:after="0"/>
              <w:rPr>
                <w:sz w:val="20"/>
                <w:szCs w:val="20"/>
                <w:color w:val="auto"/>
              </w:rPr>
            </w:pPr>
            <w:r>
              <w:rPr>
                <w:rFonts w:ascii="Arial" w:cs="Arial" w:eastAsia="Arial" w:hAnsi="Arial"/>
                <w:sz w:val="11"/>
                <w:szCs w:val="11"/>
                <w:b w:val="1"/>
                <w:bCs w:val="1"/>
                <w:color w:val="auto"/>
              </w:rPr>
              <w:t>(Accumulated</w:t>
            </w:r>
          </w:p>
        </w:tc>
        <w:tc>
          <w:tcPr>
            <w:tcW w:w="1020" w:type="dxa"/>
            <w:vAlign w:val="bottom"/>
            <w:gridSpan w:val="3"/>
          </w:tcPr>
          <w:p>
            <w:pPr>
              <w:jc w:val="center"/>
              <w:ind w:right="160"/>
              <w:spacing w:after="0"/>
              <w:rPr>
                <w:sz w:val="20"/>
                <w:szCs w:val="20"/>
                <w:color w:val="auto"/>
              </w:rPr>
            </w:pPr>
            <w:r>
              <w:rPr>
                <w:rFonts w:ascii="Arial" w:cs="Arial" w:eastAsia="Arial" w:hAnsi="Arial"/>
                <w:sz w:val="11"/>
                <w:szCs w:val="11"/>
                <w:b w:val="1"/>
                <w:bCs w:val="1"/>
                <w:color w:val="auto"/>
                <w:w w:val="99"/>
              </w:rPr>
              <w:t>Comprehensive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rPr>
              <w:t>Equity</w:t>
            </w:r>
          </w:p>
        </w:tc>
        <w:tc>
          <w:tcPr>
            <w:tcW w:w="80" w:type="dxa"/>
            <w:vAlign w:val="bottom"/>
          </w:tcPr>
          <w:p>
            <w:pPr>
              <w:spacing w:after="0"/>
              <w:rPr>
                <w:sz w:val="12"/>
                <w:szCs w:val="12"/>
                <w:color w:val="auto"/>
              </w:rPr>
            </w:pPr>
          </w:p>
        </w:tc>
        <w:tc>
          <w:tcPr>
            <w:tcW w:w="1080" w:type="dxa"/>
            <w:vAlign w:val="bottom"/>
            <w:gridSpan w:val="3"/>
          </w:tcPr>
          <w:p>
            <w:pPr>
              <w:jc w:val="right"/>
              <w:ind w:right="260"/>
              <w:spacing w:after="0"/>
              <w:rPr>
                <w:sz w:val="20"/>
                <w:szCs w:val="20"/>
                <w:color w:val="auto"/>
              </w:rPr>
            </w:pPr>
            <w:r>
              <w:rPr>
                <w:rFonts w:ascii="Arial" w:cs="Arial" w:eastAsia="Arial" w:hAnsi="Arial"/>
                <w:sz w:val="11"/>
                <w:szCs w:val="11"/>
                <w:b w:val="1"/>
                <w:bCs w:val="1"/>
                <w:color w:val="auto"/>
              </w:rPr>
              <w:t>Noncontrolling</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44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center"/>
              <w:ind w:right="50"/>
              <w:spacing w:after="0"/>
              <w:rPr>
                <w:sz w:val="20"/>
                <w:szCs w:val="20"/>
                <w:color w:val="auto"/>
              </w:rPr>
            </w:pPr>
            <w:r>
              <w:rPr>
                <w:rFonts w:ascii="Arial" w:cs="Arial" w:eastAsia="Arial" w:hAnsi="Arial"/>
                <w:sz w:val="11"/>
                <w:szCs w:val="11"/>
                <w:b w:val="1"/>
                <w:bCs w:val="1"/>
                <w:color w:val="auto"/>
                <w:w w:val="99"/>
              </w:rPr>
              <w:t>Stock</w:t>
            </w:r>
          </w:p>
        </w:tc>
        <w:tc>
          <w:tcPr>
            <w:tcW w:w="240" w:type="dxa"/>
            <w:vAlign w:val="bottom"/>
            <w:tcBorders>
              <w:bottom w:val="single" w:sz="8" w:color="CFF0FC"/>
              <w:right w:val="single" w:sz="8" w:color="auto"/>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0"/>
              <w:spacing w:after="0"/>
              <w:rPr>
                <w:sz w:val="20"/>
                <w:szCs w:val="20"/>
                <w:color w:val="auto"/>
              </w:rPr>
            </w:pPr>
            <w:r>
              <w:rPr>
                <w:rFonts w:ascii="Arial" w:cs="Arial" w:eastAsia="Arial" w:hAnsi="Arial"/>
                <w:sz w:val="11"/>
                <w:szCs w:val="11"/>
                <w:b w:val="1"/>
                <w:bCs w:val="1"/>
                <w:color w:val="auto"/>
              </w:rPr>
              <w:t>Stock</w:t>
            </w:r>
          </w:p>
        </w:tc>
        <w:tc>
          <w:tcPr>
            <w:tcW w:w="180" w:type="dxa"/>
            <w:vAlign w:val="bottom"/>
            <w:tcBorders>
              <w:bottom w:val="single" w:sz="8" w:color="CFF0FC"/>
            </w:tcBorders>
          </w:tcPr>
          <w:p>
            <w:pPr>
              <w:spacing w:after="0"/>
              <w:rPr>
                <w:sz w:val="12"/>
                <w:szCs w:val="12"/>
                <w:color w:val="auto"/>
              </w:rPr>
            </w:pPr>
          </w:p>
        </w:tc>
        <w:tc>
          <w:tcPr>
            <w:tcW w:w="720" w:type="dxa"/>
            <w:vAlign w:val="bottom"/>
            <w:tcBorders>
              <w:bottom w:val="single" w:sz="8" w:color="auto"/>
            </w:tcBorders>
          </w:tcPr>
          <w:p>
            <w:pPr>
              <w:jc w:val="right"/>
              <w:ind w:right="160"/>
              <w:spacing w:after="0"/>
              <w:rPr>
                <w:sz w:val="20"/>
                <w:szCs w:val="20"/>
                <w:color w:val="auto"/>
              </w:rPr>
            </w:pPr>
            <w:r>
              <w:rPr>
                <w:rFonts w:ascii="Arial" w:cs="Arial" w:eastAsia="Arial" w:hAnsi="Arial"/>
                <w:sz w:val="11"/>
                <w:szCs w:val="11"/>
                <w:b w:val="1"/>
                <w:bCs w:val="1"/>
                <w:color w:val="auto"/>
              </w:rPr>
              <w:t>Stock</w:t>
            </w:r>
          </w:p>
        </w:tc>
        <w:tc>
          <w:tcPr>
            <w:tcW w:w="20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30"/>
              <w:spacing w:after="0"/>
              <w:rPr>
                <w:sz w:val="20"/>
                <w:szCs w:val="20"/>
                <w:color w:val="auto"/>
              </w:rPr>
            </w:pPr>
            <w:r>
              <w:rPr>
                <w:rFonts w:ascii="Arial" w:cs="Arial" w:eastAsia="Arial" w:hAnsi="Arial"/>
                <w:sz w:val="11"/>
                <w:szCs w:val="11"/>
                <w:b w:val="1"/>
                <w:bCs w:val="1"/>
                <w:color w:val="auto"/>
              </w:rPr>
              <w:t>Capital</w:t>
            </w:r>
          </w:p>
        </w:tc>
        <w:tc>
          <w:tcPr>
            <w:tcW w:w="20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center"/>
              <w:ind w:right="30"/>
              <w:spacing w:after="0"/>
              <w:rPr>
                <w:sz w:val="20"/>
                <w:szCs w:val="20"/>
                <w:color w:val="auto"/>
              </w:rPr>
            </w:pPr>
            <w:r>
              <w:rPr>
                <w:rFonts w:ascii="Arial" w:cs="Arial" w:eastAsia="Arial" w:hAnsi="Arial"/>
                <w:sz w:val="11"/>
                <w:szCs w:val="11"/>
                <w:b w:val="1"/>
                <w:bCs w:val="1"/>
                <w:color w:val="auto"/>
                <w:w w:val="96"/>
              </w:rPr>
              <w:t>Deficit)</w:t>
            </w:r>
          </w:p>
        </w:tc>
        <w:tc>
          <w:tcPr>
            <w:tcW w:w="200" w:type="dxa"/>
            <w:vAlign w:val="bottom"/>
            <w:tcBorders>
              <w:bottom w:val="single" w:sz="8" w:color="CFF0FC"/>
            </w:tcBorders>
          </w:tcPr>
          <w:p>
            <w:pPr>
              <w:spacing w:after="0"/>
              <w:rPr>
                <w:sz w:val="12"/>
                <w:szCs w:val="12"/>
                <w:color w:val="auto"/>
              </w:rPr>
            </w:pPr>
          </w:p>
        </w:tc>
        <w:tc>
          <w:tcPr>
            <w:tcW w:w="880" w:type="dxa"/>
            <w:vAlign w:val="bottom"/>
            <w:tcBorders>
              <w:bottom w:val="single" w:sz="8" w:color="auto"/>
            </w:tcBorders>
            <w:gridSpan w:val="2"/>
          </w:tcPr>
          <w:p>
            <w:pPr>
              <w:jc w:val="center"/>
              <w:spacing w:after="0"/>
              <w:rPr>
                <w:sz w:val="20"/>
                <w:szCs w:val="20"/>
                <w:color w:val="auto"/>
              </w:rPr>
            </w:pPr>
            <w:r>
              <w:rPr>
                <w:rFonts w:ascii="Arial" w:cs="Arial" w:eastAsia="Arial" w:hAnsi="Arial"/>
                <w:sz w:val="11"/>
                <w:szCs w:val="11"/>
                <w:b w:val="1"/>
                <w:bCs w:val="1"/>
                <w:color w:val="auto"/>
                <w:w w:val="99"/>
              </w:rPr>
              <w:t>Income (Loss)</w:t>
            </w:r>
          </w:p>
        </w:tc>
        <w:tc>
          <w:tcPr>
            <w:tcW w:w="140" w:type="dxa"/>
            <w:vAlign w:val="bottom"/>
            <w:tcBorders>
              <w:bottom w:val="single" w:sz="8" w:color="CFF0FC"/>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center"/>
              <w:ind w:right="31"/>
              <w:spacing w:after="0"/>
              <w:rPr>
                <w:sz w:val="20"/>
                <w:szCs w:val="20"/>
                <w:color w:val="auto"/>
              </w:rPr>
            </w:pPr>
            <w:r>
              <w:rPr>
                <w:rFonts w:ascii="Arial" w:cs="Arial" w:eastAsia="Arial" w:hAnsi="Arial"/>
                <w:sz w:val="11"/>
                <w:szCs w:val="11"/>
                <w:b w:val="1"/>
                <w:bCs w:val="1"/>
                <w:color w:val="auto"/>
                <w:w w:val="97"/>
              </w:rPr>
              <w:t>(Deficit)</w:t>
            </w:r>
          </w:p>
        </w:tc>
        <w:tc>
          <w:tcPr>
            <w:tcW w:w="140" w:type="dxa"/>
            <w:vAlign w:val="bottom"/>
            <w:tcBorders>
              <w:bottom w:val="single" w:sz="8" w:color="CFF0FC"/>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29"/>
              <w:spacing w:after="0"/>
              <w:rPr>
                <w:sz w:val="20"/>
                <w:szCs w:val="20"/>
                <w:color w:val="auto"/>
              </w:rPr>
            </w:pPr>
            <w:r>
              <w:rPr>
                <w:rFonts w:ascii="Arial" w:cs="Arial" w:eastAsia="Arial" w:hAnsi="Arial"/>
                <w:sz w:val="11"/>
                <w:szCs w:val="11"/>
                <w:b w:val="1"/>
                <w:bCs w:val="1"/>
                <w:color w:val="auto"/>
              </w:rPr>
              <w:t>Interests</w:t>
            </w:r>
          </w:p>
        </w:tc>
        <w:tc>
          <w:tcPr>
            <w:tcW w:w="22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29"/>
              <w:spacing w:after="0"/>
              <w:rPr>
                <w:sz w:val="20"/>
                <w:szCs w:val="20"/>
                <w:color w:val="auto"/>
              </w:rPr>
            </w:pPr>
            <w:r>
              <w:rPr>
                <w:rFonts w:ascii="Arial" w:cs="Arial" w:eastAsia="Arial" w:hAnsi="Arial"/>
                <w:sz w:val="11"/>
                <w:szCs w:val="11"/>
                <w:b w:val="1"/>
                <w:bCs w:val="1"/>
                <w:color w:val="auto"/>
              </w:rPr>
              <w:t>Total</w:t>
            </w:r>
          </w:p>
        </w:tc>
        <w:tc>
          <w:tcPr>
            <w:tcW w:w="6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44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Balance at June 30, 2020</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right w:val="single" w:sz="8" w:color="auto"/>
            </w:tcBorders>
            <w:shd w:val="clear" w:color="auto" w:fill="CFF0FC"/>
          </w:tcPr>
          <w:p>
            <w:pPr>
              <w:spacing w:after="0"/>
              <w:rPr>
                <w:sz w:val="14"/>
                <w:szCs w:val="14"/>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146,496</w:t>
            </w:r>
          </w:p>
        </w:tc>
        <w:tc>
          <w:tcPr>
            <w:tcW w:w="1100" w:type="dxa"/>
            <w:vAlign w:val="bottom"/>
            <w:gridSpan w:val="3"/>
            <w:shd w:val="clear" w:color="auto" w:fill="CFF0FC"/>
          </w:tcPr>
          <w:p>
            <w:pPr>
              <w:jc w:val="right"/>
              <w:ind w:right="160"/>
              <w:spacing w:after="0"/>
              <w:rPr>
                <w:sz w:val="20"/>
                <w:szCs w:val="20"/>
                <w:color w:val="auto"/>
              </w:rPr>
            </w:pPr>
            <w:r>
              <w:rPr>
                <w:rFonts w:ascii="Arial" w:cs="Arial" w:eastAsia="Arial" w:hAnsi="Arial"/>
                <w:sz w:val="14"/>
                <w:szCs w:val="14"/>
                <w:color w:val="auto"/>
              </w:rPr>
              <w:t>$ (934,240)</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9"/>
              </w:rPr>
              <w:t>2,658,036</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(182,753)</w:t>
            </w:r>
          </w:p>
        </w:tc>
        <w:tc>
          <w:tcPr>
            <w:tcW w:w="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(19,991)</w:t>
            </w: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1,667,548</w:t>
            </w:r>
          </w:p>
        </w:tc>
        <w:tc>
          <w:tcPr>
            <w:tcW w:w="140" w:type="dxa"/>
            <w:vAlign w:val="bottom"/>
            <w:shd w:val="clear" w:color="auto" w:fill="CFF0FC"/>
          </w:tcPr>
          <w:p>
            <w:pPr>
              <w:spacing w:after="0"/>
              <w:rPr>
                <w:sz w:val="14"/>
                <w:szCs w:val="14"/>
                <w:color w:val="auto"/>
              </w:rPr>
            </w:pPr>
          </w:p>
        </w:tc>
        <w:tc>
          <w:tcPr>
            <w:tcW w:w="220" w:type="dxa"/>
            <w:vAlign w:val="bottom"/>
            <w:gridSpan w:val="2"/>
            <w:shd w:val="clear" w:color="auto" w:fill="CFF0FC"/>
          </w:tcPr>
          <w:p>
            <w:pPr>
              <w:jc w:val="right"/>
              <w:ind w:right="6"/>
              <w:spacing w:after="0"/>
              <w:rPr>
                <w:sz w:val="20"/>
                <w:szCs w:val="20"/>
                <w:color w:val="auto"/>
              </w:rPr>
            </w:pPr>
            <w:r>
              <w:rPr>
                <w:rFonts w:ascii="Arial" w:cs="Arial" w:eastAsia="Arial" w:hAnsi="Arial"/>
                <w:sz w:val="14"/>
                <w:szCs w:val="14"/>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38,704</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1,706,252</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440" w:type="dxa"/>
            <w:vAlign w:val="bottom"/>
          </w:tcPr>
          <w:p>
            <w:pPr>
              <w:spacing w:after="0"/>
              <w:rPr>
                <w:sz w:val="20"/>
                <w:szCs w:val="20"/>
                <w:color w:val="auto"/>
              </w:rPr>
            </w:pPr>
            <w:r>
              <w:rPr>
                <w:rFonts w:ascii="Arial" w:cs="Arial" w:eastAsia="Arial" w:hAnsi="Arial"/>
                <w:sz w:val="14"/>
                <w:szCs w:val="14"/>
                <w:color w:val="auto"/>
              </w:rPr>
              <w:t>Comprehensive income</w:t>
            </w:r>
          </w:p>
        </w:tc>
        <w:tc>
          <w:tcPr>
            <w:tcW w:w="10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4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4"/>
                <w:szCs w:val="14"/>
                <w:color w:val="auto"/>
              </w:rPr>
              <w:t>Net income</w:t>
            </w:r>
          </w:p>
        </w:tc>
        <w:tc>
          <w:tcPr>
            <w:tcW w:w="100" w:type="dxa"/>
            <w:vAlign w:val="bottom"/>
            <w:tcBorders>
              <w:bottom w:val="single" w:sz="8" w:color="CFF0FC"/>
            </w:tcBorders>
            <w:shd w:val="clear" w:color="auto" w:fill="CFF0FC"/>
          </w:tcPr>
          <w:p>
            <w:pPr>
              <w:spacing w:after="0"/>
              <w:rPr>
                <w:sz w:val="18"/>
                <w:szCs w:val="18"/>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right w:val="single" w:sz="8" w:color="auto"/>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40,658</w:t>
            </w:r>
          </w:p>
        </w:tc>
        <w:tc>
          <w:tcPr>
            <w:tcW w:w="20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40,658</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5,862</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46,520</w:t>
            </w:r>
          </w:p>
        </w:tc>
        <w:tc>
          <w:tcPr>
            <w:tcW w:w="6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440" w:type="dxa"/>
            <w:vAlign w:val="bottom"/>
          </w:tcPr>
          <w:p>
            <w:pPr>
              <w:ind w:left="260"/>
              <w:spacing w:after="0"/>
              <w:rPr>
                <w:sz w:val="20"/>
                <w:szCs w:val="20"/>
                <w:color w:val="auto"/>
              </w:rPr>
            </w:pPr>
            <w:r>
              <w:rPr>
                <w:rFonts w:ascii="Arial" w:cs="Arial" w:eastAsia="Arial" w:hAnsi="Arial"/>
                <w:sz w:val="14"/>
                <w:szCs w:val="14"/>
                <w:color w:val="auto"/>
              </w:rPr>
              <w:t>Foreign currency translation</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440" w:type="dxa"/>
            <w:vAlign w:val="bottom"/>
          </w:tcPr>
          <w:p>
            <w:pPr>
              <w:ind w:left="260"/>
              <w:spacing w:after="0"/>
              <w:rPr>
                <w:sz w:val="20"/>
                <w:szCs w:val="20"/>
                <w:color w:val="auto"/>
              </w:rPr>
            </w:pPr>
            <w:r>
              <w:rPr>
                <w:rFonts w:ascii="Arial" w:cs="Arial" w:eastAsia="Arial" w:hAnsi="Arial"/>
                <w:sz w:val="14"/>
                <w:szCs w:val="14"/>
                <w:color w:val="auto"/>
              </w:rPr>
              <w:t>gain, net</w:t>
            </w: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1,922</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1,922</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1,926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4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Pension adjustments, net</w:t>
            </w: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right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440" w:type="dxa"/>
            <w:vAlign w:val="bottom"/>
          </w:tcPr>
          <w:p>
            <w:pPr>
              <w:spacing w:after="0"/>
              <w:rPr>
                <w:sz w:val="20"/>
                <w:szCs w:val="20"/>
                <w:color w:val="auto"/>
              </w:rPr>
            </w:pPr>
            <w:r>
              <w:rPr>
                <w:rFonts w:ascii="Arial" w:cs="Arial" w:eastAsia="Arial" w:hAnsi="Arial"/>
                <w:sz w:val="14"/>
                <w:szCs w:val="14"/>
                <w:color w:val="auto"/>
              </w:rPr>
              <w:t>Contributions</w:t>
            </w: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268</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268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440" w:type="dxa"/>
            <w:vAlign w:val="bottom"/>
            <w:shd w:val="clear" w:color="auto" w:fill="CFF0FC"/>
          </w:tcPr>
          <w:p>
            <w:pPr>
              <w:spacing w:after="0"/>
              <w:rPr>
                <w:sz w:val="20"/>
                <w:szCs w:val="20"/>
                <w:color w:val="auto"/>
              </w:rPr>
            </w:pPr>
            <w:r>
              <w:rPr>
                <w:rFonts w:ascii="Arial" w:cs="Arial" w:eastAsia="Arial" w:hAnsi="Arial"/>
                <w:sz w:val="14"/>
                <w:szCs w:val="14"/>
                <w:color w:val="auto"/>
              </w:rPr>
              <w:t>Distributions</w:t>
            </w: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right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(2,864)</w:t>
            </w:r>
          </w:p>
        </w:tc>
        <w:tc>
          <w:tcPr>
            <w:tcW w:w="10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(2,864)</w:t>
            </w:r>
          </w:p>
        </w:tc>
        <w:tc>
          <w:tcPr>
            <w:tcW w:w="0" w:type="dxa"/>
            <w:vAlign w:val="bottom"/>
          </w:tcPr>
          <w:p>
            <w:pPr>
              <w:spacing w:after="0"/>
              <w:rPr>
                <w:sz w:val="1"/>
                <w:szCs w:val="1"/>
                <w:color w:val="auto"/>
              </w:rPr>
            </w:pPr>
          </w:p>
        </w:tc>
      </w:tr>
      <w:tr>
        <w:trPr>
          <w:trHeight w:val="162"/>
        </w:trPr>
        <w:tc>
          <w:tcPr>
            <w:tcW w:w="2440" w:type="dxa"/>
            <w:vAlign w:val="bottom"/>
          </w:tcPr>
          <w:p>
            <w:pPr>
              <w:spacing w:after="0"/>
              <w:rPr>
                <w:sz w:val="20"/>
                <w:szCs w:val="20"/>
                <w:color w:val="auto"/>
              </w:rPr>
            </w:pPr>
            <w:r>
              <w:rPr>
                <w:rFonts w:ascii="Arial" w:cs="Arial" w:eastAsia="Arial" w:hAnsi="Arial"/>
                <w:sz w:val="14"/>
                <w:szCs w:val="14"/>
                <w:color w:val="auto"/>
              </w:rPr>
              <w:t>Issuance of equity securities, net of</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440" w:type="dxa"/>
            <w:vAlign w:val="bottom"/>
          </w:tcPr>
          <w:p>
            <w:pPr>
              <w:spacing w:after="0"/>
              <w:rPr>
                <w:sz w:val="20"/>
                <w:szCs w:val="20"/>
                <w:color w:val="auto"/>
              </w:rPr>
            </w:pPr>
            <w:r>
              <w:rPr>
                <w:rFonts w:ascii="Arial" w:cs="Arial" w:eastAsia="Arial" w:hAnsi="Arial"/>
                <w:sz w:val="14"/>
                <w:szCs w:val="14"/>
                <w:color w:val="auto"/>
              </w:rPr>
              <w:t>retirements</w:t>
            </w: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(12)</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62"/>
        </w:trPr>
        <w:tc>
          <w:tcPr>
            <w:tcW w:w="2440" w:type="dxa"/>
            <w:vAlign w:val="bottom"/>
            <w:shd w:val="clear" w:color="auto" w:fill="CFF0FC"/>
          </w:tcPr>
          <w:p>
            <w:pPr>
              <w:spacing w:after="0"/>
              <w:rPr>
                <w:sz w:val="20"/>
                <w:szCs w:val="20"/>
                <w:color w:val="auto"/>
              </w:rPr>
            </w:pPr>
            <w:r>
              <w:rPr>
                <w:rFonts w:ascii="Arial" w:cs="Arial" w:eastAsia="Arial" w:hAnsi="Arial"/>
                <w:sz w:val="14"/>
                <w:szCs w:val="14"/>
                <w:color w:val="auto"/>
              </w:rPr>
              <w:t>Equity component value of</w:t>
            </w: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40" w:type="dxa"/>
            <w:vAlign w:val="bottom"/>
            <w:tcBorders>
              <w:right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440" w:type="dxa"/>
            <w:vAlign w:val="bottom"/>
            <w:shd w:val="clear" w:color="auto" w:fill="CFF0FC"/>
          </w:tcPr>
          <w:p>
            <w:pPr>
              <w:spacing w:after="0"/>
              <w:rPr>
                <w:sz w:val="20"/>
                <w:szCs w:val="20"/>
                <w:color w:val="auto"/>
              </w:rPr>
            </w:pPr>
            <w:r>
              <w:rPr>
                <w:rFonts w:ascii="Arial" w:cs="Arial" w:eastAsia="Arial" w:hAnsi="Arial"/>
                <w:sz w:val="14"/>
                <w:szCs w:val="14"/>
                <w:color w:val="auto"/>
              </w:rPr>
              <w:t>convertible note issuance</w:t>
            </w: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right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53,552</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53,552</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53,552</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40" w:type="dxa"/>
            <w:vAlign w:val="bottom"/>
          </w:tcPr>
          <w:p>
            <w:pPr>
              <w:spacing w:after="0"/>
              <w:rPr>
                <w:sz w:val="20"/>
                <w:szCs w:val="20"/>
                <w:color w:val="auto"/>
              </w:rPr>
            </w:pPr>
            <w:r>
              <w:rPr>
                <w:rFonts w:ascii="Arial" w:cs="Arial" w:eastAsia="Arial" w:hAnsi="Arial"/>
                <w:sz w:val="14"/>
                <w:szCs w:val="14"/>
                <w:color w:val="auto"/>
              </w:rPr>
              <w:t>Purchase of convertible note hedge</w:t>
            </w: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(54,611)</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(54,611)</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4"/>
                <w:szCs w:val="14"/>
                <w:color w:val="auto"/>
              </w:rPr>
              <w:t>(54,611)</w:t>
            </w:r>
          </w:p>
        </w:tc>
        <w:tc>
          <w:tcPr>
            <w:tcW w:w="0" w:type="dxa"/>
            <w:vAlign w:val="bottom"/>
          </w:tcPr>
          <w:p>
            <w:pPr>
              <w:spacing w:after="0"/>
              <w:rPr>
                <w:sz w:val="1"/>
                <w:szCs w:val="1"/>
                <w:color w:val="auto"/>
              </w:rPr>
            </w:pPr>
          </w:p>
        </w:tc>
      </w:tr>
      <w:tr>
        <w:trPr>
          <w:trHeight w:val="175"/>
        </w:trPr>
        <w:tc>
          <w:tcPr>
            <w:tcW w:w="2440" w:type="dxa"/>
            <w:vAlign w:val="bottom"/>
            <w:shd w:val="clear" w:color="auto" w:fill="CFF0FC"/>
          </w:tcPr>
          <w:p>
            <w:pPr>
              <w:spacing w:after="0"/>
              <w:rPr>
                <w:sz w:val="20"/>
                <w:szCs w:val="20"/>
                <w:color w:val="auto"/>
              </w:rPr>
            </w:pPr>
            <w:r>
              <w:rPr>
                <w:rFonts w:ascii="Arial" w:cs="Arial" w:eastAsia="Arial" w:hAnsi="Arial"/>
                <w:sz w:val="14"/>
                <w:szCs w:val="14"/>
                <w:color w:val="auto"/>
              </w:rPr>
              <w:t>Sale of common stock warrants</w:t>
            </w: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right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13,808</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13,808</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13,808</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4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Stock-based compensation</w:t>
            </w: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right w:val="single" w:sz="8" w:color="auto"/>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FF0FC"/>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4,612</w:t>
            </w:r>
          </w:p>
        </w:tc>
        <w:tc>
          <w:tcPr>
            <w:tcW w:w="20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FF0FC"/>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4,612</w:t>
            </w:r>
          </w:p>
        </w:tc>
        <w:tc>
          <w:tcPr>
            <w:tcW w:w="14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4,612</w:t>
            </w:r>
          </w:p>
        </w:tc>
        <w:tc>
          <w:tcPr>
            <w:tcW w:w="6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44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Balance at September 30, 2020</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right w:val="single" w:sz="8" w:color="auto"/>
            </w:tcBorders>
            <w:shd w:val="clear" w:color="auto" w:fill="CFF0FC"/>
          </w:tcPr>
          <w:p>
            <w:pPr>
              <w:spacing w:after="0"/>
              <w:rPr>
                <w:sz w:val="14"/>
                <w:szCs w:val="14"/>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146,498</w:t>
            </w:r>
          </w:p>
        </w:tc>
        <w:tc>
          <w:tcPr>
            <w:tcW w:w="1100" w:type="dxa"/>
            <w:vAlign w:val="bottom"/>
            <w:gridSpan w:val="3"/>
            <w:shd w:val="clear" w:color="auto" w:fill="CFF0FC"/>
          </w:tcPr>
          <w:p>
            <w:pPr>
              <w:jc w:val="right"/>
              <w:ind w:right="160"/>
              <w:spacing w:after="0"/>
              <w:rPr>
                <w:sz w:val="20"/>
                <w:szCs w:val="20"/>
                <w:color w:val="auto"/>
              </w:rPr>
            </w:pPr>
            <w:r>
              <w:rPr>
                <w:rFonts w:ascii="Arial" w:cs="Arial" w:eastAsia="Arial" w:hAnsi="Arial"/>
                <w:sz w:val="14"/>
                <w:szCs w:val="14"/>
                <w:color w:val="auto"/>
              </w:rPr>
              <w:t>$ (934,240)</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9"/>
              </w:rPr>
              <w:t>2,675,383</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(142,095)</w:t>
            </w:r>
          </w:p>
        </w:tc>
        <w:tc>
          <w:tcPr>
            <w:tcW w:w="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(18,049)</w:t>
            </w: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1,727,497</w:t>
            </w:r>
          </w:p>
        </w:tc>
        <w:tc>
          <w:tcPr>
            <w:tcW w:w="140" w:type="dxa"/>
            <w:vAlign w:val="bottom"/>
            <w:shd w:val="clear" w:color="auto" w:fill="CFF0FC"/>
          </w:tcPr>
          <w:p>
            <w:pPr>
              <w:spacing w:after="0"/>
              <w:rPr>
                <w:sz w:val="14"/>
                <w:szCs w:val="14"/>
                <w:color w:val="auto"/>
              </w:rPr>
            </w:pPr>
          </w:p>
        </w:tc>
        <w:tc>
          <w:tcPr>
            <w:tcW w:w="220" w:type="dxa"/>
            <w:vAlign w:val="bottom"/>
            <w:gridSpan w:val="2"/>
            <w:shd w:val="clear" w:color="auto" w:fill="CFF0FC"/>
          </w:tcPr>
          <w:p>
            <w:pPr>
              <w:jc w:val="right"/>
              <w:ind w:right="6"/>
              <w:spacing w:after="0"/>
              <w:rPr>
                <w:sz w:val="20"/>
                <w:szCs w:val="20"/>
                <w:color w:val="auto"/>
              </w:rPr>
            </w:pPr>
            <w:r>
              <w:rPr>
                <w:rFonts w:ascii="Arial" w:cs="Arial" w:eastAsia="Arial" w:hAnsi="Arial"/>
                <w:sz w:val="14"/>
                <w:szCs w:val="14"/>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41,974</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1,769,471</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4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4"/>
                <w:szCs w:val="14"/>
                <w:b w:val="1"/>
                <w:bCs w:val="1"/>
                <w:color w:val="auto"/>
              </w:rPr>
              <w:t>Balance at June 30, 2019</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right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44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2,880,189</w:t>
            </w:r>
          </w:p>
        </w:tc>
        <w:tc>
          <w:tcPr>
            <w:tcW w:w="240" w:type="dxa"/>
            <w:vAlign w:val="bottom"/>
            <w:tcBorders>
              <w:right w:val="single" w:sz="8" w:color="auto"/>
            </w:tcBorders>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21,296</w:t>
            </w:r>
          </w:p>
        </w:tc>
        <w:tc>
          <w:tcPr>
            <w:tcW w:w="1100" w:type="dxa"/>
            <w:vAlign w:val="bottom"/>
            <w:gridSpan w:val="3"/>
          </w:tcPr>
          <w:p>
            <w:pPr>
              <w:jc w:val="right"/>
              <w:ind w:right="160"/>
              <w:spacing w:after="0"/>
              <w:rPr>
                <w:sz w:val="20"/>
                <w:szCs w:val="20"/>
                <w:color w:val="auto"/>
              </w:rPr>
            </w:pPr>
            <w:r>
              <w:rPr>
                <w:rFonts w:ascii="Arial" w:cs="Arial" w:eastAsia="Arial" w:hAnsi="Arial"/>
                <w:sz w:val="14"/>
                <w:szCs w:val="14"/>
                <w:color w:val="auto"/>
              </w:rPr>
              <w:t>$ (957,844)</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(424,886)</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(18,144)</w:t>
            </w:r>
          </w:p>
        </w:tc>
        <w:tc>
          <w:tcPr>
            <w:tcW w:w="1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(1,379,578)</w:t>
            </w:r>
          </w:p>
        </w:tc>
        <w:tc>
          <w:tcPr>
            <w:tcW w:w="220" w:type="dxa"/>
            <w:vAlign w:val="bottom"/>
            <w:gridSpan w:val="2"/>
          </w:tcPr>
          <w:p>
            <w:pPr>
              <w:jc w:val="right"/>
              <w:ind w:right="6"/>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37,352</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20"/>
              <w:spacing w:after="0"/>
              <w:rPr>
                <w:sz w:val="20"/>
                <w:szCs w:val="20"/>
                <w:color w:val="auto"/>
              </w:rPr>
            </w:pPr>
            <w:r>
              <w:rPr>
                <w:rFonts w:ascii="Arial" w:cs="Arial" w:eastAsia="Arial" w:hAnsi="Arial"/>
                <w:sz w:val="14"/>
                <w:szCs w:val="14"/>
                <w:color w:val="auto"/>
              </w:rPr>
              <w:t>(1,342,226)</w:t>
            </w:r>
          </w:p>
        </w:tc>
        <w:tc>
          <w:tcPr>
            <w:tcW w:w="0" w:type="dxa"/>
            <w:vAlign w:val="bottom"/>
          </w:tcPr>
          <w:p>
            <w:pPr>
              <w:spacing w:after="0"/>
              <w:rPr>
                <w:sz w:val="1"/>
                <w:szCs w:val="1"/>
                <w:color w:val="auto"/>
              </w:rPr>
            </w:pPr>
          </w:p>
        </w:tc>
      </w:tr>
      <w:tr>
        <w:trPr>
          <w:trHeight w:val="203"/>
        </w:trPr>
        <w:tc>
          <w:tcPr>
            <w:tcW w:w="24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Comprehensive income</w:t>
            </w:r>
          </w:p>
        </w:tc>
        <w:tc>
          <w:tcPr>
            <w:tcW w:w="100" w:type="dxa"/>
            <w:vAlign w:val="bottom"/>
            <w:tcBorders>
              <w:top w:val="single" w:sz="8" w:color="auto"/>
              <w:bottom w:val="single" w:sz="8" w:color="CFF0FC"/>
            </w:tcBorders>
            <w:shd w:val="clear" w:color="auto" w:fill="CFF0FC"/>
          </w:tcPr>
          <w:p>
            <w:pPr>
              <w:spacing w:after="0"/>
              <w:rPr>
                <w:sz w:val="17"/>
                <w:szCs w:val="17"/>
                <w:color w:val="auto"/>
              </w:rPr>
            </w:pPr>
          </w:p>
        </w:tc>
        <w:tc>
          <w:tcPr>
            <w:tcW w:w="660" w:type="dxa"/>
            <w:vAlign w:val="bottom"/>
            <w:tcBorders>
              <w:top w:val="single" w:sz="8" w:color="auto"/>
              <w:bottom w:val="single" w:sz="8" w:color="CFF0FC"/>
            </w:tcBorders>
            <w:shd w:val="clear" w:color="auto" w:fill="CFF0FC"/>
          </w:tcPr>
          <w:p>
            <w:pPr>
              <w:spacing w:after="0"/>
              <w:rPr>
                <w:sz w:val="17"/>
                <w:szCs w:val="17"/>
                <w:color w:val="auto"/>
              </w:rPr>
            </w:pPr>
          </w:p>
        </w:tc>
        <w:tc>
          <w:tcPr>
            <w:tcW w:w="240" w:type="dxa"/>
            <w:vAlign w:val="bottom"/>
            <w:tcBorders>
              <w:top w:val="single" w:sz="8" w:color="CFF0FC"/>
              <w:bottom w:val="single" w:sz="8" w:color="CFF0FC"/>
              <w:right w:val="single" w:sz="8" w:color="auto"/>
            </w:tcBorders>
            <w:shd w:val="clear" w:color="auto" w:fill="CFF0FC"/>
          </w:tcPr>
          <w:p>
            <w:pPr>
              <w:spacing w:after="0"/>
              <w:rPr>
                <w:sz w:val="17"/>
                <w:szCs w:val="17"/>
                <w:color w:val="auto"/>
              </w:rPr>
            </w:pP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80" w:type="dxa"/>
            <w:vAlign w:val="bottom"/>
            <w:tcBorders>
              <w:top w:val="single" w:sz="8" w:color="auto"/>
              <w:bottom w:val="single" w:sz="8" w:color="CFF0FC"/>
            </w:tcBorders>
            <w:shd w:val="clear" w:color="auto" w:fill="CFF0FC"/>
          </w:tcPr>
          <w:p>
            <w:pPr>
              <w:spacing w:after="0"/>
              <w:rPr>
                <w:sz w:val="17"/>
                <w:szCs w:val="17"/>
                <w:color w:val="auto"/>
              </w:rPr>
            </w:pPr>
          </w:p>
        </w:tc>
        <w:tc>
          <w:tcPr>
            <w:tcW w:w="560" w:type="dxa"/>
            <w:vAlign w:val="bottom"/>
            <w:tcBorders>
              <w:top w:val="single" w:sz="8" w:color="auto"/>
              <w:bottom w:val="single" w:sz="8" w:color="CFF0FC"/>
            </w:tcBorders>
            <w:shd w:val="clear" w:color="auto" w:fill="CFF0FC"/>
          </w:tcPr>
          <w:p>
            <w:pPr>
              <w:spacing w:after="0"/>
              <w:rPr>
                <w:sz w:val="17"/>
                <w:szCs w:val="17"/>
                <w:color w:val="auto"/>
              </w:rPr>
            </w:pPr>
          </w:p>
        </w:tc>
        <w:tc>
          <w:tcPr>
            <w:tcW w:w="180" w:type="dxa"/>
            <w:vAlign w:val="bottom"/>
            <w:tcBorders>
              <w:top w:val="single" w:sz="8" w:color="CFF0FC"/>
              <w:bottom w:val="single" w:sz="8" w:color="CFF0FC"/>
            </w:tcBorders>
            <w:shd w:val="clear" w:color="auto" w:fill="CFF0FC"/>
          </w:tcPr>
          <w:p>
            <w:pPr>
              <w:spacing w:after="0"/>
              <w:rPr>
                <w:sz w:val="17"/>
                <w:szCs w:val="17"/>
                <w:color w:val="auto"/>
              </w:rPr>
            </w:pPr>
          </w:p>
        </w:tc>
        <w:tc>
          <w:tcPr>
            <w:tcW w:w="720" w:type="dxa"/>
            <w:vAlign w:val="bottom"/>
            <w:tcBorders>
              <w:top w:val="single" w:sz="8" w:color="auto"/>
              <w:bottom w:val="single" w:sz="8" w:color="CFF0FC"/>
            </w:tcBorders>
            <w:shd w:val="clear" w:color="auto" w:fill="CFF0FC"/>
          </w:tcPr>
          <w:p>
            <w:pPr>
              <w:spacing w:after="0"/>
              <w:rPr>
                <w:sz w:val="17"/>
                <w:szCs w:val="17"/>
                <w:color w:val="auto"/>
              </w:rPr>
            </w:pPr>
          </w:p>
        </w:tc>
        <w:tc>
          <w:tcPr>
            <w:tcW w:w="20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CFF0FC"/>
            </w:tcBorders>
            <w:shd w:val="clear" w:color="auto" w:fill="CFF0FC"/>
          </w:tcPr>
          <w:p>
            <w:pPr>
              <w:spacing w:after="0"/>
              <w:rPr>
                <w:sz w:val="17"/>
                <w:szCs w:val="17"/>
                <w:color w:val="auto"/>
              </w:rPr>
            </w:pPr>
          </w:p>
        </w:tc>
        <w:tc>
          <w:tcPr>
            <w:tcW w:w="660" w:type="dxa"/>
            <w:vAlign w:val="bottom"/>
            <w:tcBorders>
              <w:top w:val="single" w:sz="8" w:color="auto"/>
              <w:bottom w:val="single" w:sz="8" w:color="CFF0FC"/>
            </w:tcBorders>
            <w:shd w:val="clear" w:color="auto" w:fill="CFF0FC"/>
          </w:tcPr>
          <w:p>
            <w:pPr>
              <w:spacing w:after="0"/>
              <w:rPr>
                <w:sz w:val="17"/>
                <w:szCs w:val="17"/>
                <w:color w:val="auto"/>
              </w:rPr>
            </w:pPr>
          </w:p>
        </w:tc>
        <w:tc>
          <w:tcPr>
            <w:tcW w:w="20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CFF0FC"/>
            </w:tcBorders>
            <w:shd w:val="clear" w:color="auto" w:fill="CFF0FC"/>
          </w:tcPr>
          <w:p>
            <w:pPr>
              <w:spacing w:after="0"/>
              <w:rPr>
                <w:sz w:val="17"/>
                <w:szCs w:val="17"/>
                <w:color w:val="auto"/>
              </w:rPr>
            </w:pPr>
          </w:p>
        </w:tc>
        <w:tc>
          <w:tcPr>
            <w:tcW w:w="620" w:type="dxa"/>
            <w:vAlign w:val="bottom"/>
            <w:tcBorders>
              <w:top w:val="single" w:sz="8" w:color="auto"/>
              <w:bottom w:val="single" w:sz="8" w:color="CFF0FC"/>
            </w:tcBorders>
            <w:shd w:val="clear" w:color="auto" w:fill="CFF0FC"/>
          </w:tcPr>
          <w:p>
            <w:pPr>
              <w:spacing w:after="0"/>
              <w:rPr>
                <w:sz w:val="17"/>
                <w:szCs w:val="17"/>
                <w:color w:val="auto"/>
              </w:rPr>
            </w:pPr>
          </w:p>
        </w:tc>
        <w:tc>
          <w:tcPr>
            <w:tcW w:w="200" w:type="dxa"/>
            <w:vAlign w:val="bottom"/>
            <w:tcBorders>
              <w:top w:val="single" w:sz="8" w:color="CFF0FC"/>
              <w:bottom w:val="single" w:sz="8" w:color="CFF0FC"/>
            </w:tcBorders>
            <w:shd w:val="clear" w:color="auto" w:fill="CFF0FC"/>
          </w:tcPr>
          <w:p>
            <w:pPr>
              <w:spacing w:after="0"/>
              <w:rPr>
                <w:sz w:val="17"/>
                <w:szCs w:val="17"/>
                <w:color w:val="auto"/>
              </w:rPr>
            </w:pPr>
          </w:p>
        </w:tc>
        <w:tc>
          <w:tcPr>
            <w:tcW w:w="80" w:type="dxa"/>
            <w:vAlign w:val="bottom"/>
            <w:tcBorders>
              <w:top w:val="single" w:sz="8" w:color="auto"/>
              <w:bottom w:val="single" w:sz="8" w:color="CFF0FC"/>
            </w:tcBorders>
            <w:shd w:val="clear" w:color="auto" w:fill="CFF0FC"/>
          </w:tcPr>
          <w:p>
            <w:pPr>
              <w:spacing w:after="0"/>
              <w:rPr>
                <w:sz w:val="17"/>
                <w:szCs w:val="17"/>
                <w:color w:val="auto"/>
              </w:rPr>
            </w:pPr>
          </w:p>
        </w:tc>
        <w:tc>
          <w:tcPr>
            <w:tcW w:w="800" w:type="dxa"/>
            <w:vAlign w:val="bottom"/>
            <w:tcBorders>
              <w:top w:val="single" w:sz="8" w:color="auto"/>
              <w:bottom w:val="single" w:sz="8" w:color="CFF0FC"/>
            </w:tcBorders>
            <w:shd w:val="clear" w:color="auto" w:fill="CFF0FC"/>
          </w:tcPr>
          <w:p>
            <w:pPr>
              <w:spacing w:after="0"/>
              <w:rPr>
                <w:sz w:val="17"/>
                <w:szCs w:val="17"/>
                <w:color w:val="auto"/>
              </w:rPr>
            </w:pPr>
          </w:p>
        </w:tc>
        <w:tc>
          <w:tcPr>
            <w:tcW w:w="140" w:type="dxa"/>
            <w:vAlign w:val="bottom"/>
            <w:tcBorders>
              <w:top w:val="single" w:sz="8" w:color="CFF0FC"/>
              <w:bottom w:val="single" w:sz="8" w:color="CFF0FC"/>
            </w:tcBorders>
            <w:shd w:val="clear" w:color="auto" w:fill="CFF0FC"/>
          </w:tcPr>
          <w:p>
            <w:pPr>
              <w:spacing w:after="0"/>
              <w:rPr>
                <w:sz w:val="17"/>
                <w:szCs w:val="17"/>
                <w:color w:val="auto"/>
              </w:rPr>
            </w:pP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CFF0FC"/>
            </w:tcBorders>
            <w:shd w:val="clear" w:color="auto" w:fill="CFF0FC"/>
          </w:tcPr>
          <w:p>
            <w:pPr>
              <w:spacing w:after="0"/>
              <w:rPr>
                <w:sz w:val="17"/>
                <w:szCs w:val="17"/>
                <w:color w:val="auto"/>
              </w:rPr>
            </w:pPr>
          </w:p>
        </w:tc>
        <w:tc>
          <w:tcPr>
            <w:tcW w:w="700" w:type="dxa"/>
            <w:vAlign w:val="bottom"/>
            <w:tcBorders>
              <w:top w:val="single" w:sz="8" w:color="auto"/>
              <w:bottom w:val="single" w:sz="8" w:color="CFF0FC"/>
            </w:tcBorders>
            <w:shd w:val="clear" w:color="auto" w:fill="CFF0FC"/>
          </w:tcPr>
          <w:p>
            <w:pPr>
              <w:spacing w:after="0"/>
              <w:rPr>
                <w:sz w:val="17"/>
                <w:szCs w:val="17"/>
                <w:color w:val="auto"/>
              </w:rPr>
            </w:pPr>
          </w:p>
        </w:tc>
        <w:tc>
          <w:tcPr>
            <w:tcW w:w="140" w:type="dxa"/>
            <w:vAlign w:val="bottom"/>
            <w:tcBorders>
              <w:top w:val="single" w:sz="8" w:color="CFF0FC"/>
              <w:bottom w:val="single" w:sz="8" w:color="CFF0FC"/>
            </w:tcBorders>
            <w:shd w:val="clear" w:color="auto" w:fill="CFF0FC"/>
          </w:tcPr>
          <w:p>
            <w:pPr>
              <w:spacing w:after="0"/>
              <w:rPr>
                <w:sz w:val="17"/>
                <w:szCs w:val="17"/>
                <w:color w:val="auto"/>
              </w:rPr>
            </w:pP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CFF0FC"/>
            </w:tcBorders>
            <w:shd w:val="clear" w:color="auto" w:fill="CFF0FC"/>
          </w:tcPr>
          <w:p>
            <w:pPr>
              <w:spacing w:after="0"/>
              <w:rPr>
                <w:sz w:val="17"/>
                <w:szCs w:val="17"/>
                <w:color w:val="auto"/>
              </w:rPr>
            </w:pPr>
          </w:p>
        </w:tc>
        <w:tc>
          <w:tcPr>
            <w:tcW w:w="720" w:type="dxa"/>
            <w:vAlign w:val="bottom"/>
            <w:tcBorders>
              <w:top w:val="single" w:sz="8" w:color="auto"/>
              <w:bottom w:val="single" w:sz="8" w:color="CFF0FC"/>
            </w:tcBorders>
            <w:shd w:val="clear" w:color="auto" w:fill="CFF0FC"/>
          </w:tcPr>
          <w:p>
            <w:pPr>
              <w:spacing w:after="0"/>
              <w:rPr>
                <w:sz w:val="17"/>
                <w:szCs w:val="17"/>
                <w:color w:val="auto"/>
              </w:rPr>
            </w:pPr>
          </w:p>
        </w:tc>
        <w:tc>
          <w:tcPr>
            <w:tcW w:w="22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CFF0FC"/>
            </w:tcBorders>
            <w:shd w:val="clear" w:color="auto" w:fill="CFF0FC"/>
          </w:tcPr>
          <w:p>
            <w:pPr>
              <w:spacing w:after="0"/>
              <w:rPr>
                <w:sz w:val="17"/>
                <w:szCs w:val="17"/>
                <w:color w:val="auto"/>
              </w:rPr>
            </w:pPr>
          </w:p>
        </w:tc>
        <w:tc>
          <w:tcPr>
            <w:tcW w:w="720" w:type="dxa"/>
            <w:vAlign w:val="bottom"/>
            <w:tcBorders>
              <w:top w:val="single" w:sz="8" w:color="auto"/>
              <w:bottom w:val="single" w:sz="8" w:color="CFF0FC"/>
            </w:tcBorders>
            <w:shd w:val="clear" w:color="auto" w:fill="CFF0FC"/>
          </w:tcPr>
          <w:p>
            <w:pPr>
              <w:spacing w:after="0"/>
              <w:rPr>
                <w:sz w:val="17"/>
                <w:szCs w:val="17"/>
                <w:color w:val="auto"/>
              </w:rPr>
            </w:pPr>
          </w:p>
        </w:tc>
        <w:tc>
          <w:tcPr>
            <w:tcW w:w="6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440" w:type="dxa"/>
            <w:vAlign w:val="bottom"/>
          </w:tcPr>
          <w:p>
            <w:pPr>
              <w:ind w:left="260"/>
              <w:spacing w:after="0"/>
              <w:rPr>
                <w:sz w:val="20"/>
                <w:szCs w:val="20"/>
                <w:color w:val="auto"/>
              </w:rPr>
            </w:pPr>
            <w:r>
              <w:rPr>
                <w:rFonts w:ascii="Arial" w:cs="Arial" w:eastAsia="Arial" w:hAnsi="Arial"/>
                <w:sz w:val="14"/>
                <w:szCs w:val="14"/>
                <w:color w:val="auto"/>
              </w:rPr>
              <w:t>Net income</w:t>
            </w:r>
          </w:p>
        </w:tc>
        <w:tc>
          <w:tcPr>
            <w:tcW w:w="100" w:type="dxa"/>
            <w:vAlign w:val="bottom"/>
          </w:tcPr>
          <w:p>
            <w:pPr>
              <w:spacing w:after="0"/>
              <w:rPr>
                <w:sz w:val="16"/>
                <w:szCs w:val="16"/>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56,812</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56,812</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4,481</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61,293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2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240" w:type="dxa"/>
            <w:vAlign w:val="bottom"/>
            <w:tcBorders>
              <w:right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2"/>
        </w:trPr>
        <w:tc>
          <w:tcPr>
            <w:tcW w:w="24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Foreign currency translation</w:t>
            </w: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40" w:type="dxa"/>
            <w:vAlign w:val="bottom"/>
            <w:tcBorders>
              <w:right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4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gain, net</w:t>
            </w: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right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171</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171</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171</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440" w:type="dxa"/>
            <w:vAlign w:val="bottom"/>
          </w:tcPr>
          <w:p>
            <w:pPr>
              <w:ind w:left="260"/>
              <w:spacing w:after="0"/>
              <w:rPr>
                <w:sz w:val="20"/>
                <w:szCs w:val="20"/>
                <w:color w:val="auto"/>
              </w:rPr>
            </w:pPr>
            <w:r>
              <w:rPr>
                <w:rFonts w:ascii="Arial" w:cs="Arial" w:eastAsia="Arial" w:hAnsi="Arial"/>
                <w:sz w:val="14"/>
                <w:szCs w:val="14"/>
                <w:color w:val="auto"/>
              </w:rPr>
              <w:t>Pension adjustments, net</w:t>
            </w: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75"/>
        </w:trPr>
        <w:tc>
          <w:tcPr>
            <w:tcW w:w="2440" w:type="dxa"/>
            <w:vAlign w:val="bottom"/>
            <w:shd w:val="clear" w:color="auto" w:fill="CFF0FC"/>
          </w:tcPr>
          <w:p>
            <w:pPr>
              <w:spacing w:after="0"/>
              <w:rPr>
                <w:sz w:val="20"/>
                <w:szCs w:val="20"/>
                <w:color w:val="auto"/>
              </w:rPr>
            </w:pPr>
            <w:r>
              <w:rPr>
                <w:rFonts w:ascii="Arial" w:cs="Arial" w:eastAsia="Arial" w:hAnsi="Arial"/>
                <w:sz w:val="14"/>
                <w:szCs w:val="14"/>
                <w:color w:val="auto"/>
              </w:rPr>
              <w:t>Contributions</w:t>
            </w: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right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852</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852</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440" w:type="dxa"/>
            <w:vAlign w:val="bottom"/>
          </w:tcPr>
          <w:p>
            <w:pPr>
              <w:spacing w:after="0"/>
              <w:rPr>
                <w:sz w:val="20"/>
                <w:szCs w:val="20"/>
                <w:color w:val="auto"/>
              </w:rPr>
            </w:pPr>
            <w:r>
              <w:rPr>
                <w:rFonts w:ascii="Arial" w:cs="Arial" w:eastAsia="Arial" w:hAnsi="Arial"/>
                <w:sz w:val="14"/>
                <w:szCs w:val="14"/>
                <w:color w:val="auto"/>
              </w:rPr>
              <w:t>Distributions</w:t>
            </w: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(14,591)</w:t>
            </w:r>
          </w:p>
        </w:tc>
        <w:tc>
          <w:tcPr>
            <w:tcW w:w="100" w:type="dxa"/>
            <w:vAlign w:val="bottom"/>
          </w:tcPr>
          <w:p>
            <w:pPr>
              <w:spacing w:after="0"/>
              <w:rPr>
                <w:sz w:val="15"/>
                <w:szCs w:val="15"/>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4"/>
                <w:szCs w:val="14"/>
                <w:color w:val="auto"/>
              </w:rPr>
              <w:t>(14,591)</w:t>
            </w:r>
          </w:p>
        </w:tc>
        <w:tc>
          <w:tcPr>
            <w:tcW w:w="0" w:type="dxa"/>
            <w:vAlign w:val="bottom"/>
          </w:tcPr>
          <w:p>
            <w:pPr>
              <w:spacing w:after="0"/>
              <w:rPr>
                <w:sz w:val="1"/>
                <w:szCs w:val="1"/>
                <w:color w:val="auto"/>
              </w:rPr>
            </w:pPr>
          </w:p>
        </w:tc>
      </w:tr>
      <w:tr>
        <w:trPr>
          <w:trHeight w:val="175"/>
        </w:trPr>
        <w:tc>
          <w:tcPr>
            <w:tcW w:w="24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Stock-based compensation</w:t>
            </w: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right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9,224</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9,224</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9,224</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440" w:type="dxa"/>
            <w:vAlign w:val="bottom"/>
          </w:tcPr>
          <w:p>
            <w:pPr>
              <w:ind w:left="260"/>
              <w:spacing w:after="0"/>
              <w:rPr>
                <w:sz w:val="20"/>
                <w:szCs w:val="20"/>
                <w:color w:val="auto"/>
              </w:rPr>
            </w:pPr>
            <w:r>
              <w:rPr>
                <w:rFonts w:ascii="Arial" w:cs="Arial" w:eastAsia="Arial" w:hAnsi="Arial"/>
                <w:sz w:val="14"/>
                <w:szCs w:val="14"/>
                <w:color w:val="auto"/>
              </w:rPr>
              <w:t>IPO proceeds, net</w:t>
            </w:r>
          </w:p>
        </w:tc>
        <w:tc>
          <w:tcPr>
            <w:tcW w:w="100" w:type="dxa"/>
            <w:vAlign w:val="bottom"/>
          </w:tcPr>
          <w:p>
            <w:pPr>
              <w:spacing w:after="0"/>
              <w:rPr>
                <w:sz w:val="16"/>
                <w:szCs w:val="16"/>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(452)</w:t>
            </w:r>
          </w:p>
        </w:tc>
        <w:tc>
          <w:tcPr>
            <w:tcW w:w="100" w:type="dxa"/>
            <w:vAlign w:val="bottom"/>
          </w:tcPr>
          <w:p>
            <w:pPr>
              <w:spacing w:after="0"/>
              <w:rPr>
                <w:sz w:val="16"/>
                <w:szCs w:val="16"/>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(452)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(452)</w:t>
            </w:r>
          </w:p>
        </w:tc>
        <w:tc>
          <w:tcPr>
            <w:tcW w:w="0" w:type="dxa"/>
            <w:vAlign w:val="bottom"/>
          </w:tcPr>
          <w:p>
            <w:pPr>
              <w:spacing w:after="0"/>
              <w:rPr>
                <w:sz w:val="1"/>
                <w:szCs w:val="1"/>
                <w:color w:val="auto"/>
              </w:rPr>
            </w:pPr>
          </w:p>
        </w:tc>
      </w:tr>
      <w:tr>
        <w:trPr>
          <w:trHeight w:val="35"/>
        </w:trPr>
        <w:tc>
          <w:tcPr>
            <w:tcW w:w="2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240" w:type="dxa"/>
            <w:vAlign w:val="bottom"/>
            <w:tcBorders>
              <w:right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2"/>
        </w:trPr>
        <w:tc>
          <w:tcPr>
            <w:tcW w:w="24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ESOP shares at redemption</w:t>
            </w: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40" w:type="dxa"/>
            <w:vAlign w:val="bottom"/>
            <w:tcBorders>
              <w:right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4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value</w:t>
            </w:r>
          </w:p>
        </w:tc>
        <w:tc>
          <w:tcPr>
            <w:tcW w:w="100" w:type="dxa"/>
            <w:vAlign w:val="bottom"/>
            <w:shd w:val="clear" w:color="auto" w:fill="CFF0FC"/>
          </w:tcPr>
          <w:p>
            <w:pPr>
              <w:spacing w:after="0"/>
              <w:rPr>
                <w:sz w:val="15"/>
                <w:szCs w:val="15"/>
                <w:color w:val="auto"/>
              </w:rPr>
            </w:pPr>
          </w:p>
        </w:tc>
        <w:tc>
          <w:tcPr>
            <w:tcW w:w="900" w:type="dxa"/>
            <w:vAlign w:val="bottom"/>
            <w:tcBorders>
              <w:right w:val="single" w:sz="8" w:color="auto"/>
            </w:tcBorders>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(303,178)</w:t>
            </w: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303,178</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303,178</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303,178</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440" w:type="dxa"/>
            <w:vAlign w:val="bottom"/>
            <w:vMerge w:val="restart"/>
          </w:tcPr>
          <w:p>
            <w:pPr>
              <w:spacing w:after="0"/>
              <w:rPr>
                <w:sz w:val="20"/>
                <w:szCs w:val="20"/>
                <w:color w:val="auto"/>
              </w:rPr>
            </w:pPr>
            <w:r>
              <w:rPr>
                <w:rFonts w:ascii="Arial" w:cs="Arial" w:eastAsia="Arial" w:hAnsi="Arial"/>
                <w:sz w:val="14"/>
                <w:szCs w:val="14"/>
                <w:b w:val="1"/>
                <w:bCs w:val="1"/>
                <w:color w:val="auto"/>
              </w:rPr>
              <w:t>Balance at September 30, 2019</w:t>
            </w: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44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2,577,011</w:t>
            </w:r>
          </w:p>
        </w:tc>
        <w:tc>
          <w:tcPr>
            <w:tcW w:w="240" w:type="dxa"/>
            <w:vAlign w:val="bottom"/>
            <w:tcBorders>
              <w:right w:val="single" w:sz="8" w:color="auto"/>
            </w:tcBorders>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21,296</w:t>
            </w:r>
          </w:p>
        </w:tc>
        <w:tc>
          <w:tcPr>
            <w:tcW w:w="1100" w:type="dxa"/>
            <w:vAlign w:val="bottom"/>
            <w:gridSpan w:val="3"/>
          </w:tcPr>
          <w:p>
            <w:pPr>
              <w:jc w:val="right"/>
              <w:ind w:right="160"/>
              <w:spacing w:after="0"/>
              <w:rPr>
                <w:sz w:val="20"/>
                <w:szCs w:val="20"/>
                <w:color w:val="auto"/>
              </w:rPr>
            </w:pPr>
            <w:r>
              <w:rPr>
                <w:rFonts w:ascii="Arial" w:cs="Arial" w:eastAsia="Arial" w:hAnsi="Arial"/>
                <w:sz w:val="14"/>
                <w:szCs w:val="14"/>
                <w:color w:val="auto"/>
              </w:rPr>
              <w:t>$ (957,844)</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8,772</w:t>
            </w:r>
          </w:p>
        </w:tc>
        <w:tc>
          <w:tcPr>
            <w:tcW w:w="2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(64,896)</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(17,982)</w:t>
            </w:r>
          </w:p>
        </w:tc>
        <w:tc>
          <w:tcPr>
            <w:tcW w:w="1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(1,010,654)</w:t>
            </w:r>
          </w:p>
        </w:tc>
        <w:tc>
          <w:tcPr>
            <w:tcW w:w="220" w:type="dxa"/>
            <w:vAlign w:val="bottom"/>
            <w:gridSpan w:val="2"/>
          </w:tcPr>
          <w:p>
            <w:pPr>
              <w:jc w:val="right"/>
              <w:ind w:right="6"/>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28,094</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20"/>
              <w:spacing w:after="0"/>
              <w:rPr>
                <w:sz w:val="20"/>
                <w:szCs w:val="20"/>
                <w:color w:val="auto"/>
              </w:rPr>
            </w:pPr>
            <w:r>
              <w:rPr>
                <w:rFonts w:ascii="Arial" w:cs="Arial" w:eastAsia="Arial" w:hAnsi="Arial"/>
                <w:sz w:val="14"/>
                <w:szCs w:val="14"/>
                <w:color w:val="auto"/>
              </w:rPr>
              <w:t>(982,560)</w:t>
            </w: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 w:name="page8"/>
    <w:bookmarkEnd w:id="7"/>
    <w:p>
      <w:pPr>
        <w:ind w:left="3640"/>
        <w:spacing w:after="0"/>
        <w:rPr>
          <w:sz w:val="20"/>
          <w:szCs w:val="20"/>
          <w:color w:val="auto"/>
        </w:rPr>
      </w:pPr>
      <w:r>
        <w:rPr>
          <w:rFonts w:ascii="Times New Roman" w:cs="Times New Roman" w:eastAsia="Times New Roman" w:hAnsi="Times New Roman"/>
          <w:sz w:val="18"/>
          <w:szCs w:val="18"/>
          <w:b w:val="1"/>
          <w:bCs w:val="1"/>
          <w:color w:val="auto"/>
        </w:rPr>
        <w:t>PARSONS CORPORATION AND SUBSIDIARIES</w:t>
      </w:r>
    </w:p>
    <w:p>
      <w:pPr>
        <w:spacing w:after="0" w:line="31"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 (Deficit)</w:t>
      </w:r>
    </w:p>
    <w:p>
      <w:pPr>
        <w:spacing w:after="0" w:line="9"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 2020 and September 30, 2019</w:t>
      </w:r>
    </w:p>
    <w:p>
      <w:pPr>
        <w:spacing w:after="0" w:line="4" w:lineRule="exact"/>
        <w:rPr>
          <w:sz w:val="20"/>
          <w:szCs w:val="20"/>
          <w:color w:val="auto"/>
        </w:rPr>
      </w:pPr>
    </w:p>
    <w:p>
      <w:pPr>
        <w:ind w:left="5040"/>
        <w:spacing w:after="0"/>
        <w:rPr>
          <w:sz w:val="20"/>
          <w:szCs w:val="20"/>
          <w:color w:val="auto"/>
        </w:rPr>
      </w:pPr>
      <w:r>
        <w:rPr>
          <w:rFonts w:ascii="Arial" w:cs="Arial" w:eastAsia="Arial" w:hAnsi="Arial"/>
          <w:sz w:val="18"/>
          <w:szCs w:val="18"/>
          <w:i w:val="1"/>
          <w:iCs w:val="1"/>
          <w:color w:val="auto"/>
        </w:rPr>
        <w:t>(In thousands)</w:t>
      </w:r>
    </w:p>
    <w:p>
      <w:pPr>
        <w:jc w:val="center"/>
        <w:spacing w:after="0"/>
        <w:rPr>
          <w:sz w:val="20"/>
          <w:szCs w:val="20"/>
          <w:color w:val="auto"/>
        </w:rPr>
      </w:pPr>
      <w:r>
        <w:rPr>
          <w:rFonts w:ascii="Arial" w:cs="Arial" w:eastAsia="Arial" w:hAnsi="Arial"/>
          <w:sz w:val="18"/>
          <w:szCs w:val="18"/>
          <w:color w:val="auto"/>
        </w:rPr>
        <w:t>(Unaudited)</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2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8"/>
              </w:rPr>
              <w:t>Retained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98"/>
              </w:rPr>
              <w:t>Accumulated</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Borders>
              <w:right w:val="single" w:sz="8" w:color="auto"/>
            </w:tcBorders>
            <w:gridSpan w:val="3"/>
          </w:tcPr>
          <w:p>
            <w:pPr>
              <w:jc w:val="center"/>
              <w:ind w:right="260"/>
              <w:spacing w:after="0"/>
              <w:rPr>
                <w:sz w:val="20"/>
                <w:szCs w:val="20"/>
                <w:color w:val="auto"/>
              </w:rPr>
            </w:pPr>
            <w:r>
              <w:rPr>
                <w:rFonts w:ascii="Arial" w:cs="Arial" w:eastAsia="Arial" w:hAnsi="Arial"/>
                <w:sz w:val="11"/>
                <w:szCs w:val="11"/>
                <w:b w:val="1"/>
                <w:bCs w:val="1"/>
                <w:color w:val="auto"/>
                <w:w w:val="95"/>
              </w:rPr>
              <w:t>Redeemable</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1"/>
                <w:szCs w:val="11"/>
                <w:b w:val="1"/>
                <w:bCs w:val="1"/>
                <w:color w:val="auto"/>
                <w:w w:val="96"/>
              </w:rPr>
              <w:t>Additional</w:t>
            </w:r>
          </w:p>
        </w:tc>
        <w:tc>
          <w:tcPr>
            <w:tcW w:w="100" w:type="dxa"/>
            <w:vAlign w:val="bottom"/>
          </w:tcPr>
          <w:p>
            <w:pPr>
              <w:spacing w:after="0"/>
              <w:rPr>
                <w:sz w:val="13"/>
                <w:szCs w:val="13"/>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7"/>
              </w:rPr>
              <w:t>Earnings</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95"/>
              </w:rPr>
              <w:t>Other</w:t>
            </w:r>
          </w:p>
        </w:tc>
        <w:tc>
          <w:tcPr>
            <w:tcW w:w="100" w:type="dxa"/>
            <w:vAlign w:val="bottom"/>
          </w:tcPr>
          <w:p>
            <w:pPr>
              <w:spacing w:after="0"/>
              <w:rPr>
                <w:sz w:val="13"/>
                <w:szCs w:val="13"/>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91"/>
              </w:rPr>
              <w:t>Total</w:t>
            </w: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Borders>
              <w:right w:val="single" w:sz="8" w:color="auto"/>
            </w:tcBorders>
            <w:gridSpan w:val="2"/>
          </w:tcPr>
          <w:p>
            <w:pPr>
              <w:jc w:val="center"/>
              <w:ind w:right="340"/>
              <w:spacing w:after="0"/>
              <w:rPr>
                <w:sz w:val="20"/>
                <w:szCs w:val="20"/>
                <w:color w:val="auto"/>
              </w:rPr>
            </w:pPr>
            <w:r>
              <w:rPr>
                <w:rFonts w:ascii="Arial" w:cs="Arial" w:eastAsia="Arial" w:hAnsi="Arial"/>
                <w:sz w:val="11"/>
                <w:szCs w:val="11"/>
                <w:b w:val="1"/>
                <w:bCs w:val="1"/>
                <w:color w:val="auto"/>
                <w:w w:val="96"/>
              </w:rPr>
              <w:t>Common</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spacing w:after="0"/>
              <w:rPr>
                <w:sz w:val="20"/>
                <w:szCs w:val="20"/>
                <w:color w:val="auto"/>
              </w:rPr>
            </w:pPr>
            <w:r>
              <w:rPr>
                <w:rFonts w:ascii="Arial" w:cs="Arial" w:eastAsia="Arial" w:hAnsi="Arial"/>
                <w:sz w:val="11"/>
                <w:szCs w:val="11"/>
                <w:b w:val="1"/>
                <w:bCs w:val="1"/>
                <w:color w:val="auto"/>
              </w:rPr>
              <w:t>Common</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b w:val="1"/>
                <w:bCs w:val="1"/>
                <w:color w:val="auto"/>
              </w:rPr>
              <w:t>Treasury</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1"/>
                <w:szCs w:val="11"/>
                <w:b w:val="1"/>
                <w:bCs w:val="1"/>
                <w:color w:val="auto"/>
              </w:rPr>
              <w:t>Paid-in</w:t>
            </w:r>
          </w:p>
        </w:tc>
        <w:tc>
          <w:tcPr>
            <w:tcW w:w="840" w:type="dxa"/>
            <w:vAlign w:val="bottom"/>
            <w:gridSpan w:val="3"/>
          </w:tcPr>
          <w:p>
            <w:pPr>
              <w:spacing w:after="0"/>
              <w:rPr>
                <w:sz w:val="20"/>
                <w:szCs w:val="20"/>
                <w:color w:val="auto"/>
              </w:rPr>
            </w:pPr>
            <w:r>
              <w:rPr>
                <w:rFonts w:ascii="Arial" w:cs="Arial" w:eastAsia="Arial" w:hAnsi="Arial"/>
                <w:sz w:val="11"/>
                <w:szCs w:val="11"/>
                <w:b w:val="1"/>
                <w:bCs w:val="1"/>
                <w:color w:val="auto"/>
              </w:rPr>
              <w:t>(Accumulated</w:t>
            </w:r>
          </w:p>
        </w:tc>
        <w:tc>
          <w:tcPr>
            <w:tcW w:w="80" w:type="dxa"/>
            <w:vAlign w:val="bottom"/>
          </w:tcPr>
          <w:p>
            <w:pPr>
              <w:spacing w:after="0"/>
              <w:rPr>
                <w:sz w:val="12"/>
                <w:szCs w:val="12"/>
                <w:color w:val="auto"/>
              </w:rPr>
            </w:pPr>
          </w:p>
        </w:tc>
        <w:tc>
          <w:tcPr>
            <w:tcW w:w="1100" w:type="dxa"/>
            <w:vAlign w:val="bottom"/>
            <w:gridSpan w:val="3"/>
          </w:tcPr>
          <w:p>
            <w:pPr>
              <w:jc w:val="center"/>
              <w:ind w:right="220"/>
              <w:spacing w:after="0"/>
              <w:rPr>
                <w:sz w:val="20"/>
                <w:szCs w:val="20"/>
                <w:color w:val="auto"/>
              </w:rPr>
            </w:pPr>
            <w:r>
              <w:rPr>
                <w:rFonts w:ascii="Arial" w:cs="Arial" w:eastAsia="Arial" w:hAnsi="Arial"/>
                <w:sz w:val="11"/>
                <w:szCs w:val="11"/>
                <w:b w:val="1"/>
                <w:bCs w:val="1"/>
                <w:color w:val="auto"/>
                <w:w w:val="96"/>
              </w:rPr>
              <w:t>Comprehensive</w:t>
            </w:r>
          </w:p>
        </w:tc>
        <w:tc>
          <w:tcPr>
            <w:tcW w:w="100" w:type="dxa"/>
            <w:vAlign w:val="bottom"/>
          </w:tcPr>
          <w:p>
            <w:pPr>
              <w:spacing w:after="0"/>
              <w:rPr>
                <w:sz w:val="12"/>
                <w:szCs w:val="12"/>
                <w:color w:val="auto"/>
              </w:rPr>
            </w:pPr>
          </w:p>
        </w:tc>
        <w:tc>
          <w:tcPr>
            <w:tcW w:w="92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w w:val="96"/>
              </w:rPr>
              <w:t>Parsons</w:t>
            </w:r>
          </w:p>
        </w:tc>
        <w:tc>
          <w:tcPr>
            <w:tcW w:w="1080" w:type="dxa"/>
            <w:vAlign w:val="bottom"/>
            <w:gridSpan w:val="3"/>
          </w:tcPr>
          <w:p>
            <w:pPr>
              <w:jc w:val="right"/>
              <w:ind w:right="260"/>
              <w:spacing w:after="0"/>
              <w:rPr>
                <w:sz w:val="20"/>
                <w:szCs w:val="20"/>
                <w:color w:val="auto"/>
              </w:rPr>
            </w:pPr>
            <w:r>
              <w:rPr>
                <w:rFonts w:ascii="Arial" w:cs="Arial" w:eastAsia="Arial" w:hAnsi="Arial"/>
                <w:sz w:val="11"/>
                <w:szCs w:val="11"/>
                <w:b w:val="1"/>
                <w:bCs w:val="1"/>
                <w:color w:val="auto"/>
              </w:rPr>
              <w:t>Noncontrolling</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36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center"/>
              <w:ind w:right="29"/>
              <w:spacing w:after="0"/>
              <w:rPr>
                <w:sz w:val="20"/>
                <w:szCs w:val="20"/>
                <w:color w:val="auto"/>
              </w:rPr>
            </w:pPr>
            <w:r>
              <w:rPr>
                <w:rFonts w:ascii="Arial" w:cs="Arial" w:eastAsia="Arial" w:hAnsi="Arial"/>
                <w:sz w:val="11"/>
                <w:szCs w:val="11"/>
                <w:b w:val="1"/>
                <w:bCs w:val="1"/>
                <w:color w:val="auto"/>
                <w:w w:val="99"/>
              </w:rPr>
              <w:t>Stock</w:t>
            </w:r>
          </w:p>
        </w:tc>
        <w:tc>
          <w:tcPr>
            <w:tcW w:w="240" w:type="dxa"/>
            <w:vAlign w:val="bottom"/>
            <w:tcBorders>
              <w:bottom w:val="single" w:sz="8" w:color="CFF0FC"/>
              <w:right w:val="single" w:sz="8" w:color="auto"/>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29"/>
              <w:spacing w:after="0"/>
              <w:rPr>
                <w:sz w:val="20"/>
                <w:szCs w:val="20"/>
                <w:color w:val="auto"/>
              </w:rPr>
            </w:pPr>
            <w:r>
              <w:rPr>
                <w:rFonts w:ascii="Arial" w:cs="Arial" w:eastAsia="Arial" w:hAnsi="Arial"/>
                <w:sz w:val="11"/>
                <w:szCs w:val="11"/>
                <w:b w:val="1"/>
                <w:bCs w:val="1"/>
                <w:color w:val="auto"/>
              </w:rPr>
              <w:t>Stock</w:t>
            </w:r>
          </w:p>
        </w:tc>
        <w:tc>
          <w:tcPr>
            <w:tcW w:w="180" w:type="dxa"/>
            <w:vAlign w:val="bottom"/>
            <w:tcBorders>
              <w:bottom w:val="single" w:sz="8" w:color="CFF0FC"/>
            </w:tcBorders>
          </w:tcPr>
          <w:p>
            <w:pPr>
              <w:spacing w:after="0"/>
              <w:rPr>
                <w:sz w:val="12"/>
                <w:szCs w:val="12"/>
                <w:color w:val="auto"/>
              </w:rPr>
            </w:pPr>
          </w:p>
        </w:tc>
        <w:tc>
          <w:tcPr>
            <w:tcW w:w="700" w:type="dxa"/>
            <w:vAlign w:val="bottom"/>
            <w:tcBorders>
              <w:bottom w:val="single" w:sz="8" w:color="auto"/>
            </w:tcBorders>
          </w:tcPr>
          <w:p>
            <w:pPr>
              <w:jc w:val="right"/>
              <w:ind w:right="129"/>
              <w:spacing w:after="0"/>
              <w:rPr>
                <w:sz w:val="20"/>
                <w:szCs w:val="20"/>
                <w:color w:val="auto"/>
              </w:rPr>
            </w:pPr>
            <w:r>
              <w:rPr>
                <w:rFonts w:ascii="Arial" w:cs="Arial" w:eastAsia="Arial" w:hAnsi="Arial"/>
                <w:sz w:val="11"/>
                <w:szCs w:val="11"/>
                <w:b w:val="1"/>
                <w:bCs w:val="1"/>
                <w:color w:val="auto"/>
              </w:rPr>
              <w:t>Stock</w:t>
            </w:r>
          </w:p>
        </w:tc>
        <w:tc>
          <w:tcPr>
            <w:tcW w:w="120" w:type="dxa"/>
            <w:vAlign w:val="bottom"/>
            <w:tcBorders>
              <w:bottom w:val="single" w:sz="8" w:color="CFF0FC"/>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1"/>
                <w:szCs w:val="11"/>
                <w:b w:val="1"/>
                <w:bCs w:val="1"/>
                <w:color w:val="auto"/>
              </w:rPr>
              <w:t>Capital</w:t>
            </w:r>
          </w:p>
        </w:tc>
        <w:tc>
          <w:tcPr>
            <w:tcW w:w="22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center"/>
              <w:ind w:right="50"/>
              <w:spacing w:after="0"/>
              <w:rPr>
                <w:sz w:val="20"/>
                <w:szCs w:val="20"/>
                <w:color w:val="auto"/>
              </w:rPr>
            </w:pPr>
            <w:r>
              <w:rPr>
                <w:rFonts w:ascii="Arial" w:cs="Arial" w:eastAsia="Arial" w:hAnsi="Arial"/>
                <w:sz w:val="11"/>
                <w:szCs w:val="11"/>
                <w:b w:val="1"/>
                <w:bCs w:val="1"/>
                <w:color w:val="auto"/>
                <w:w w:val="96"/>
              </w:rPr>
              <w:t>Deficit)</w:t>
            </w:r>
          </w:p>
        </w:tc>
        <w:tc>
          <w:tcPr>
            <w:tcW w:w="140" w:type="dxa"/>
            <w:vAlign w:val="bottom"/>
            <w:tcBorders>
              <w:bottom w:val="single" w:sz="8" w:color="CFF0FC"/>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880" w:type="dxa"/>
            <w:vAlign w:val="bottom"/>
            <w:tcBorders>
              <w:bottom w:val="single" w:sz="8" w:color="auto"/>
            </w:tcBorders>
            <w:gridSpan w:val="2"/>
          </w:tcPr>
          <w:p>
            <w:pPr>
              <w:jc w:val="center"/>
              <w:spacing w:after="0"/>
              <w:rPr>
                <w:sz w:val="20"/>
                <w:szCs w:val="20"/>
                <w:color w:val="auto"/>
              </w:rPr>
            </w:pPr>
            <w:r>
              <w:rPr>
                <w:rFonts w:ascii="Arial" w:cs="Arial" w:eastAsia="Arial" w:hAnsi="Arial"/>
                <w:sz w:val="11"/>
                <w:szCs w:val="11"/>
                <w:b w:val="1"/>
                <w:bCs w:val="1"/>
                <w:color w:val="auto"/>
                <w:w w:val="99"/>
              </w:rPr>
              <w:t>Income (Loss)</w:t>
            </w:r>
          </w:p>
        </w:tc>
        <w:tc>
          <w:tcPr>
            <w:tcW w:w="22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center"/>
              <w:ind w:right="30"/>
              <w:spacing w:after="0"/>
              <w:rPr>
                <w:sz w:val="20"/>
                <w:szCs w:val="20"/>
                <w:color w:val="auto"/>
              </w:rPr>
            </w:pPr>
            <w:r>
              <w:rPr>
                <w:rFonts w:ascii="Arial" w:cs="Arial" w:eastAsia="Arial" w:hAnsi="Arial"/>
                <w:sz w:val="11"/>
                <w:szCs w:val="11"/>
                <w:b w:val="1"/>
                <w:bCs w:val="1"/>
                <w:color w:val="auto"/>
                <w:w w:val="95"/>
              </w:rPr>
              <w:t>Deficit</w:t>
            </w:r>
          </w:p>
        </w:tc>
        <w:tc>
          <w:tcPr>
            <w:tcW w:w="220" w:type="dxa"/>
            <w:vAlign w:val="bottom"/>
            <w:tcBorders>
              <w:bottom w:val="single" w:sz="8" w:color="CFF0FC"/>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29"/>
              <w:spacing w:after="0"/>
              <w:rPr>
                <w:sz w:val="20"/>
                <w:szCs w:val="20"/>
                <w:color w:val="auto"/>
              </w:rPr>
            </w:pPr>
            <w:r>
              <w:rPr>
                <w:rFonts w:ascii="Arial" w:cs="Arial" w:eastAsia="Arial" w:hAnsi="Arial"/>
                <w:sz w:val="11"/>
                <w:szCs w:val="11"/>
                <w:b w:val="1"/>
                <w:bCs w:val="1"/>
                <w:color w:val="auto"/>
              </w:rPr>
              <w:t>Interests</w:t>
            </w:r>
          </w:p>
        </w:tc>
        <w:tc>
          <w:tcPr>
            <w:tcW w:w="22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69"/>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69"/>
        </w:trPr>
        <w:tc>
          <w:tcPr>
            <w:tcW w:w="236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Balance at December 31, 2019</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right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146,441</w:t>
            </w:r>
          </w:p>
        </w:tc>
        <w:tc>
          <w:tcPr>
            <w:tcW w:w="18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 (934,240)</w:t>
            </w: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2,649,975</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(218,025)</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(14,261)</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1,629,890</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30,866</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right w:val="single" w:sz="8" w:color="CFF0FC"/>
            </w:tcBorders>
            <w:shd w:val="clear" w:color="auto" w:fill="CFF0FC"/>
          </w:tcPr>
          <w:p>
            <w:pPr>
              <w:jc w:val="right"/>
              <w:ind w:right="9"/>
              <w:spacing w:after="0"/>
              <w:rPr>
                <w:sz w:val="20"/>
                <w:szCs w:val="20"/>
                <w:color w:val="auto"/>
              </w:rPr>
            </w:pPr>
            <w:r>
              <w:rPr>
                <w:rFonts w:ascii="Arial" w:cs="Arial" w:eastAsia="Arial" w:hAnsi="Arial"/>
                <w:sz w:val="14"/>
                <w:szCs w:val="14"/>
                <w:color w:val="auto"/>
              </w:rPr>
              <w:t>1,660,756</w:t>
            </w:r>
          </w:p>
        </w:tc>
        <w:tc>
          <w:tcPr>
            <w:tcW w:w="0" w:type="dxa"/>
            <w:vAlign w:val="bottom"/>
          </w:tcPr>
          <w:p>
            <w:pPr>
              <w:spacing w:after="0"/>
              <w:rPr>
                <w:sz w:val="1"/>
                <w:szCs w:val="1"/>
                <w:color w:val="auto"/>
              </w:rPr>
            </w:pPr>
          </w:p>
        </w:tc>
      </w:tr>
      <w:tr>
        <w:trPr>
          <w:trHeight w:val="169"/>
        </w:trPr>
        <w:tc>
          <w:tcPr>
            <w:tcW w:w="2360" w:type="dxa"/>
            <w:vAlign w:val="bottom"/>
          </w:tcPr>
          <w:p>
            <w:pPr>
              <w:spacing w:after="0"/>
              <w:rPr>
                <w:sz w:val="20"/>
                <w:szCs w:val="20"/>
                <w:color w:val="auto"/>
              </w:rPr>
            </w:pPr>
            <w:r>
              <w:rPr>
                <w:rFonts w:ascii="Arial" w:cs="Arial" w:eastAsia="Arial" w:hAnsi="Arial"/>
                <w:sz w:val="14"/>
                <w:szCs w:val="14"/>
                <w:color w:val="auto"/>
              </w:rPr>
              <w:t>Comprehensive income</w:t>
            </w:r>
          </w:p>
        </w:tc>
        <w:tc>
          <w:tcPr>
            <w:tcW w:w="1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3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4"/>
                <w:szCs w:val="14"/>
                <w:color w:val="auto"/>
              </w:rPr>
              <w:t>Net income</w:t>
            </w:r>
          </w:p>
        </w:tc>
        <w:tc>
          <w:tcPr>
            <w:tcW w:w="10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right w:val="single" w:sz="8" w:color="auto"/>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76,930</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76,930</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15,086</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740" w:type="dxa"/>
            <w:vAlign w:val="bottom"/>
            <w:tcBorders>
              <w:bottom w:val="single" w:sz="8" w:color="CFF0FC"/>
              <w:right w:val="single" w:sz="8" w:color="CFF0FC"/>
            </w:tcBorders>
            <w:shd w:val="clear" w:color="auto" w:fill="CFF0FC"/>
          </w:tcPr>
          <w:p>
            <w:pPr>
              <w:jc w:val="right"/>
              <w:ind w:right="9"/>
              <w:spacing w:after="0"/>
              <w:rPr>
                <w:sz w:val="20"/>
                <w:szCs w:val="20"/>
                <w:color w:val="auto"/>
              </w:rPr>
            </w:pPr>
            <w:r>
              <w:rPr>
                <w:rFonts w:ascii="Arial" w:cs="Arial" w:eastAsia="Arial" w:hAnsi="Arial"/>
                <w:sz w:val="14"/>
                <w:szCs w:val="14"/>
                <w:color w:val="auto"/>
              </w:rPr>
              <w:t>92,016</w:t>
            </w:r>
          </w:p>
        </w:tc>
        <w:tc>
          <w:tcPr>
            <w:tcW w:w="0" w:type="dxa"/>
            <w:vAlign w:val="bottom"/>
          </w:tcPr>
          <w:p>
            <w:pPr>
              <w:spacing w:after="0"/>
              <w:rPr>
                <w:sz w:val="1"/>
                <w:szCs w:val="1"/>
                <w:color w:val="auto"/>
              </w:rPr>
            </w:pPr>
          </w:p>
        </w:tc>
      </w:tr>
      <w:tr>
        <w:trPr>
          <w:trHeight w:val="162"/>
        </w:trPr>
        <w:tc>
          <w:tcPr>
            <w:tcW w:w="2360" w:type="dxa"/>
            <w:vAlign w:val="bottom"/>
          </w:tcPr>
          <w:p>
            <w:pPr>
              <w:ind w:left="260"/>
              <w:spacing w:after="0"/>
              <w:rPr>
                <w:sz w:val="20"/>
                <w:szCs w:val="20"/>
                <w:color w:val="auto"/>
              </w:rPr>
            </w:pPr>
            <w:r>
              <w:rPr>
                <w:rFonts w:ascii="Arial" w:cs="Arial" w:eastAsia="Arial" w:hAnsi="Arial"/>
                <w:sz w:val="14"/>
                <w:szCs w:val="14"/>
                <w:color w:val="auto"/>
              </w:rPr>
              <w:t>Foreign currency translation</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360" w:type="dxa"/>
            <w:vAlign w:val="bottom"/>
          </w:tcPr>
          <w:p>
            <w:pPr>
              <w:ind w:left="260"/>
              <w:spacing w:after="0"/>
              <w:rPr>
                <w:sz w:val="20"/>
                <w:szCs w:val="20"/>
                <w:color w:val="auto"/>
              </w:rPr>
            </w:pPr>
            <w:r>
              <w:rPr>
                <w:rFonts w:ascii="Arial" w:cs="Arial" w:eastAsia="Arial" w:hAnsi="Arial"/>
                <w:sz w:val="14"/>
                <w:szCs w:val="14"/>
                <w:color w:val="auto"/>
              </w:rPr>
              <w:t>(loss), net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(3,770)</w:t>
            </w:r>
          </w:p>
        </w:tc>
        <w:tc>
          <w:tcPr>
            <w:tcW w:w="10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(3,770)</w:t>
            </w: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(3,770)</w:t>
            </w:r>
          </w:p>
        </w:tc>
        <w:tc>
          <w:tcPr>
            <w:tcW w:w="0" w:type="dxa"/>
            <w:vAlign w:val="bottom"/>
          </w:tcPr>
          <w:p>
            <w:pPr>
              <w:spacing w:after="0"/>
              <w:rPr>
                <w:sz w:val="1"/>
                <w:szCs w:val="1"/>
                <w:color w:val="auto"/>
              </w:rPr>
            </w:pPr>
          </w:p>
        </w:tc>
      </w:tr>
      <w:tr>
        <w:trPr>
          <w:trHeight w:val="209"/>
        </w:trPr>
        <w:tc>
          <w:tcPr>
            <w:tcW w:w="23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4"/>
                <w:szCs w:val="14"/>
                <w:color w:val="auto"/>
              </w:rPr>
              <w:t>Pension adjustments, net</w:t>
            </w:r>
          </w:p>
        </w:tc>
        <w:tc>
          <w:tcPr>
            <w:tcW w:w="10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right w:val="single" w:sz="8" w:color="auto"/>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(18)</w:t>
            </w:r>
          </w:p>
        </w:tc>
        <w:tc>
          <w:tcPr>
            <w:tcW w:w="10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(18)</w:t>
            </w:r>
          </w:p>
        </w:tc>
        <w:tc>
          <w:tcPr>
            <w:tcW w:w="14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740" w:type="dxa"/>
            <w:vAlign w:val="bottom"/>
            <w:tcBorders>
              <w:bottom w:val="single" w:sz="8" w:color="CFF0FC"/>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29"/>
        </w:trPr>
        <w:tc>
          <w:tcPr>
            <w:tcW w:w="2360" w:type="dxa"/>
            <w:vAlign w:val="bottom"/>
          </w:tcPr>
          <w:p>
            <w:pPr>
              <w:spacing w:after="0"/>
              <w:rPr>
                <w:sz w:val="20"/>
                <w:szCs w:val="20"/>
                <w:color w:val="auto"/>
              </w:rPr>
            </w:pPr>
            <w:r>
              <w:rPr>
                <w:rFonts w:ascii="Arial" w:cs="Arial" w:eastAsia="Arial" w:hAnsi="Arial"/>
                <w:sz w:val="14"/>
                <w:szCs w:val="14"/>
                <w:color w:val="auto"/>
              </w:rPr>
              <w:t>Adoption of ASU 2016-13</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(1,000)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(1,000)</w:t>
            </w: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76"/>
        </w:trPr>
        <w:tc>
          <w:tcPr>
            <w:tcW w:w="2360" w:type="dxa"/>
            <w:vAlign w:val="bottom"/>
            <w:shd w:val="clear" w:color="auto" w:fill="CFF0FC"/>
          </w:tcPr>
          <w:p>
            <w:pPr>
              <w:spacing w:after="0"/>
              <w:rPr>
                <w:sz w:val="20"/>
                <w:szCs w:val="20"/>
                <w:color w:val="auto"/>
              </w:rPr>
            </w:pPr>
            <w:r>
              <w:rPr>
                <w:rFonts w:ascii="Arial" w:cs="Arial" w:eastAsia="Arial" w:hAnsi="Arial"/>
                <w:sz w:val="14"/>
                <w:szCs w:val="14"/>
                <w:color w:val="auto"/>
              </w:rPr>
              <w:t>Contributions</w:t>
            </w: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right w:val="single" w:sz="8" w:color="auto"/>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491</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tcBorders>
              <w:right w:val="single" w:sz="8" w:color="CFF0FC"/>
            </w:tcBorders>
            <w:shd w:val="clear" w:color="auto" w:fill="CFF0FC"/>
          </w:tcPr>
          <w:p>
            <w:pPr>
              <w:jc w:val="right"/>
              <w:ind w:right="9"/>
              <w:spacing w:after="0"/>
              <w:rPr>
                <w:sz w:val="20"/>
                <w:szCs w:val="20"/>
                <w:color w:val="auto"/>
              </w:rPr>
            </w:pPr>
            <w:r>
              <w:rPr>
                <w:rFonts w:ascii="Arial" w:cs="Arial" w:eastAsia="Arial" w:hAnsi="Arial"/>
                <w:sz w:val="14"/>
                <w:szCs w:val="14"/>
                <w:color w:val="auto"/>
              </w:rPr>
              <w:t>491</w:t>
            </w:r>
          </w:p>
        </w:tc>
        <w:tc>
          <w:tcPr>
            <w:tcW w:w="0" w:type="dxa"/>
            <w:vAlign w:val="bottom"/>
          </w:tcPr>
          <w:p>
            <w:pPr>
              <w:spacing w:after="0"/>
              <w:rPr>
                <w:sz w:val="1"/>
                <w:szCs w:val="1"/>
                <w:color w:val="auto"/>
              </w:rPr>
            </w:pPr>
          </w:p>
        </w:tc>
      </w:tr>
      <w:tr>
        <w:trPr>
          <w:trHeight w:val="176"/>
        </w:trPr>
        <w:tc>
          <w:tcPr>
            <w:tcW w:w="2360" w:type="dxa"/>
            <w:vAlign w:val="bottom"/>
          </w:tcPr>
          <w:p>
            <w:pPr>
              <w:spacing w:after="0"/>
              <w:rPr>
                <w:sz w:val="20"/>
                <w:szCs w:val="20"/>
                <w:color w:val="auto"/>
              </w:rPr>
            </w:pPr>
            <w:r>
              <w:rPr>
                <w:rFonts w:ascii="Arial" w:cs="Arial" w:eastAsia="Arial" w:hAnsi="Arial"/>
                <w:sz w:val="14"/>
                <w:szCs w:val="14"/>
                <w:color w:val="auto"/>
              </w:rPr>
              <w:t>Distributions</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(4,469)</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(4,469)</w:t>
            </w:r>
          </w:p>
        </w:tc>
        <w:tc>
          <w:tcPr>
            <w:tcW w:w="0" w:type="dxa"/>
            <w:vAlign w:val="bottom"/>
          </w:tcPr>
          <w:p>
            <w:pPr>
              <w:spacing w:after="0"/>
              <w:rPr>
                <w:sz w:val="1"/>
                <w:szCs w:val="1"/>
                <w:color w:val="auto"/>
              </w:rPr>
            </w:pPr>
          </w:p>
        </w:tc>
      </w:tr>
      <w:tr>
        <w:trPr>
          <w:trHeight w:val="162"/>
        </w:trPr>
        <w:tc>
          <w:tcPr>
            <w:tcW w:w="2360" w:type="dxa"/>
            <w:vAlign w:val="bottom"/>
            <w:shd w:val="clear" w:color="auto" w:fill="CFF0FC"/>
          </w:tcPr>
          <w:p>
            <w:pPr>
              <w:spacing w:after="0"/>
              <w:rPr>
                <w:sz w:val="20"/>
                <w:szCs w:val="20"/>
                <w:color w:val="auto"/>
              </w:rPr>
            </w:pPr>
            <w:r>
              <w:rPr>
                <w:rFonts w:ascii="Arial" w:cs="Arial" w:eastAsia="Arial" w:hAnsi="Arial"/>
                <w:sz w:val="14"/>
                <w:szCs w:val="14"/>
                <w:color w:val="auto"/>
              </w:rPr>
              <w:t>Issuance of equity securities, net of</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40" w:type="dxa"/>
            <w:vAlign w:val="bottom"/>
            <w:tcBorders>
              <w:right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tcBorders>
              <w:right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360" w:type="dxa"/>
            <w:vAlign w:val="bottom"/>
            <w:shd w:val="clear" w:color="auto" w:fill="CFF0FC"/>
          </w:tcPr>
          <w:p>
            <w:pPr>
              <w:spacing w:after="0"/>
              <w:rPr>
                <w:sz w:val="20"/>
                <w:szCs w:val="20"/>
                <w:color w:val="auto"/>
              </w:rPr>
            </w:pPr>
            <w:r>
              <w:rPr>
                <w:rFonts w:ascii="Arial" w:cs="Arial" w:eastAsia="Arial" w:hAnsi="Arial"/>
                <w:sz w:val="14"/>
                <w:szCs w:val="14"/>
                <w:color w:val="auto"/>
              </w:rPr>
              <w:t>retirement</w:t>
            </w: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right w:val="single" w:sz="8" w:color="auto"/>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57</w:t>
            </w:r>
          </w:p>
        </w:tc>
        <w:tc>
          <w:tcPr>
            <w:tcW w:w="18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1,615</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1,672</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tcBorders>
              <w:right w:val="single" w:sz="8" w:color="CFF0FC"/>
            </w:tcBorders>
            <w:shd w:val="clear" w:color="auto" w:fill="CFF0FC"/>
          </w:tcPr>
          <w:p>
            <w:pPr>
              <w:jc w:val="right"/>
              <w:ind w:right="9"/>
              <w:spacing w:after="0"/>
              <w:rPr>
                <w:sz w:val="20"/>
                <w:szCs w:val="20"/>
                <w:color w:val="auto"/>
              </w:rPr>
            </w:pPr>
            <w:r>
              <w:rPr>
                <w:rFonts w:ascii="Arial" w:cs="Arial" w:eastAsia="Arial" w:hAnsi="Arial"/>
                <w:sz w:val="14"/>
                <w:szCs w:val="14"/>
                <w:color w:val="auto"/>
              </w:rPr>
              <w:t>1,672</w:t>
            </w:r>
          </w:p>
        </w:tc>
        <w:tc>
          <w:tcPr>
            <w:tcW w:w="0" w:type="dxa"/>
            <w:vAlign w:val="bottom"/>
          </w:tcPr>
          <w:p>
            <w:pPr>
              <w:spacing w:after="0"/>
              <w:rPr>
                <w:sz w:val="1"/>
                <w:szCs w:val="1"/>
                <w:color w:val="auto"/>
              </w:rPr>
            </w:pPr>
          </w:p>
        </w:tc>
      </w:tr>
      <w:tr>
        <w:trPr>
          <w:trHeight w:val="162"/>
        </w:trPr>
        <w:tc>
          <w:tcPr>
            <w:tcW w:w="2360" w:type="dxa"/>
            <w:vAlign w:val="bottom"/>
          </w:tcPr>
          <w:p>
            <w:pPr>
              <w:spacing w:after="0"/>
              <w:rPr>
                <w:sz w:val="20"/>
                <w:szCs w:val="20"/>
                <w:color w:val="auto"/>
              </w:rPr>
            </w:pPr>
            <w:r>
              <w:rPr>
                <w:rFonts w:ascii="Arial" w:cs="Arial" w:eastAsia="Arial" w:hAnsi="Arial"/>
                <w:sz w:val="14"/>
                <w:szCs w:val="14"/>
                <w:color w:val="auto"/>
              </w:rPr>
              <w:t>Equity component value of</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360" w:type="dxa"/>
            <w:vAlign w:val="bottom"/>
          </w:tcPr>
          <w:p>
            <w:pPr>
              <w:spacing w:after="0"/>
              <w:rPr>
                <w:sz w:val="20"/>
                <w:szCs w:val="20"/>
                <w:color w:val="auto"/>
              </w:rPr>
            </w:pPr>
            <w:r>
              <w:rPr>
                <w:rFonts w:ascii="Arial" w:cs="Arial" w:eastAsia="Arial" w:hAnsi="Arial"/>
                <w:sz w:val="14"/>
                <w:szCs w:val="14"/>
                <w:color w:val="auto"/>
              </w:rPr>
              <w:t>convertible note issuance</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53,552</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53,552</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53,552</w:t>
            </w:r>
          </w:p>
        </w:tc>
        <w:tc>
          <w:tcPr>
            <w:tcW w:w="0" w:type="dxa"/>
            <w:vAlign w:val="bottom"/>
          </w:tcPr>
          <w:p>
            <w:pPr>
              <w:spacing w:after="0"/>
              <w:rPr>
                <w:sz w:val="1"/>
                <w:szCs w:val="1"/>
                <w:color w:val="auto"/>
              </w:rPr>
            </w:pPr>
          </w:p>
        </w:tc>
      </w:tr>
      <w:tr>
        <w:trPr>
          <w:trHeight w:val="176"/>
        </w:trPr>
        <w:tc>
          <w:tcPr>
            <w:tcW w:w="2360" w:type="dxa"/>
            <w:vAlign w:val="bottom"/>
            <w:shd w:val="clear" w:color="auto" w:fill="CFF0FC"/>
          </w:tcPr>
          <w:p>
            <w:pPr>
              <w:spacing w:after="0"/>
              <w:rPr>
                <w:sz w:val="20"/>
                <w:szCs w:val="20"/>
                <w:color w:val="auto"/>
              </w:rPr>
            </w:pPr>
            <w:r>
              <w:rPr>
                <w:rFonts w:ascii="Arial" w:cs="Arial" w:eastAsia="Arial" w:hAnsi="Arial"/>
                <w:sz w:val="14"/>
                <w:szCs w:val="14"/>
                <w:color w:val="auto"/>
              </w:rPr>
              <w:t>Purchase of convertible note hedge</w:t>
            </w: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right w:val="single" w:sz="8" w:color="auto"/>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(54,611)</w:t>
            </w: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(54,611)</w:t>
            </w:r>
          </w:p>
        </w:tc>
        <w:tc>
          <w:tcPr>
            <w:tcW w:w="14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(54,611)</w:t>
            </w:r>
          </w:p>
        </w:tc>
        <w:tc>
          <w:tcPr>
            <w:tcW w:w="0" w:type="dxa"/>
            <w:vAlign w:val="bottom"/>
          </w:tcPr>
          <w:p>
            <w:pPr>
              <w:spacing w:after="0"/>
              <w:rPr>
                <w:sz w:val="1"/>
                <w:szCs w:val="1"/>
                <w:color w:val="auto"/>
              </w:rPr>
            </w:pPr>
          </w:p>
        </w:tc>
      </w:tr>
      <w:tr>
        <w:trPr>
          <w:trHeight w:val="176"/>
        </w:trPr>
        <w:tc>
          <w:tcPr>
            <w:tcW w:w="2360" w:type="dxa"/>
            <w:vAlign w:val="bottom"/>
          </w:tcPr>
          <w:p>
            <w:pPr>
              <w:spacing w:after="0"/>
              <w:rPr>
                <w:sz w:val="20"/>
                <w:szCs w:val="20"/>
                <w:color w:val="auto"/>
              </w:rPr>
            </w:pPr>
            <w:r>
              <w:rPr>
                <w:rFonts w:ascii="Arial" w:cs="Arial" w:eastAsia="Arial" w:hAnsi="Arial"/>
                <w:sz w:val="14"/>
                <w:szCs w:val="14"/>
                <w:color w:val="auto"/>
              </w:rPr>
              <w:t>Sale of common stock warrants</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13,808</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13,808</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13,808</w:t>
            </w:r>
          </w:p>
        </w:tc>
        <w:tc>
          <w:tcPr>
            <w:tcW w:w="0" w:type="dxa"/>
            <w:vAlign w:val="bottom"/>
          </w:tcPr>
          <w:p>
            <w:pPr>
              <w:spacing w:after="0"/>
              <w:rPr>
                <w:sz w:val="1"/>
                <w:szCs w:val="1"/>
                <w:color w:val="auto"/>
              </w:rPr>
            </w:pPr>
          </w:p>
        </w:tc>
      </w:tr>
      <w:tr>
        <w:trPr>
          <w:trHeight w:val="175"/>
        </w:trPr>
        <w:tc>
          <w:tcPr>
            <w:tcW w:w="2360" w:type="dxa"/>
            <w:vAlign w:val="bottom"/>
            <w:shd w:val="clear" w:color="auto" w:fill="CFF0FC"/>
          </w:tcPr>
          <w:p>
            <w:pPr>
              <w:spacing w:after="0"/>
              <w:rPr>
                <w:sz w:val="20"/>
                <w:szCs w:val="20"/>
                <w:color w:val="auto"/>
              </w:rPr>
            </w:pPr>
            <w:r>
              <w:rPr>
                <w:rFonts w:ascii="Arial" w:cs="Arial" w:eastAsia="Arial" w:hAnsi="Arial"/>
                <w:sz w:val="14"/>
                <w:szCs w:val="14"/>
                <w:color w:val="auto"/>
              </w:rPr>
              <w:t>Stock-based compensation</w:t>
            </w:r>
          </w:p>
        </w:tc>
        <w:tc>
          <w:tcPr>
            <w:tcW w:w="100" w:type="dxa"/>
            <w:vAlign w:val="bottom"/>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spacing w:after="0"/>
              <w:rPr>
                <w:sz w:val="15"/>
                <w:szCs w:val="15"/>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right w:val="single" w:sz="8" w:color="auto"/>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spacing w:after="0"/>
              <w:rPr>
                <w:sz w:val="15"/>
                <w:szCs w:val="15"/>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11,044</w:t>
            </w:r>
          </w:p>
        </w:tc>
        <w:tc>
          <w:tcPr>
            <w:tcW w:w="220" w:type="dxa"/>
            <w:vAlign w:val="bottom"/>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11,044</w:t>
            </w:r>
          </w:p>
        </w:tc>
        <w:tc>
          <w:tcPr>
            <w:tcW w:w="220" w:type="dxa"/>
            <w:vAlign w:val="bottom"/>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740" w:type="dxa"/>
            <w:vAlign w:val="bottom"/>
            <w:tcBorders>
              <w:bottom w:val="single" w:sz="8" w:color="auto"/>
              <w:right w:val="single" w:sz="8" w:color="CFF0FC"/>
            </w:tcBorders>
            <w:shd w:val="clear" w:color="auto" w:fill="CFF0FC"/>
          </w:tcPr>
          <w:p>
            <w:pPr>
              <w:jc w:val="right"/>
              <w:ind w:right="9"/>
              <w:spacing w:after="0"/>
              <w:rPr>
                <w:sz w:val="20"/>
                <w:szCs w:val="20"/>
                <w:color w:val="auto"/>
              </w:rPr>
            </w:pPr>
            <w:r>
              <w:rPr>
                <w:rFonts w:ascii="Arial" w:cs="Arial" w:eastAsia="Arial" w:hAnsi="Arial"/>
                <w:sz w:val="14"/>
                <w:szCs w:val="14"/>
                <w:color w:val="auto"/>
              </w:rPr>
              <w:t>11,044</w:t>
            </w:r>
          </w:p>
        </w:tc>
        <w:tc>
          <w:tcPr>
            <w:tcW w:w="0" w:type="dxa"/>
            <w:vAlign w:val="bottom"/>
          </w:tcPr>
          <w:p>
            <w:pPr>
              <w:spacing w:after="0"/>
              <w:rPr>
                <w:sz w:val="1"/>
                <w:szCs w:val="1"/>
                <w:color w:val="auto"/>
              </w:rPr>
            </w:pPr>
          </w:p>
        </w:tc>
      </w:tr>
      <w:tr>
        <w:trPr>
          <w:trHeight w:val="189"/>
        </w:trPr>
        <w:tc>
          <w:tcPr>
            <w:tcW w:w="2360" w:type="dxa"/>
            <w:vAlign w:val="bottom"/>
          </w:tcPr>
          <w:p>
            <w:pPr>
              <w:spacing w:after="0"/>
              <w:rPr>
                <w:sz w:val="20"/>
                <w:szCs w:val="20"/>
                <w:color w:val="auto"/>
              </w:rPr>
            </w:pPr>
            <w:r>
              <w:rPr>
                <w:rFonts w:ascii="Arial" w:cs="Arial" w:eastAsia="Arial" w:hAnsi="Arial"/>
                <w:sz w:val="14"/>
                <w:szCs w:val="14"/>
                <w:b w:val="1"/>
                <w:bCs w:val="1"/>
                <w:color w:val="auto"/>
              </w:rPr>
              <w:t>Balance at September 30, 2020</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146,498</w:t>
            </w:r>
          </w:p>
        </w:tc>
        <w:tc>
          <w:tcPr>
            <w:tcW w:w="180" w:type="dxa"/>
            <w:vAlign w:val="bottom"/>
          </w:tcPr>
          <w:p>
            <w:pPr>
              <w:spacing w:after="0"/>
              <w:rPr>
                <w:sz w:val="16"/>
                <w:szCs w:val="16"/>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 (934,240)</w:t>
            </w:r>
          </w:p>
        </w:tc>
        <w:tc>
          <w:tcPr>
            <w:tcW w:w="1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2,675,383</w:t>
            </w:r>
          </w:p>
        </w:tc>
        <w:tc>
          <w:tcPr>
            <w:tcW w:w="220" w:type="dxa"/>
            <w:vAlign w:val="bottom"/>
          </w:tcPr>
          <w:p>
            <w:pPr>
              <w:spacing w:after="0"/>
              <w:rPr>
                <w:sz w:val="16"/>
                <w:szCs w:val="16"/>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(142,095)</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(18,049)</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1,727,497</w:t>
            </w:r>
          </w:p>
        </w:tc>
        <w:tc>
          <w:tcPr>
            <w:tcW w:w="2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41,974</w:t>
            </w:r>
          </w:p>
        </w:tc>
        <w:tc>
          <w:tcPr>
            <w:tcW w:w="2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1,769,471</w:t>
            </w:r>
          </w:p>
        </w:tc>
        <w:tc>
          <w:tcPr>
            <w:tcW w:w="0" w:type="dxa"/>
            <w:vAlign w:val="bottom"/>
          </w:tcPr>
          <w:p>
            <w:pPr>
              <w:spacing w:after="0"/>
              <w:rPr>
                <w:sz w:val="1"/>
                <w:szCs w:val="1"/>
                <w:color w:val="auto"/>
              </w:rPr>
            </w:pPr>
          </w:p>
        </w:tc>
      </w:tr>
      <w:tr>
        <w:trPr>
          <w:trHeight w:val="20"/>
        </w:trPr>
        <w:tc>
          <w:tcPr>
            <w:tcW w:w="2360" w:type="dxa"/>
            <w:vAlign w:val="bottom"/>
            <w:tcBorders>
              <w:top w:val="single" w:sz="8" w:color="CFF0FC"/>
            </w:tcBorders>
            <w:vMerge w:val="restart"/>
            <w:shd w:val="clear" w:color="auto" w:fill="CFF0FC"/>
          </w:tcPr>
          <w:p>
            <w:pPr>
              <w:spacing w:after="0"/>
              <w:rPr>
                <w:sz w:val="20"/>
                <w:szCs w:val="20"/>
                <w:color w:val="auto"/>
              </w:rPr>
            </w:pPr>
            <w:r>
              <w:rPr>
                <w:rFonts w:ascii="Arial" w:cs="Arial" w:eastAsia="Arial" w:hAnsi="Arial"/>
                <w:sz w:val="14"/>
                <w:szCs w:val="14"/>
                <w:b w:val="1"/>
                <w:bCs w:val="1"/>
                <w:color w:val="auto"/>
              </w:rPr>
              <w:t>Balance at December 31, 2018</w:t>
            </w: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360" w:type="dxa"/>
            <w:vAlign w:val="bottom"/>
            <w:vMerge w:val="continue"/>
            <w:shd w:val="clear" w:color="auto" w:fill="CFF0FC"/>
          </w:tcPr>
          <w:p>
            <w:pPr>
              <w:spacing w:after="0"/>
              <w:rPr>
                <w:sz w:val="18"/>
                <w:szCs w:val="18"/>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1,876,309</w:t>
            </w:r>
          </w:p>
        </w:tc>
        <w:tc>
          <w:tcPr>
            <w:tcW w:w="24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 (957,025)</w:t>
            </w: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12,445</w:t>
            </w:r>
          </w:p>
        </w:tc>
        <w:tc>
          <w:tcPr>
            <w:tcW w:w="14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(22,957)</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(967,537)</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46,461</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(921,076)</w:t>
            </w:r>
          </w:p>
        </w:tc>
        <w:tc>
          <w:tcPr>
            <w:tcW w:w="0" w:type="dxa"/>
            <w:vAlign w:val="bottom"/>
          </w:tcPr>
          <w:p>
            <w:pPr>
              <w:spacing w:after="0"/>
              <w:rPr>
                <w:sz w:val="1"/>
                <w:szCs w:val="1"/>
                <w:color w:val="auto"/>
              </w:rPr>
            </w:pPr>
          </w:p>
        </w:tc>
      </w:tr>
      <w:tr>
        <w:trPr>
          <w:trHeight w:val="188"/>
        </w:trPr>
        <w:tc>
          <w:tcPr>
            <w:tcW w:w="2360" w:type="dxa"/>
            <w:vAlign w:val="bottom"/>
          </w:tcPr>
          <w:p>
            <w:pPr>
              <w:spacing w:after="0"/>
              <w:rPr>
                <w:sz w:val="20"/>
                <w:szCs w:val="20"/>
                <w:color w:val="auto"/>
              </w:rPr>
            </w:pPr>
            <w:r>
              <w:rPr>
                <w:rFonts w:ascii="Arial" w:cs="Arial" w:eastAsia="Arial" w:hAnsi="Arial"/>
                <w:sz w:val="14"/>
                <w:szCs w:val="14"/>
                <w:color w:val="auto"/>
              </w:rPr>
              <w:t>Comprehensive income</w:t>
            </w:r>
          </w:p>
        </w:tc>
        <w:tc>
          <w:tcPr>
            <w:tcW w:w="1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2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3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4"/>
                <w:szCs w:val="14"/>
                <w:color w:val="auto"/>
              </w:rPr>
              <w:t>Net income</w:t>
            </w:r>
          </w:p>
        </w:tc>
        <w:tc>
          <w:tcPr>
            <w:tcW w:w="10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right w:val="single" w:sz="8" w:color="auto"/>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106,812</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106,812</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8,012</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740" w:type="dxa"/>
            <w:vAlign w:val="bottom"/>
            <w:tcBorders>
              <w:bottom w:val="single" w:sz="8" w:color="CFF0FC"/>
              <w:right w:val="single" w:sz="8" w:color="CFF0FC"/>
            </w:tcBorders>
            <w:shd w:val="clear" w:color="auto" w:fill="CFF0FC"/>
          </w:tcPr>
          <w:p>
            <w:pPr>
              <w:jc w:val="right"/>
              <w:ind w:right="9"/>
              <w:spacing w:after="0"/>
              <w:rPr>
                <w:sz w:val="20"/>
                <w:szCs w:val="20"/>
                <w:color w:val="auto"/>
              </w:rPr>
            </w:pPr>
            <w:r>
              <w:rPr>
                <w:rFonts w:ascii="Arial" w:cs="Arial" w:eastAsia="Arial" w:hAnsi="Arial"/>
                <w:sz w:val="14"/>
                <w:szCs w:val="14"/>
                <w:color w:val="auto"/>
              </w:rPr>
              <w:t>114,824</w:t>
            </w:r>
          </w:p>
        </w:tc>
        <w:tc>
          <w:tcPr>
            <w:tcW w:w="0" w:type="dxa"/>
            <w:vAlign w:val="bottom"/>
          </w:tcPr>
          <w:p>
            <w:pPr>
              <w:spacing w:after="0"/>
              <w:rPr>
                <w:sz w:val="1"/>
                <w:szCs w:val="1"/>
                <w:color w:val="auto"/>
              </w:rPr>
            </w:pPr>
          </w:p>
        </w:tc>
      </w:tr>
      <w:tr>
        <w:trPr>
          <w:trHeight w:val="162"/>
        </w:trPr>
        <w:tc>
          <w:tcPr>
            <w:tcW w:w="2360" w:type="dxa"/>
            <w:vAlign w:val="bottom"/>
          </w:tcPr>
          <w:p>
            <w:pPr>
              <w:ind w:left="260"/>
              <w:spacing w:after="0"/>
              <w:rPr>
                <w:sz w:val="20"/>
                <w:szCs w:val="20"/>
                <w:color w:val="auto"/>
              </w:rPr>
            </w:pPr>
            <w:r>
              <w:rPr>
                <w:rFonts w:ascii="Arial" w:cs="Arial" w:eastAsia="Arial" w:hAnsi="Arial"/>
                <w:sz w:val="14"/>
                <w:szCs w:val="14"/>
                <w:color w:val="auto"/>
              </w:rPr>
              <w:t>Foreign currency translation</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360" w:type="dxa"/>
            <w:vAlign w:val="bottom"/>
          </w:tcPr>
          <w:p>
            <w:pPr>
              <w:ind w:left="260"/>
              <w:spacing w:after="0"/>
              <w:rPr>
                <w:sz w:val="20"/>
                <w:szCs w:val="20"/>
                <w:color w:val="auto"/>
              </w:rPr>
            </w:pPr>
            <w:r>
              <w:rPr>
                <w:rFonts w:ascii="Arial" w:cs="Arial" w:eastAsia="Arial" w:hAnsi="Arial"/>
                <w:sz w:val="14"/>
                <w:szCs w:val="14"/>
                <w:color w:val="auto"/>
              </w:rPr>
              <w:t>gain, net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4,958</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4,958</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4,958</w:t>
            </w:r>
          </w:p>
        </w:tc>
        <w:tc>
          <w:tcPr>
            <w:tcW w:w="0" w:type="dxa"/>
            <w:vAlign w:val="bottom"/>
          </w:tcPr>
          <w:p>
            <w:pPr>
              <w:spacing w:after="0"/>
              <w:rPr>
                <w:sz w:val="1"/>
                <w:szCs w:val="1"/>
                <w:color w:val="auto"/>
              </w:rPr>
            </w:pPr>
          </w:p>
        </w:tc>
      </w:tr>
      <w:tr>
        <w:trPr>
          <w:trHeight w:val="210"/>
        </w:trPr>
        <w:tc>
          <w:tcPr>
            <w:tcW w:w="23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4"/>
                <w:szCs w:val="14"/>
                <w:color w:val="auto"/>
              </w:rPr>
              <w:t>Pension adjustments, net</w:t>
            </w:r>
          </w:p>
        </w:tc>
        <w:tc>
          <w:tcPr>
            <w:tcW w:w="10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right w:val="single" w:sz="8" w:color="auto"/>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17</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17</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740" w:type="dxa"/>
            <w:vAlign w:val="bottom"/>
            <w:tcBorders>
              <w:bottom w:val="single" w:sz="8" w:color="CFF0FC"/>
              <w:right w:val="single" w:sz="8" w:color="CFF0FC"/>
            </w:tcBorders>
            <w:shd w:val="clear" w:color="auto" w:fill="CFF0FC"/>
          </w:tcPr>
          <w:p>
            <w:pPr>
              <w:jc w:val="right"/>
              <w:ind w:right="9"/>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94"/>
        </w:trPr>
        <w:tc>
          <w:tcPr>
            <w:tcW w:w="2360" w:type="dxa"/>
            <w:vAlign w:val="bottom"/>
          </w:tcPr>
          <w:p>
            <w:pPr>
              <w:spacing w:after="0"/>
              <w:rPr>
                <w:sz w:val="20"/>
                <w:szCs w:val="20"/>
                <w:color w:val="auto"/>
              </w:rPr>
            </w:pPr>
            <w:r>
              <w:rPr>
                <w:rFonts w:ascii="Arial" w:cs="Arial" w:eastAsia="Arial" w:hAnsi="Arial"/>
                <w:sz w:val="14"/>
                <w:szCs w:val="14"/>
                <w:color w:val="auto"/>
              </w:rPr>
              <w:t>ASC 842 Transition Adjustment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52,608</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52,608</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vMerge w:val="restart"/>
          </w:tcPr>
          <w:p>
            <w:pPr>
              <w:jc w:val="right"/>
              <w:ind w:right="9"/>
              <w:spacing w:after="0"/>
              <w:rPr>
                <w:sz w:val="20"/>
                <w:szCs w:val="20"/>
                <w:color w:val="auto"/>
              </w:rPr>
            </w:pPr>
            <w:r>
              <w:rPr>
                <w:rFonts w:ascii="Arial" w:cs="Arial" w:eastAsia="Arial" w:hAnsi="Arial"/>
                <w:sz w:val="14"/>
                <w:szCs w:val="14"/>
                <w:color w:val="auto"/>
              </w:rPr>
              <w:t>52,608</w:t>
            </w:r>
          </w:p>
        </w:tc>
        <w:tc>
          <w:tcPr>
            <w:tcW w:w="0" w:type="dxa"/>
            <w:vAlign w:val="bottom"/>
          </w:tcPr>
          <w:p>
            <w:pPr>
              <w:spacing w:after="0"/>
              <w:rPr>
                <w:sz w:val="1"/>
                <w:szCs w:val="1"/>
                <w:color w:val="auto"/>
              </w:rPr>
            </w:pPr>
          </w:p>
        </w:tc>
      </w:tr>
      <w:tr>
        <w:trPr>
          <w:trHeight w:val="35"/>
        </w:trPr>
        <w:tc>
          <w:tcPr>
            <w:tcW w:w="2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24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3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Purchase of treasury stock</w:t>
            </w:r>
          </w:p>
        </w:tc>
        <w:tc>
          <w:tcPr>
            <w:tcW w:w="10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right w:val="single" w:sz="8" w:color="auto"/>
            </w:tcBorders>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(819)</w:t>
            </w:r>
          </w:p>
        </w:tc>
        <w:tc>
          <w:tcPr>
            <w:tcW w:w="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(819)</w:t>
            </w: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819</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740" w:type="dxa"/>
            <w:vAlign w:val="bottom"/>
            <w:tcBorders>
              <w:bottom w:val="single" w:sz="8" w:color="CFF0FC"/>
              <w:right w:val="single" w:sz="8" w:color="CFF0FC"/>
            </w:tcBorders>
            <w:shd w:val="clear" w:color="auto" w:fill="CFF0FC"/>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0"/>
        </w:trPr>
        <w:tc>
          <w:tcPr>
            <w:tcW w:w="2360" w:type="dxa"/>
            <w:vAlign w:val="bottom"/>
          </w:tcPr>
          <w:p>
            <w:pPr>
              <w:spacing w:after="0"/>
              <w:rPr>
                <w:sz w:val="20"/>
                <w:szCs w:val="20"/>
                <w:color w:val="auto"/>
              </w:rPr>
            </w:pPr>
            <w:r>
              <w:rPr>
                <w:rFonts w:ascii="Arial" w:cs="Arial" w:eastAsia="Arial" w:hAnsi="Arial"/>
                <w:sz w:val="14"/>
                <w:szCs w:val="14"/>
                <w:color w:val="auto"/>
              </w:rPr>
              <w:t>Contributions</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8,999</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8,999</w:t>
            </w:r>
          </w:p>
        </w:tc>
        <w:tc>
          <w:tcPr>
            <w:tcW w:w="0" w:type="dxa"/>
            <w:vAlign w:val="bottom"/>
          </w:tcPr>
          <w:p>
            <w:pPr>
              <w:spacing w:after="0"/>
              <w:rPr>
                <w:sz w:val="1"/>
                <w:szCs w:val="1"/>
                <w:color w:val="auto"/>
              </w:rPr>
            </w:pPr>
          </w:p>
        </w:tc>
      </w:tr>
      <w:tr>
        <w:trPr>
          <w:trHeight w:val="175"/>
        </w:trPr>
        <w:tc>
          <w:tcPr>
            <w:tcW w:w="2360" w:type="dxa"/>
            <w:vAlign w:val="bottom"/>
            <w:shd w:val="clear" w:color="auto" w:fill="CFF0FC"/>
          </w:tcPr>
          <w:p>
            <w:pPr>
              <w:spacing w:after="0"/>
              <w:rPr>
                <w:sz w:val="20"/>
                <w:szCs w:val="20"/>
                <w:color w:val="auto"/>
              </w:rPr>
            </w:pPr>
            <w:r>
              <w:rPr>
                <w:rFonts w:ascii="Arial" w:cs="Arial" w:eastAsia="Arial" w:hAnsi="Arial"/>
                <w:sz w:val="14"/>
                <w:szCs w:val="14"/>
                <w:color w:val="auto"/>
              </w:rPr>
              <w:t>Distributions</w:t>
            </w: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right w:val="single" w:sz="8" w:color="auto"/>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(35,378)</w:t>
            </w:r>
          </w:p>
        </w:tc>
        <w:tc>
          <w:tcPr>
            <w:tcW w:w="100" w:type="dxa"/>
            <w:vAlign w:val="bottom"/>
            <w:shd w:val="clear" w:color="auto" w:fill="CFF0FC"/>
          </w:tcPr>
          <w:p>
            <w:pPr>
              <w:spacing w:after="0"/>
              <w:rPr>
                <w:sz w:val="15"/>
                <w:szCs w:val="15"/>
                <w:color w:val="auto"/>
              </w:rPr>
            </w:pPr>
          </w:p>
        </w:tc>
        <w:tc>
          <w:tcPr>
            <w:tcW w:w="7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(35,378)</w:t>
            </w:r>
          </w:p>
        </w:tc>
        <w:tc>
          <w:tcPr>
            <w:tcW w:w="0" w:type="dxa"/>
            <w:vAlign w:val="bottom"/>
          </w:tcPr>
          <w:p>
            <w:pPr>
              <w:spacing w:after="0"/>
              <w:rPr>
                <w:sz w:val="1"/>
                <w:szCs w:val="1"/>
                <w:color w:val="auto"/>
              </w:rPr>
            </w:pPr>
          </w:p>
        </w:tc>
      </w:tr>
      <w:tr>
        <w:trPr>
          <w:trHeight w:val="175"/>
        </w:trPr>
        <w:tc>
          <w:tcPr>
            <w:tcW w:w="2360" w:type="dxa"/>
            <w:vAlign w:val="bottom"/>
          </w:tcPr>
          <w:p>
            <w:pPr>
              <w:spacing w:after="0"/>
              <w:rPr>
                <w:sz w:val="20"/>
                <w:szCs w:val="20"/>
                <w:color w:val="auto"/>
              </w:rPr>
            </w:pPr>
            <w:r>
              <w:rPr>
                <w:rFonts w:ascii="Arial" w:cs="Arial" w:eastAsia="Arial" w:hAnsi="Arial"/>
                <w:sz w:val="14"/>
                <w:szCs w:val="14"/>
                <w:color w:val="auto"/>
              </w:rPr>
              <w:t>Dividend paid</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(52,093)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(52,093)</w:t>
            </w: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(52,093)</w:t>
            </w:r>
          </w:p>
        </w:tc>
        <w:tc>
          <w:tcPr>
            <w:tcW w:w="0" w:type="dxa"/>
            <w:vAlign w:val="bottom"/>
          </w:tcPr>
          <w:p>
            <w:pPr>
              <w:spacing w:after="0"/>
              <w:rPr>
                <w:sz w:val="1"/>
                <w:szCs w:val="1"/>
                <w:color w:val="auto"/>
              </w:rPr>
            </w:pPr>
          </w:p>
        </w:tc>
      </w:tr>
      <w:tr>
        <w:trPr>
          <w:trHeight w:val="175"/>
        </w:trPr>
        <w:tc>
          <w:tcPr>
            <w:tcW w:w="2360" w:type="dxa"/>
            <w:vAlign w:val="bottom"/>
            <w:shd w:val="clear" w:color="auto" w:fill="CFF0FC"/>
          </w:tcPr>
          <w:p>
            <w:pPr>
              <w:spacing w:after="0"/>
              <w:rPr>
                <w:sz w:val="20"/>
                <w:szCs w:val="20"/>
                <w:color w:val="auto"/>
              </w:rPr>
            </w:pPr>
            <w:r>
              <w:rPr>
                <w:rFonts w:ascii="Arial" w:cs="Arial" w:eastAsia="Arial" w:hAnsi="Arial"/>
                <w:sz w:val="14"/>
                <w:szCs w:val="14"/>
                <w:color w:val="auto"/>
              </w:rPr>
              <w:t>Stock-based compensation</w:t>
            </w: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right w:val="single" w:sz="8" w:color="auto"/>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9,224</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9,224</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tcBorders>
              <w:right w:val="single" w:sz="8" w:color="CFF0FC"/>
            </w:tcBorders>
            <w:shd w:val="clear" w:color="auto" w:fill="CFF0FC"/>
          </w:tcPr>
          <w:p>
            <w:pPr>
              <w:jc w:val="right"/>
              <w:ind w:right="9"/>
              <w:spacing w:after="0"/>
              <w:rPr>
                <w:sz w:val="20"/>
                <w:szCs w:val="20"/>
                <w:color w:val="auto"/>
              </w:rPr>
            </w:pPr>
            <w:r>
              <w:rPr>
                <w:rFonts w:ascii="Arial" w:cs="Arial" w:eastAsia="Arial" w:hAnsi="Arial"/>
                <w:sz w:val="14"/>
                <w:szCs w:val="14"/>
                <w:color w:val="auto"/>
              </w:rPr>
              <w:t>9,224</w:t>
            </w:r>
          </w:p>
        </w:tc>
        <w:tc>
          <w:tcPr>
            <w:tcW w:w="0" w:type="dxa"/>
            <w:vAlign w:val="bottom"/>
          </w:tcPr>
          <w:p>
            <w:pPr>
              <w:spacing w:after="0"/>
              <w:rPr>
                <w:sz w:val="1"/>
                <w:szCs w:val="1"/>
                <w:color w:val="auto"/>
              </w:rPr>
            </w:pPr>
          </w:p>
        </w:tc>
      </w:tr>
      <w:tr>
        <w:trPr>
          <w:trHeight w:val="176"/>
        </w:trPr>
        <w:tc>
          <w:tcPr>
            <w:tcW w:w="2360" w:type="dxa"/>
            <w:vAlign w:val="bottom"/>
          </w:tcPr>
          <w:p>
            <w:pPr>
              <w:spacing w:after="0"/>
              <w:rPr>
                <w:sz w:val="20"/>
                <w:szCs w:val="20"/>
                <w:color w:val="auto"/>
              </w:rPr>
            </w:pPr>
            <w:r>
              <w:rPr>
                <w:rFonts w:ascii="Arial" w:cs="Arial" w:eastAsia="Arial" w:hAnsi="Arial"/>
                <w:sz w:val="14"/>
                <w:szCs w:val="14"/>
                <w:color w:val="auto"/>
              </w:rPr>
              <w:t>Conversion of S-Corp to C-Corp</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25,877</w:t>
            </w:r>
          </w:p>
        </w:tc>
        <w:tc>
          <w:tcPr>
            <w:tcW w:w="2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(25,877)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(25,877)</w:t>
            </w: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(25,877)</w:t>
            </w:r>
          </w:p>
        </w:tc>
        <w:tc>
          <w:tcPr>
            <w:tcW w:w="0" w:type="dxa"/>
            <w:vAlign w:val="bottom"/>
          </w:tcPr>
          <w:p>
            <w:pPr>
              <w:spacing w:after="0"/>
              <w:rPr>
                <w:sz w:val="1"/>
                <w:szCs w:val="1"/>
                <w:color w:val="auto"/>
              </w:rPr>
            </w:pPr>
          </w:p>
        </w:tc>
      </w:tr>
      <w:tr>
        <w:trPr>
          <w:trHeight w:val="175"/>
        </w:trPr>
        <w:tc>
          <w:tcPr>
            <w:tcW w:w="2360" w:type="dxa"/>
            <w:vAlign w:val="bottom"/>
            <w:shd w:val="clear" w:color="auto" w:fill="CFF0FC"/>
          </w:tcPr>
          <w:p>
            <w:pPr>
              <w:spacing w:after="0"/>
              <w:rPr>
                <w:sz w:val="20"/>
                <w:szCs w:val="20"/>
                <w:color w:val="auto"/>
              </w:rPr>
            </w:pPr>
            <w:r>
              <w:rPr>
                <w:rFonts w:ascii="Arial" w:cs="Arial" w:eastAsia="Arial" w:hAnsi="Arial"/>
                <w:sz w:val="14"/>
                <w:szCs w:val="14"/>
                <w:color w:val="auto"/>
              </w:rPr>
              <w:t>IPO proceeds, net</w:t>
            </w: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right w:val="single" w:sz="8" w:color="auto"/>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21,296</w:t>
            </w:r>
          </w:p>
        </w:tc>
        <w:tc>
          <w:tcPr>
            <w:tcW w:w="18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515,582</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536,878</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tcBorders>
              <w:right w:val="single" w:sz="8" w:color="CFF0FC"/>
            </w:tcBorders>
            <w:shd w:val="clear" w:color="auto" w:fill="CFF0FC"/>
          </w:tcPr>
          <w:p>
            <w:pPr>
              <w:jc w:val="right"/>
              <w:ind w:right="9"/>
              <w:spacing w:after="0"/>
              <w:rPr>
                <w:sz w:val="20"/>
                <w:szCs w:val="20"/>
                <w:color w:val="auto"/>
              </w:rPr>
            </w:pPr>
            <w:r>
              <w:rPr>
                <w:rFonts w:ascii="Arial" w:cs="Arial" w:eastAsia="Arial" w:hAnsi="Arial"/>
                <w:sz w:val="14"/>
                <w:szCs w:val="14"/>
                <w:color w:val="auto"/>
              </w:rPr>
              <w:t>536,878</w:t>
            </w:r>
          </w:p>
        </w:tc>
        <w:tc>
          <w:tcPr>
            <w:tcW w:w="0" w:type="dxa"/>
            <w:vAlign w:val="bottom"/>
          </w:tcPr>
          <w:p>
            <w:pPr>
              <w:spacing w:after="0"/>
              <w:rPr>
                <w:sz w:val="1"/>
                <w:szCs w:val="1"/>
                <w:color w:val="auto"/>
              </w:rPr>
            </w:pPr>
          </w:p>
        </w:tc>
      </w:tr>
      <w:tr>
        <w:trPr>
          <w:trHeight w:val="175"/>
        </w:trPr>
        <w:tc>
          <w:tcPr>
            <w:tcW w:w="2360" w:type="dxa"/>
            <w:vAlign w:val="bottom"/>
          </w:tcPr>
          <w:p>
            <w:pPr>
              <w:spacing w:after="0"/>
              <w:rPr>
                <w:sz w:val="20"/>
                <w:szCs w:val="20"/>
                <w:color w:val="auto"/>
              </w:rPr>
            </w:pPr>
            <w:r>
              <w:rPr>
                <w:rFonts w:ascii="Arial" w:cs="Arial" w:eastAsia="Arial" w:hAnsi="Arial"/>
                <w:sz w:val="14"/>
                <w:szCs w:val="14"/>
                <w:color w:val="auto"/>
              </w:rPr>
              <w:t>ESOP shares at redemption value</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675,644</w:t>
            </w:r>
          </w:p>
        </w:tc>
        <w:tc>
          <w:tcPr>
            <w:tcW w:w="2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(516,034)</w:t>
            </w:r>
          </w:p>
        </w:tc>
        <w:tc>
          <w:tcPr>
            <w:tcW w:w="100" w:type="dxa"/>
            <w:vAlign w:val="bottom"/>
          </w:tcPr>
          <w:p>
            <w:pPr>
              <w:spacing w:after="0"/>
              <w:rPr>
                <w:sz w:val="15"/>
                <w:szCs w:val="15"/>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(159,610)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(675,644)</w:t>
            </w: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(675,644)</w:t>
            </w:r>
          </w:p>
        </w:tc>
        <w:tc>
          <w:tcPr>
            <w:tcW w:w="0" w:type="dxa"/>
            <w:vAlign w:val="bottom"/>
          </w:tcPr>
          <w:p>
            <w:pPr>
              <w:spacing w:after="0"/>
              <w:rPr>
                <w:sz w:val="1"/>
                <w:szCs w:val="1"/>
                <w:color w:val="auto"/>
              </w:rPr>
            </w:pPr>
          </w:p>
        </w:tc>
      </w:tr>
      <w:tr>
        <w:trPr>
          <w:trHeight w:val="20"/>
        </w:trPr>
        <w:tc>
          <w:tcPr>
            <w:tcW w:w="2360" w:type="dxa"/>
            <w:vAlign w:val="bottom"/>
            <w:vMerge w:val="restart"/>
            <w:shd w:val="clear" w:color="auto" w:fill="CFF0FC"/>
          </w:tcPr>
          <w:p>
            <w:pPr>
              <w:spacing w:after="0"/>
              <w:rPr>
                <w:sz w:val="20"/>
                <w:szCs w:val="20"/>
                <w:color w:val="auto"/>
              </w:rPr>
            </w:pPr>
            <w:r>
              <w:rPr>
                <w:rFonts w:ascii="Arial" w:cs="Arial" w:eastAsia="Arial" w:hAnsi="Arial"/>
                <w:sz w:val="14"/>
                <w:szCs w:val="14"/>
                <w:b w:val="1"/>
                <w:bCs w:val="1"/>
                <w:color w:val="auto"/>
              </w:rPr>
              <w:t>Balance at September 30, 2019</w:t>
            </w: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tcBorders>
              <w:right w:val="single" w:sz="8" w:color="CFF0F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360" w:type="dxa"/>
            <w:vAlign w:val="bottom"/>
            <w:vMerge w:val="continue"/>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2,577,011</w:t>
            </w:r>
          </w:p>
        </w:tc>
        <w:tc>
          <w:tcPr>
            <w:tcW w:w="240" w:type="dxa"/>
            <w:vAlign w:val="bottom"/>
            <w:tcBorders>
              <w:right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21,296</w:t>
            </w:r>
          </w:p>
        </w:tc>
        <w:tc>
          <w:tcPr>
            <w:tcW w:w="1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 (957,844)</w:t>
            </w: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8,772</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(64,896)</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(17,982)</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(1,010,654)</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28,094</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(982,560)</w:t>
            </w:r>
          </w:p>
        </w:tc>
        <w:tc>
          <w:tcPr>
            <w:tcW w:w="0" w:type="dxa"/>
            <w:vAlign w:val="bottom"/>
          </w:tcPr>
          <w:p>
            <w:pPr>
              <w:spacing w:after="0"/>
              <w:rPr>
                <w:sz w:val="1"/>
                <w:szCs w:val="1"/>
                <w:color w:val="auto"/>
              </w:rPr>
            </w:pPr>
          </w:p>
        </w:tc>
      </w:tr>
      <w:tr>
        <w:trPr>
          <w:trHeight w:val="20"/>
        </w:trPr>
        <w:tc>
          <w:tcPr>
            <w:tcW w:w="23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right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 w:name="page9"/>
    <w:bookmarkEnd w:id="8"/>
    <w:p>
      <w:pPr>
        <w:jc w:val="center"/>
        <w:ind w:right="-59"/>
        <w:spacing w:after="0"/>
        <w:rPr>
          <w:sz w:val="20"/>
          <w:szCs w:val="20"/>
          <w:color w:val="auto"/>
        </w:rPr>
      </w:pPr>
      <w:r>
        <w:rPr>
          <w:rFonts w:ascii="Arial" w:cs="Arial" w:eastAsia="Arial" w:hAnsi="Arial"/>
          <w:sz w:val="18"/>
          <w:szCs w:val="18"/>
          <w:b w:val="1"/>
          <w:bCs w:val="1"/>
          <w:color w:val="auto"/>
        </w:rPr>
        <w:t>Parsons Corporation and Subsidiaries</w:t>
      </w:r>
    </w:p>
    <w:p>
      <w:pPr>
        <w:spacing w:after="0" w:line="2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31" w:lineRule="exact"/>
        <w:rPr>
          <w:sz w:val="20"/>
          <w:szCs w:val="20"/>
          <w:color w:val="auto"/>
        </w:rPr>
      </w:pPr>
    </w:p>
    <w:p>
      <w:pPr>
        <w:ind w:left="640" w:right="8340" w:hanging="632"/>
        <w:spacing w:after="0" w:line="549" w:lineRule="auto"/>
        <w:tabs>
          <w:tab w:leader="none" w:pos="638"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Operations Organization</w:t>
      </w:r>
    </w:p>
    <w:p>
      <w:pPr>
        <w:ind w:right="40" w:firstLine="637"/>
        <w:spacing w:after="0" w:line="243" w:lineRule="auto"/>
        <w:rPr>
          <w:sz w:val="20"/>
          <w:szCs w:val="20"/>
          <w:color w:val="auto"/>
        </w:rPr>
      </w:pPr>
      <w:r>
        <w:rPr>
          <w:rFonts w:ascii="Arial" w:cs="Arial" w:eastAsia="Arial" w:hAnsi="Arial"/>
          <w:sz w:val="18"/>
          <w:szCs w:val="18"/>
          <w:color w:val="auto"/>
        </w:rPr>
        <w:t>Parsons Corporation, a Delaware corporation, and its subsidiaries (collectively, the “Company”) is a leading provider of technology-driven solutions in the defense, intelligence and critical infrastructure markets. We provide software and hardware products, technical services and integrated solutions to support our customers’ missions. We have developed significant expertise and differentiated capabilities in key areas of cybersecurity, intelligence, missile defense, C5ISR, space, geospatial, and connected communities. By combining our talented team of professionals and advanced technology, we help solve complex technical challenges to enable a safer, smarter and more interconnected world.</w:t>
      </w:r>
    </w:p>
    <w:p>
      <w:pPr>
        <w:spacing w:after="0" w:line="280"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Initial Public Offering</w:t>
      </w:r>
    </w:p>
    <w:p>
      <w:pPr>
        <w:spacing w:after="0" w:line="214" w:lineRule="exact"/>
        <w:rPr>
          <w:sz w:val="20"/>
          <w:szCs w:val="20"/>
          <w:color w:val="auto"/>
        </w:rPr>
      </w:pPr>
    </w:p>
    <w:p>
      <w:pPr>
        <w:ind w:right="20" w:firstLine="637"/>
        <w:spacing w:after="0" w:line="243" w:lineRule="auto"/>
        <w:rPr>
          <w:sz w:val="20"/>
          <w:szCs w:val="20"/>
          <w:color w:val="auto"/>
        </w:rPr>
      </w:pPr>
      <w:r>
        <w:rPr>
          <w:rFonts w:ascii="Arial" w:cs="Arial" w:eastAsia="Arial" w:hAnsi="Arial"/>
          <w:sz w:val="18"/>
          <w:szCs w:val="18"/>
          <w:color w:val="auto"/>
        </w:rPr>
        <w:t>On May 8, 2019, the Company consummated its initial public offering (“IPO”) whereby the Company sold 18,518,500 shares of common stock for $27.00 per share. The underwriters exercised their option on May 14, 2019 to purchase an additional 2,777,775 shares at the net price of $25.515 which was the IPO share price of $27.00 less the underwriting discount of $1.485 per share. The net proceeds of the IPO and the underwriters’ option were $536.9 million, after deducting underwriting discounts and other fees, and were used to fund an IPO dividend of $52.1 million, repay the outstanding balance of $150.0 million under our Term Loan, and repay outstanding indebtedness under our Revolving Credit Facility.</w:t>
      </w:r>
    </w:p>
    <w:p>
      <w:pPr>
        <w:spacing w:after="0" w:line="280"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Stock Dividend</w:t>
      </w:r>
    </w:p>
    <w:p>
      <w:pPr>
        <w:spacing w:after="0" w:line="214" w:lineRule="exact"/>
        <w:rPr>
          <w:sz w:val="20"/>
          <w:szCs w:val="20"/>
          <w:color w:val="auto"/>
        </w:rPr>
      </w:pPr>
    </w:p>
    <w:p>
      <w:pPr>
        <w:ind w:right="220" w:firstLine="637"/>
        <w:spacing w:after="0" w:line="245" w:lineRule="auto"/>
        <w:rPr>
          <w:sz w:val="20"/>
          <w:szCs w:val="20"/>
          <w:color w:val="auto"/>
        </w:rPr>
      </w:pPr>
      <w:r>
        <w:rPr>
          <w:rFonts w:ascii="Arial" w:cs="Arial" w:eastAsia="Arial" w:hAnsi="Arial"/>
          <w:sz w:val="18"/>
          <w:szCs w:val="18"/>
          <w:color w:val="auto"/>
        </w:rPr>
        <w:t>On April 15, 2019, the board of directors of the Company declared a common stock dividend in a ratio of two shares of common stock for every one share of common stock presently held by the Company’s stockholder (the “Stock Dividend”). The record date of this common Stock Dividend was May 7, 2019, the day immediately prior to the consummation of the Company’s IPO on May 8, 2019, and the payment date of the Stock Dividend was May 8, 2019. Purchasers of the Company’s common stock in the Company’s public offering were not entitled to receive any portion of the Stock Dividend.</w:t>
      </w:r>
    </w:p>
    <w:p>
      <w:pPr>
        <w:spacing w:after="0" w:line="170" w:lineRule="exact"/>
        <w:rPr>
          <w:sz w:val="20"/>
          <w:szCs w:val="20"/>
          <w:color w:val="auto"/>
        </w:rPr>
      </w:pPr>
    </w:p>
    <w:p>
      <w:pPr>
        <w:ind w:left="640" w:hanging="632"/>
        <w:spacing w:after="0"/>
        <w:tabs>
          <w:tab w:leader="none" w:pos="6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Principles of Consolidation</w:t>
      </w:r>
    </w:p>
    <w:p>
      <w:pPr>
        <w:spacing w:after="0" w:line="214" w:lineRule="exact"/>
        <w:rPr>
          <w:sz w:val="20"/>
          <w:szCs w:val="20"/>
          <w:color w:val="auto"/>
        </w:rPr>
      </w:pPr>
    </w:p>
    <w:p>
      <w:pPr>
        <w:ind w:right="360" w:firstLine="637"/>
        <w:spacing w:after="0" w:line="245" w:lineRule="auto"/>
        <w:rPr>
          <w:sz w:val="20"/>
          <w:szCs w:val="20"/>
          <w:color w:val="auto"/>
        </w:rPr>
      </w:pPr>
      <w:r>
        <w:rPr>
          <w:rFonts w:ascii="Arial" w:cs="Arial" w:eastAsia="Arial" w:hAnsi="Arial"/>
          <w:sz w:val="18"/>
          <w:szCs w:val="18"/>
          <w:color w:val="auto"/>
        </w:rPr>
        <w:t>The accompanying unaudited consolidated financial statements and related notes of the Company have been prepared in accordance with generally accepted accounting principles in the United States of America ("GAAP") and pursuant to the interim period reporting requirements of Form 10-Q. They do not include all of the information and footnotes required by GAAP for complete financial statements and, therefore, should be read in conjunction with our consolidated financial statements and the notes thereto included in the Company’s Annual Report on Form 10-K for the year ended December 31, 2019.</w:t>
      </w:r>
    </w:p>
    <w:p>
      <w:pPr>
        <w:spacing w:after="0" w:line="172" w:lineRule="exact"/>
        <w:rPr>
          <w:sz w:val="20"/>
          <w:szCs w:val="20"/>
          <w:color w:val="auto"/>
        </w:rPr>
      </w:pPr>
    </w:p>
    <w:p>
      <w:pPr>
        <w:ind w:right="20" w:firstLine="637"/>
        <w:spacing w:after="0" w:line="255" w:lineRule="auto"/>
        <w:rPr>
          <w:sz w:val="20"/>
          <w:szCs w:val="20"/>
          <w:color w:val="auto"/>
        </w:rPr>
      </w:pPr>
      <w:r>
        <w:rPr>
          <w:rFonts w:ascii="Arial" w:cs="Arial" w:eastAsia="Arial" w:hAnsi="Arial"/>
          <w:sz w:val="18"/>
          <w:szCs w:val="18"/>
          <w:color w:val="auto"/>
        </w:rPr>
        <w:t>In the opinion of management, the consolidated financial statements reflect all normal recurring adjustments necessary for a fair statement of the financial position, results of operations and cash flows for the interim periods presented. The results of operations and cash flows for any interim period are not necessarily indicative of results for the full year or for future years.</w:t>
      </w:r>
    </w:p>
    <w:p>
      <w:pPr>
        <w:spacing w:after="0" w:line="164" w:lineRule="exact"/>
        <w:rPr>
          <w:sz w:val="20"/>
          <w:szCs w:val="20"/>
          <w:color w:val="auto"/>
        </w:rPr>
      </w:pPr>
    </w:p>
    <w:p>
      <w:pPr>
        <w:ind w:firstLine="637"/>
        <w:spacing w:after="0" w:line="245" w:lineRule="auto"/>
        <w:rPr>
          <w:sz w:val="20"/>
          <w:szCs w:val="20"/>
          <w:color w:val="auto"/>
        </w:rPr>
      </w:pPr>
      <w:r>
        <w:rPr>
          <w:rFonts w:ascii="Arial" w:cs="Arial" w:eastAsia="Arial" w:hAnsi="Arial"/>
          <w:sz w:val="18"/>
          <w:szCs w:val="18"/>
          <w:color w:val="auto"/>
        </w:rPr>
        <w:t>This Quarterly Report on Form 10-Q includes the accounts of Parsons Corporation and its subsidiaries and affiliates which it controls. Interests in joint ventures that are controlled by the Company, or for which the Company is otherwise deemed to be the primary beneficiary, are consolidated. For joint ventures in which the Company does not have a controlling interest, but exerts a significant influence, the Company applies the equity method of accounting. (see “Note 14 – Investments in and Advances to Joint Ventures" for further discussion). Intercompany accounts and transactions are eliminated in consolidation.</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1" w:right="379" w:bottom="1440" w:gutter="0" w:footer="0" w:header="0"/>
        </w:sectPr>
      </w:pPr>
    </w:p>
    <w:bookmarkStart w:id="9" w:name="page10"/>
    <w:bookmarkEnd w:id="9"/>
    <w:p>
      <w:pPr>
        <w:ind w:left="640"/>
        <w:spacing w:after="0"/>
        <w:rPr>
          <w:sz w:val="20"/>
          <w:szCs w:val="20"/>
          <w:color w:val="auto"/>
        </w:rPr>
      </w:pPr>
      <w:r>
        <w:rPr>
          <w:rFonts w:ascii="Arial" w:cs="Arial" w:eastAsia="Arial" w:hAnsi="Arial"/>
          <w:sz w:val="18"/>
          <w:szCs w:val="18"/>
          <w:b w:val="1"/>
          <w:bCs w:val="1"/>
          <w:color w:val="auto"/>
        </w:rPr>
        <w:t>Use of Estimates</w:t>
      </w:r>
    </w:p>
    <w:p>
      <w:pPr>
        <w:spacing w:after="0" w:line="106" w:lineRule="exact"/>
        <w:rPr>
          <w:sz w:val="20"/>
          <w:szCs w:val="20"/>
          <w:color w:val="auto"/>
        </w:rPr>
      </w:pPr>
    </w:p>
    <w:p>
      <w:pPr>
        <w:ind w:firstLine="637"/>
        <w:spacing w:after="0" w:line="239" w:lineRule="auto"/>
        <w:rPr>
          <w:sz w:val="20"/>
          <w:szCs w:val="20"/>
          <w:color w:val="auto"/>
        </w:rPr>
      </w:pPr>
      <w:r>
        <w:rPr>
          <w:rFonts w:ascii="Arial" w:cs="Arial" w:eastAsia="Arial" w:hAnsi="Arial"/>
          <w:sz w:val="18"/>
          <w:szCs w:val="18"/>
          <w:color w:val="auto"/>
        </w:rPr>
        <w:t>The preparation of the consolidated financial statements in accordance with GAAP requires management to make estimates and assumptions that affect the reported amounts of assets and liabilities at the date of the financial statements and the reported amounts of revenues and expenses during the reporting period. Actual amounts could differ from those estimates. The Company’s most significant estimates and judgments involve revenue recognition with respect to the determination of the costs to complete contracts and transaction price; determination of self-insurance reserves; useful lives of property and equipment and intangible assets; calculation of allowance for doubtful accounts; valuation of deferred income tax assets and uncertain tax positions, among others. Please see “Management’s Discussion and Analysis of Financial Condition and Results of Operations—Critical Accounting Policies and Estimates” and “Note 2—Summary of Significant Accounting Polices” in the notes to our consolidated financial statements included in the Company’s Form 10-K for the year ended December 31, 2019, for a discussion of the significant estimates and assumptions affecting our consolidated financial statements. Estimates of costs to complete contracts are continually evaluated as work progresses and are revised when necessary. When a change in estimate is determined to have an impact on contract profit, the Company records a positive or negative adjustment to the consolidated statement of</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income.</w:t>
      </w:r>
    </w:p>
    <w:p>
      <w:pPr>
        <w:spacing w:after="0" w:line="210"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Employee Stock Purchase Plan</w:t>
      </w:r>
    </w:p>
    <w:p>
      <w:pPr>
        <w:spacing w:after="0" w:line="106" w:lineRule="exact"/>
        <w:rPr>
          <w:sz w:val="20"/>
          <w:szCs w:val="20"/>
          <w:color w:val="auto"/>
        </w:rPr>
      </w:pPr>
    </w:p>
    <w:p>
      <w:pPr>
        <w:jc w:val="both"/>
        <w:ind w:right="20" w:firstLine="637"/>
        <w:spacing w:after="0" w:line="243" w:lineRule="auto"/>
        <w:rPr>
          <w:sz w:val="20"/>
          <w:szCs w:val="20"/>
          <w:color w:val="auto"/>
        </w:rPr>
      </w:pPr>
      <w:r>
        <w:rPr>
          <w:rFonts w:ascii="Arial" w:cs="Arial" w:eastAsia="Arial" w:hAnsi="Arial"/>
          <w:sz w:val="18"/>
          <w:szCs w:val="18"/>
          <w:color w:val="auto"/>
        </w:rPr>
        <w:t>During the second quarter of fiscal 2020, initial purchases of the Company’s common Stock were made under the Parsons Employee Stock Purchase Program (“ESPP”). Under the ESPP, eligible employees who elect to participate are granted the right to purchase shares of the common stock of Parsons at a discount that is limited to 5% of the per-share market value on the day shares are sold to</w:t>
      </w:r>
    </w:p>
    <w:p>
      <w:pPr>
        <w:spacing w:after="0" w:line="1" w:lineRule="exact"/>
        <w:rPr>
          <w:sz w:val="20"/>
          <w:szCs w:val="20"/>
          <w:color w:val="auto"/>
        </w:rPr>
      </w:pPr>
    </w:p>
    <w:p>
      <w:pPr>
        <w:ind w:right="420"/>
        <w:spacing w:after="0" w:line="250" w:lineRule="auto"/>
        <w:rPr>
          <w:sz w:val="20"/>
          <w:szCs w:val="20"/>
          <w:color w:val="auto"/>
        </w:rPr>
      </w:pPr>
      <w:r>
        <w:rPr>
          <w:rFonts w:ascii="Arial" w:cs="Arial" w:eastAsia="Arial" w:hAnsi="Arial"/>
          <w:sz w:val="18"/>
          <w:szCs w:val="18"/>
          <w:color w:val="auto"/>
        </w:rPr>
        <w:t>employees. Purchases of common stock under the ESPP are included in “proceeds from issuance of common stock” in cash flows from financing activities in the Consolidated Statements of Cash Flows.</w:t>
      </w:r>
    </w:p>
    <w:p>
      <w:pPr>
        <w:spacing w:after="0" w:line="274" w:lineRule="exact"/>
        <w:rPr>
          <w:sz w:val="20"/>
          <w:szCs w:val="20"/>
          <w:color w:val="auto"/>
        </w:rPr>
      </w:pPr>
    </w:p>
    <w:p>
      <w:pPr>
        <w:ind w:left="640" w:hanging="632"/>
        <w:spacing w:after="0"/>
        <w:tabs>
          <w:tab w:leader="none" w:pos="6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New Accounting Pronouncements</w:t>
      </w:r>
    </w:p>
    <w:p>
      <w:pPr>
        <w:spacing w:after="0" w:line="214" w:lineRule="exact"/>
        <w:rPr>
          <w:sz w:val="20"/>
          <w:szCs w:val="20"/>
          <w:color w:val="auto"/>
        </w:rPr>
      </w:pPr>
    </w:p>
    <w:p>
      <w:pPr>
        <w:ind w:right="60" w:firstLine="510"/>
        <w:spacing w:after="0" w:line="248" w:lineRule="auto"/>
        <w:rPr>
          <w:sz w:val="20"/>
          <w:szCs w:val="20"/>
          <w:color w:val="auto"/>
        </w:rPr>
      </w:pPr>
      <w:r>
        <w:rPr>
          <w:rFonts w:ascii="Arial" w:cs="Arial" w:eastAsia="Arial" w:hAnsi="Arial"/>
          <w:sz w:val="18"/>
          <w:szCs w:val="18"/>
          <w:color w:val="auto"/>
        </w:rPr>
        <w:t>In the first quarter of 2020, the Company adopted Accounting Standards Update (“ASU”) 2016-13, “Measurement of Credit Losses on Financial Instruments.” The amendments in ASU 2016-13 replace the incurred loss impairment methodology in current practice with a methodology that reflects expected credit losses and requires consideration of a broader range of reasonable and supportable information to estimate credit losses. The adoption of ASU 2016-13 did not have a material impact on the Company’s consolidated financial statements.</w:t>
      </w:r>
    </w:p>
    <w:p>
      <w:pPr>
        <w:spacing w:after="0" w:line="170" w:lineRule="exact"/>
        <w:rPr>
          <w:sz w:val="20"/>
          <w:szCs w:val="20"/>
          <w:color w:val="auto"/>
        </w:rPr>
      </w:pPr>
    </w:p>
    <w:p>
      <w:pPr>
        <w:ind w:right="120" w:firstLine="510"/>
        <w:spacing w:after="0" w:line="241" w:lineRule="auto"/>
        <w:rPr>
          <w:sz w:val="20"/>
          <w:szCs w:val="20"/>
          <w:color w:val="auto"/>
        </w:rPr>
      </w:pPr>
      <w:r>
        <w:rPr>
          <w:rFonts w:ascii="Arial" w:cs="Arial" w:eastAsia="Arial" w:hAnsi="Arial"/>
          <w:sz w:val="18"/>
          <w:szCs w:val="18"/>
          <w:color w:val="auto"/>
        </w:rPr>
        <w:t>In December 2019, the Financial Accounting Standards Board (“FASB”) issued ASU No. 2019-12, Income Taxes (Topic 740): Simplifying the Accounting for Income Taxes (“ASU 2019-12”). ASU 2019-12 was issued as a means to reduce the complexity of accounting for income taxes for those entities that fall within the scope of the standard. The guidance is to be applied using a prospective method, excluding amendments related to franchise taxes, which should be applied on either a retrospective basis for all periods presented or a modified retrospective basis through a cumulative-effect adjustment to retained earnings as of the beginning of the fiscal year of adoption. ASU 2019-12 is effective for fiscal years beginning after December 15, 2020, with early adoption permitted. The Company does not expect this standard to have a material impact on its consolidated financial statements.</w:t>
      </w:r>
    </w:p>
    <w:p>
      <w:pPr>
        <w:spacing w:after="0" w:line="179" w:lineRule="exact"/>
        <w:rPr>
          <w:sz w:val="20"/>
          <w:szCs w:val="20"/>
          <w:color w:val="auto"/>
        </w:rPr>
      </w:pPr>
    </w:p>
    <w:p>
      <w:pPr>
        <w:ind w:right="40" w:firstLine="510"/>
        <w:spacing w:after="0"/>
        <w:rPr>
          <w:sz w:val="20"/>
          <w:szCs w:val="20"/>
          <w:color w:val="auto"/>
        </w:rPr>
      </w:pPr>
      <w:r>
        <w:rPr>
          <w:rFonts w:ascii="Arial" w:cs="Arial" w:eastAsia="Arial" w:hAnsi="Arial"/>
          <w:sz w:val="18"/>
          <w:szCs w:val="18"/>
          <w:color w:val="auto"/>
        </w:rPr>
        <w:t>In August 2020, the FASB issued ASU 2020-06, Debt – Debt with Conversion and Other Options (Subtopic 470-20) and Derivatives and Hedging – Contracts in Entity’s Own Equity (Subtopic 815-40). The update simplifies the accounting for convertible debt instruments and convertible preferred stock by reducing the number of accounting models and limiting the number of embedded conversion features separately recognized from the primary contract. The guidance also includes targeted improvements to the disclosures for convertible instruments and earnings per share. ASU 2020-06 is effective for fiscal years beginning after December 15, 2021, including interim periods within those fiscal years. Early adoption is permitted, but no earlier than fiscal years beginning after December 15, 2020. The Company expects to early adopt this standard using the modified retrospective method. The Company is evaluating the impact of the adoption on its consolidated financial statements, and expects it will result in a reduction in non-cash interest expense and a reclassification of the equity portion of the Convertible Senior Notes to liabilities on the consolidated balance sheet.</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7" w:right="339" w:bottom="1440" w:gutter="0" w:footer="0" w:header="0"/>
        </w:sectPr>
      </w:pPr>
    </w:p>
    <w:bookmarkStart w:id="10" w:name="page11"/>
    <w:bookmarkEnd w:id="10"/>
    <w:p>
      <w:pPr>
        <w:ind w:left="640" w:hanging="632"/>
        <w:spacing w:after="0"/>
        <w:tabs>
          <w:tab w:leader="none" w:pos="6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OGSystems</w:t>
      </w:r>
    </w:p>
    <w:p>
      <w:pPr>
        <w:spacing w:after="0" w:line="10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On January 7, 2019, the Company acquired a 100% ownership interest in OGSystems, a privately-owned company, for $292.4 million</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paid in cash. OGSystems provides geospatial intelligence, big data analytics and threat mitigation for defense and intelligence</w:t>
      </w:r>
    </w:p>
    <w:p>
      <w:pPr>
        <w:spacing w:after="0"/>
        <w:rPr>
          <w:sz w:val="20"/>
          <w:szCs w:val="20"/>
          <w:color w:val="auto"/>
        </w:rPr>
      </w:pPr>
      <w:r>
        <w:rPr>
          <w:rFonts w:ascii="Arial" w:cs="Arial" w:eastAsia="Arial" w:hAnsi="Arial"/>
          <w:sz w:val="18"/>
          <w:szCs w:val="18"/>
          <w:color w:val="auto"/>
        </w:rPr>
        <w:t>customers. The Company borrowed $110 million under the Credit Agreement and $150 million on a short-term loan, as described in “Note</w:t>
      </w:r>
    </w:p>
    <w:p>
      <w:pPr>
        <w:spacing w:after="0" w:line="14" w:lineRule="exact"/>
        <w:rPr>
          <w:sz w:val="20"/>
          <w:szCs w:val="20"/>
          <w:color w:val="auto"/>
        </w:rPr>
      </w:pPr>
    </w:p>
    <w:p>
      <w:pPr>
        <w:jc w:val="both"/>
        <w:ind w:right="220"/>
        <w:spacing w:after="0" w:line="243" w:lineRule="auto"/>
        <w:rPr>
          <w:sz w:val="20"/>
          <w:szCs w:val="20"/>
          <w:color w:val="auto"/>
        </w:rPr>
      </w:pPr>
      <w:r>
        <w:rPr>
          <w:rFonts w:ascii="Arial" w:cs="Arial" w:eastAsia="Arial" w:hAnsi="Arial"/>
          <w:sz w:val="18"/>
          <w:szCs w:val="18"/>
          <w:color w:val="auto"/>
        </w:rPr>
        <w:t>10—</w:t>
      </w:r>
      <w:r>
        <w:rPr>
          <w:rFonts w:ascii="Arial" w:cs="Arial" w:eastAsia="Arial" w:hAnsi="Arial"/>
          <w:sz w:val="18"/>
          <w:szCs w:val="18"/>
          <w:i w:val="1"/>
          <w:iCs w:val="1"/>
          <w:color w:val="auto"/>
        </w:rPr>
        <w:t>Debt and Credit Facilities</w:t>
      </w:r>
      <w:r>
        <w:rPr>
          <w:rFonts w:ascii="Arial" w:cs="Arial" w:eastAsia="Arial" w:hAnsi="Arial"/>
          <w:sz w:val="18"/>
          <w:szCs w:val="18"/>
          <w:color w:val="auto"/>
        </w:rPr>
        <w:t>,” to partially fund the acquisition. In connection with this acquisition, the Company recognized $5.4 million of acquisition-related expenses in “Indirect, general and administrative expense” in the consolidated statements of income for the year ended December 31, 2019, including legal fees, consulting fees, and other miscellaneous direct expenses associated with the acquisition.</w:t>
      </w:r>
    </w:p>
    <w:p>
      <w:pPr>
        <w:spacing w:after="0" w:line="1" w:lineRule="exact"/>
        <w:rPr>
          <w:sz w:val="20"/>
          <w:szCs w:val="20"/>
          <w:color w:val="auto"/>
        </w:rPr>
      </w:pPr>
    </w:p>
    <w:p>
      <w:pPr>
        <w:ind w:right="80"/>
        <w:spacing w:after="0" w:line="242" w:lineRule="auto"/>
        <w:rPr>
          <w:sz w:val="20"/>
          <w:szCs w:val="20"/>
          <w:color w:val="auto"/>
        </w:rPr>
      </w:pPr>
      <w:r>
        <w:rPr>
          <w:rFonts w:ascii="Arial" w:cs="Arial" w:eastAsia="Arial" w:hAnsi="Arial"/>
          <w:sz w:val="18"/>
          <w:szCs w:val="18"/>
          <w:color w:val="auto"/>
        </w:rPr>
        <w:t>OGSystems enhances the Company’s artificial intelligence and data analytics expertise with new technologies and solutions. Customers of both companies will benefit from existing, complementary technologies and increased scale, enabling end-to-end solutions under the shared vision of rapid prototyping and agile development.</w:t>
      </w:r>
    </w:p>
    <w:p>
      <w:pPr>
        <w:spacing w:after="0" w:line="175" w:lineRule="exact"/>
        <w:rPr>
          <w:sz w:val="20"/>
          <w:szCs w:val="20"/>
          <w:color w:val="auto"/>
        </w:rPr>
      </w:pPr>
    </w:p>
    <w:p>
      <w:pPr>
        <w:ind w:right="220" w:firstLine="510"/>
        <w:spacing w:after="0" w:line="276" w:lineRule="auto"/>
        <w:rPr>
          <w:sz w:val="20"/>
          <w:szCs w:val="20"/>
          <w:color w:val="auto"/>
        </w:rPr>
      </w:pPr>
      <w:r>
        <w:rPr>
          <w:rFonts w:ascii="Arial" w:cs="Arial" w:eastAsia="Arial" w:hAnsi="Arial"/>
          <w:sz w:val="18"/>
          <w:szCs w:val="18"/>
          <w:color w:val="auto"/>
        </w:rPr>
        <w:t>The following table summarizes the estimated fair values of the assets acquired and liabilities assumed based on the purchase price allocation as of the date of acquisition (in thousands):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9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8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Amount</w:t>
            </w:r>
          </w:p>
        </w:tc>
      </w:tr>
      <w:tr>
        <w:trPr>
          <w:trHeight w:val="210"/>
        </w:trPr>
        <w:tc>
          <w:tcPr>
            <w:tcW w:w="9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420" w:type="dxa"/>
            <w:vAlign w:val="bottom"/>
            <w:tcBorders>
              <w:top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5,772</w:t>
            </w:r>
          </w:p>
        </w:tc>
        <w:tc>
          <w:tcPr>
            <w:tcW w:w="120" w:type="dxa"/>
            <w:vAlign w:val="bottom"/>
            <w:tcBorders>
              <w:top w:val="single" w:sz="8" w:color="CFF0FC"/>
            </w:tcBorders>
            <w:shd w:val="clear" w:color="auto" w:fill="CFF0FC"/>
          </w:tcPr>
          <w:p>
            <w:pPr>
              <w:spacing w:after="0"/>
              <w:rPr>
                <w:sz w:val="18"/>
                <w:szCs w:val="18"/>
                <w:color w:val="auto"/>
              </w:rPr>
            </w:pPr>
          </w:p>
        </w:tc>
      </w:tr>
      <w:tr>
        <w:trPr>
          <w:trHeight w:val="216"/>
        </w:trPr>
        <w:tc>
          <w:tcPr>
            <w:tcW w:w="9140" w:type="dxa"/>
            <w:vAlign w:val="bottom"/>
          </w:tcPr>
          <w:p>
            <w:pPr>
              <w:spacing w:after="0"/>
              <w:rPr>
                <w:sz w:val="20"/>
                <w:szCs w:val="20"/>
                <w:color w:val="auto"/>
              </w:rPr>
            </w:pPr>
            <w:r>
              <w:rPr>
                <w:rFonts w:ascii="Arial" w:cs="Arial" w:eastAsia="Arial" w:hAnsi="Arial"/>
                <w:sz w:val="18"/>
                <w:szCs w:val="18"/>
                <w:color w:val="auto"/>
              </w:rPr>
              <w:t>Accounts receivable</w:t>
            </w:r>
          </w:p>
        </w:tc>
        <w:tc>
          <w:tcPr>
            <w:tcW w:w="4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9,904</w:t>
            </w:r>
          </w:p>
        </w:tc>
        <w:tc>
          <w:tcPr>
            <w:tcW w:w="120" w:type="dxa"/>
            <w:vAlign w:val="bottom"/>
          </w:tcPr>
          <w:p>
            <w:pPr>
              <w:spacing w:after="0"/>
              <w:rPr>
                <w:sz w:val="18"/>
                <w:szCs w:val="18"/>
                <w:color w:val="auto"/>
              </w:rPr>
            </w:pPr>
          </w:p>
        </w:tc>
      </w:tr>
      <w:tr>
        <w:trPr>
          <w:trHeight w:val="216"/>
        </w:trPr>
        <w:tc>
          <w:tcPr>
            <w:tcW w:w="9140" w:type="dxa"/>
            <w:vAlign w:val="bottom"/>
            <w:shd w:val="clear" w:color="auto" w:fill="CFF0FC"/>
          </w:tcPr>
          <w:p>
            <w:pPr>
              <w:spacing w:after="0"/>
              <w:rPr>
                <w:sz w:val="20"/>
                <w:szCs w:val="20"/>
                <w:color w:val="auto"/>
              </w:rPr>
            </w:pPr>
            <w:r>
              <w:rPr>
                <w:rFonts w:ascii="Arial" w:cs="Arial" w:eastAsia="Arial" w:hAnsi="Arial"/>
                <w:sz w:val="18"/>
                <w:szCs w:val="18"/>
                <w:color w:val="auto"/>
              </w:rPr>
              <w:t>Contract assets</w:t>
            </w:r>
          </w:p>
        </w:tc>
        <w:tc>
          <w:tcPr>
            <w:tcW w:w="42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9,747</w:t>
            </w:r>
          </w:p>
        </w:tc>
        <w:tc>
          <w:tcPr>
            <w:tcW w:w="120" w:type="dxa"/>
            <w:vAlign w:val="bottom"/>
            <w:shd w:val="clear" w:color="auto" w:fill="CFF0FC"/>
          </w:tcPr>
          <w:p>
            <w:pPr>
              <w:spacing w:after="0"/>
              <w:rPr>
                <w:sz w:val="18"/>
                <w:szCs w:val="18"/>
                <w:color w:val="auto"/>
              </w:rPr>
            </w:pPr>
          </w:p>
        </w:tc>
      </w:tr>
      <w:tr>
        <w:trPr>
          <w:trHeight w:val="216"/>
        </w:trPr>
        <w:tc>
          <w:tcPr>
            <w:tcW w:w="914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4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4,307</w:t>
            </w:r>
          </w:p>
        </w:tc>
        <w:tc>
          <w:tcPr>
            <w:tcW w:w="120" w:type="dxa"/>
            <w:vAlign w:val="bottom"/>
          </w:tcPr>
          <w:p>
            <w:pPr>
              <w:spacing w:after="0"/>
              <w:rPr>
                <w:sz w:val="18"/>
                <w:szCs w:val="18"/>
                <w:color w:val="auto"/>
              </w:rPr>
            </w:pPr>
          </w:p>
        </w:tc>
      </w:tr>
      <w:tr>
        <w:trPr>
          <w:trHeight w:val="216"/>
        </w:trPr>
        <w:tc>
          <w:tcPr>
            <w:tcW w:w="914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w:t>
            </w:r>
          </w:p>
        </w:tc>
        <w:tc>
          <w:tcPr>
            <w:tcW w:w="42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4,085</w:t>
            </w:r>
          </w:p>
        </w:tc>
        <w:tc>
          <w:tcPr>
            <w:tcW w:w="120" w:type="dxa"/>
            <w:vAlign w:val="bottom"/>
            <w:shd w:val="clear" w:color="auto" w:fill="CFF0FC"/>
          </w:tcPr>
          <w:p>
            <w:pPr>
              <w:spacing w:after="0"/>
              <w:rPr>
                <w:sz w:val="18"/>
                <w:szCs w:val="18"/>
                <w:color w:val="auto"/>
              </w:rPr>
            </w:pPr>
          </w:p>
        </w:tc>
      </w:tr>
      <w:tr>
        <w:trPr>
          <w:trHeight w:val="216"/>
        </w:trPr>
        <w:tc>
          <w:tcPr>
            <w:tcW w:w="9140" w:type="dxa"/>
            <w:vAlign w:val="bottom"/>
          </w:tcPr>
          <w:p>
            <w:pPr>
              <w:spacing w:after="0"/>
              <w:rPr>
                <w:sz w:val="20"/>
                <w:szCs w:val="20"/>
                <w:color w:val="auto"/>
              </w:rPr>
            </w:pPr>
            <w:r>
              <w:rPr>
                <w:rFonts w:ascii="Arial" w:cs="Arial" w:eastAsia="Arial" w:hAnsi="Arial"/>
                <w:sz w:val="18"/>
                <w:szCs w:val="18"/>
                <w:color w:val="auto"/>
              </w:rPr>
              <w:t>Right of use assets, operating leases</w:t>
            </w:r>
          </w:p>
        </w:tc>
        <w:tc>
          <w:tcPr>
            <w:tcW w:w="4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8,826</w:t>
            </w:r>
          </w:p>
        </w:tc>
        <w:tc>
          <w:tcPr>
            <w:tcW w:w="120" w:type="dxa"/>
            <w:vAlign w:val="bottom"/>
          </w:tcPr>
          <w:p>
            <w:pPr>
              <w:spacing w:after="0"/>
              <w:rPr>
                <w:sz w:val="18"/>
                <w:szCs w:val="18"/>
                <w:color w:val="auto"/>
              </w:rPr>
            </w:pPr>
          </w:p>
        </w:tc>
      </w:tr>
      <w:tr>
        <w:trPr>
          <w:trHeight w:val="216"/>
        </w:trPr>
        <w:tc>
          <w:tcPr>
            <w:tcW w:w="914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42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183,540</w:t>
            </w:r>
          </w:p>
        </w:tc>
        <w:tc>
          <w:tcPr>
            <w:tcW w:w="120" w:type="dxa"/>
            <w:vAlign w:val="bottom"/>
            <w:shd w:val="clear" w:color="auto" w:fill="CFF0FC"/>
          </w:tcPr>
          <w:p>
            <w:pPr>
              <w:spacing w:after="0"/>
              <w:rPr>
                <w:sz w:val="18"/>
                <w:szCs w:val="18"/>
                <w:color w:val="auto"/>
              </w:rPr>
            </w:pPr>
          </w:p>
        </w:tc>
      </w:tr>
      <w:tr>
        <w:trPr>
          <w:trHeight w:val="216"/>
        </w:trPr>
        <w:tc>
          <w:tcPr>
            <w:tcW w:w="9140" w:type="dxa"/>
            <w:vAlign w:val="bottom"/>
          </w:tcPr>
          <w:p>
            <w:pPr>
              <w:spacing w:after="0"/>
              <w:rPr>
                <w:sz w:val="20"/>
                <w:szCs w:val="20"/>
                <w:color w:val="auto"/>
              </w:rPr>
            </w:pPr>
            <w:r>
              <w:rPr>
                <w:rFonts w:ascii="Arial" w:cs="Arial" w:eastAsia="Arial" w:hAnsi="Arial"/>
                <w:sz w:val="18"/>
                <w:szCs w:val="18"/>
                <w:color w:val="auto"/>
              </w:rPr>
              <w:t>Intangible assets</w:t>
            </w:r>
          </w:p>
        </w:tc>
        <w:tc>
          <w:tcPr>
            <w:tcW w:w="4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92,300</w:t>
            </w:r>
          </w:p>
        </w:tc>
        <w:tc>
          <w:tcPr>
            <w:tcW w:w="120" w:type="dxa"/>
            <w:vAlign w:val="bottom"/>
          </w:tcPr>
          <w:p>
            <w:pPr>
              <w:spacing w:after="0"/>
              <w:rPr>
                <w:sz w:val="18"/>
                <w:szCs w:val="18"/>
                <w:color w:val="auto"/>
              </w:rPr>
            </w:pPr>
          </w:p>
        </w:tc>
      </w:tr>
      <w:tr>
        <w:trPr>
          <w:trHeight w:val="216"/>
        </w:trPr>
        <w:tc>
          <w:tcPr>
            <w:tcW w:w="9140" w:type="dxa"/>
            <w:vAlign w:val="bottom"/>
            <w:shd w:val="clear" w:color="auto" w:fill="CFF0FC"/>
          </w:tcPr>
          <w:p>
            <w:pPr>
              <w:spacing w:after="0"/>
              <w:rPr>
                <w:sz w:val="20"/>
                <w:szCs w:val="20"/>
                <w:color w:val="auto"/>
              </w:rPr>
            </w:pPr>
            <w:r>
              <w:rPr>
                <w:rFonts w:ascii="Arial" w:cs="Arial" w:eastAsia="Arial" w:hAnsi="Arial"/>
                <w:sz w:val="18"/>
                <w:szCs w:val="18"/>
                <w:color w:val="auto"/>
              </w:rPr>
              <w:t>Other noncurrent assets</w:t>
            </w:r>
          </w:p>
        </w:tc>
        <w:tc>
          <w:tcPr>
            <w:tcW w:w="42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FF0FC"/>
          </w:tcPr>
          <w:p>
            <w:pPr>
              <w:spacing w:after="0"/>
              <w:rPr>
                <w:sz w:val="18"/>
                <w:szCs w:val="18"/>
                <w:color w:val="auto"/>
              </w:rPr>
            </w:pPr>
          </w:p>
        </w:tc>
      </w:tr>
      <w:tr>
        <w:trPr>
          <w:trHeight w:val="216"/>
        </w:trPr>
        <w:tc>
          <w:tcPr>
            <w:tcW w:w="9140" w:type="dxa"/>
            <w:vAlign w:val="bottom"/>
          </w:tcPr>
          <w:p>
            <w:pPr>
              <w:spacing w:after="0"/>
              <w:rPr>
                <w:sz w:val="20"/>
                <w:szCs w:val="20"/>
                <w:color w:val="auto"/>
              </w:rPr>
            </w:pPr>
            <w:r>
              <w:rPr>
                <w:rFonts w:ascii="Arial" w:cs="Arial" w:eastAsia="Arial" w:hAnsi="Arial"/>
                <w:sz w:val="18"/>
                <w:szCs w:val="18"/>
                <w:color w:val="auto"/>
              </w:rPr>
              <w:t>Accounts payable</w:t>
            </w:r>
          </w:p>
        </w:tc>
        <w:tc>
          <w:tcPr>
            <w:tcW w:w="420" w:type="dxa"/>
            <w:vAlign w:val="bottom"/>
          </w:tcPr>
          <w:p>
            <w:pPr>
              <w:spacing w:after="0"/>
              <w:rPr>
                <w:sz w:val="18"/>
                <w:szCs w:val="18"/>
                <w:color w:val="auto"/>
              </w:rPr>
            </w:pPr>
          </w:p>
        </w:tc>
        <w:tc>
          <w:tcPr>
            <w:tcW w:w="1680" w:type="dxa"/>
            <w:vAlign w:val="bottom"/>
            <w:gridSpan w:val="2"/>
          </w:tcPr>
          <w:p>
            <w:pPr>
              <w:jc w:val="right"/>
              <w:ind w:right="60"/>
              <w:spacing w:after="0"/>
              <w:rPr>
                <w:sz w:val="20"/>
                <w:szCs w:val="20"/>
                <w:color w:val="auto"/>
              </w:rPr>
            </w:pPr>
            <w:r>
              <w:rPr>
                <w:rFonts w:ascii="Arial" w:cs="Arial" w:eastAsia="Arial" w:hAnsi="Arial"/>
                <w:sz w:val="18"/>
                <w:szCs w:val="18"/>
                <w:color w:val="auto"/>
              </w:rPr>
              <w:t>(5,450)</w:t>
            </w:r>
          </w:p>
        </w:tc>
      </w:tr>
      <w:tr>
        <w:trPr>
          <w:trHeight w:val="216"/>
        </w:trPr>
        <w:tc>
          <w:tcPr>
            <w:tcW w:w="9140" w:type="dxa"/>
            <w:vAlign w:val="bottom"/>
            <w:shd w:val="clear" w:color="auto" w:fill="CFF0FC"/>
          </w:tcPr>
          <w:p>
            <w:pPr>
              <w:spacing w:after="0"/>
              <w:rPr>
                <w:sz w:val="20"/>
                <w:szCs w:val="20"/>
                <w:color w:val="auto"/>
              </w:rPr>
            </w:pPr>
            <w:r>
              <w:rPr>
                <w:rFonts w:ascii="Arial" w:cs="Arial" w:eastAsia="Arial" w:hAnsi="Arial"/>
                <w:sz w:val="18"/>
                <w:szCs w:val="18"/>
                <w:color w:val="auto"/>
              </w:rPr>
              <w:t>Accrued expenses and other current liabilities</w:t>
            </w:r>
          </w:p>
        </w:tc>
        <w:tc>
          <w:tcPr>
            <w:tcW w:w="42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(7,147)</w:t>
            </w:r>
          </w:p>
        </w:tc>
      </w:tr>
      <w:tr>
        <w:trPr>
          <w:trHeight w:val="216"/>
        </w:trPr>
        <w:tc>
          <w:tcPr>
            <w:tcW w:w="9140" w:type="dxa"/>
            <w:vAlign w:val="bottom"/>
          </w:tcPr>
          <w:p>
            <w:pPr>
              <w:spacing w:after="0"/>
              <w:rPr>
                <w:sz w:val="20"/>
                <w:szCs w:val="20"/>
                <w:color w:val="auto"/>
              </w:rPr>
            </w:pPr>
            <w:r>
              <w:rPr>
                <w:rFonts w:ascii="Arial" w:cs="Arial" w:eastAsia="Arial" w:hAnsi="Arial"/>
                <w:sz w:val="18"/>
                <w:szCs w:val="18"/>
                <w:color w:val="auto"/>
              </w:rPr>
              <w:t>Contract liabilities</w:t>
            </w:r>
          </w:p>
        </w:tc>
        <w:tc>
          <w:tcPr>
            <w:tcW w:w="420" w:type="dxa"/>
            <w:vAlign w:val="bottom"/>
          </w:tcPr>
          <w:p>
            <w:pPr>
              <w:spacing w:after="0"/>
              <w:rPr>
                <w:sz w:val="18"/>
                <w:szCs w:val="18"/>
                <w:color w:val="auto"/>
              </w:rPr>
            </w:pPr>
          </w:p>
        </w:tc>
        <w:tc>
          <w:tcPr>
            <w:tcW w:w="1680" w:type="dxa"/>
            <w:vAlign w:val="bottom"/>
            <w:gridSpan w:val="2"/>
          </w:tcPr>
          <w:p>
            <w:pPr>
              <w:jc w:val="right"/>
              <w:ind w:right="60"/>
              <w:spacing w:after="0"/>
              <w:rPr>
                <w:sz w:val="20"/>
                <w:szCs w:val="20"/>
                <w:color w:val="auto"/>
              </w:rPr>
            </w:pPr>
            <w:r>
              <w:rPr>
                <w:rFonts w:ascii="Arial" w:cs="Arial" w:eastAsia="Arial" w:hAnsi="Arial"/>
                <w:sz w:val="18"/>
                <w:szCs w:val="18"/>
                <w:color w:val="auto"/>
              </w:rPr>
              <w:t>(1,300)</w:t>
            </w:r>
          </w:p>
        </w:tc>
      </w:tr>
      <w:tr>
        <w:trPr>
          <w:trHeight w:val="216"/>
        </w:trPr>
        <w:tc>
          <w:tcPr>
            <w:tcW w:w="9140" w:type="dxa"/>
            <w:vAlign w:val="bottom"/>
            <w:shd w:val="clear" w:color="auto" w:fill="CFF0FC"/>
          </w:tcPr>
          <w:p>
            <w:pPr>
              <w:spacing w:after="0"/>
              <w:rPr>
                <w:sz w:val="20"/>
                <w:szCs w:val="20"/>
                <w:color w:val="auto"/>
              </w:rPr>
            </w:pPr>
            <w:r>
              <w:rPr>
                <w:rFonts w:ascii="Arial" w:cs="Arial" w:eastAsia="Arial" w:hAnsi="Arial"/>
                <w:sz w:val="18"/>
                <w:szCs w:val="18"/>
                <w:color w:val="auto"/>
              </w:rPr>
              <w:t>Short-term lease liabilities, operating leases</w:t>
            </w:r>
          </w:p>
        </w:tc>
        <w:tc>
          <w:tcPr>
            <w:tcW w:w="42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(805)</w:t>
            </w:r>
          </w:p>
        </w:tc>
      </w:tr>
      <w:tr>
        <w:trPr>
          <w:trHeight w:val="216"/>
        </w:trPr>
        <w:tc>
          <w:tcPr>
            <w:tcW w:w="9140" w:type="dxa"/>
            <w:vAlign w:val="bottom"/>
          </w:tcPr>
          <w:p>
            <w:pPr>
              <w:spacing w:after="0"/>
              <w:rPr>
                <w:sz w:val="20"/>
                <w:szCs w:val="20"/>
                <w:color w:val="auto"/>
              </w:rPr>
            </w:pPr>
            <w:r>
              <w:rPr>
                <w:rFonts w:ascii="Arial" w:cs="Arial" w:eastAsia="Arial" w:hAnsi="Arial"/>
                <w:sz w:val="18"/>
                <w:szCs w:val="18"/>
                <w:color w:val="auto"/>
              </w:rPr>
              <w:t>Income tax payable</w:t>
            </w:r>
          </w:p>
        </w:tc>
        <w:tc>
          <w:tcPr>
            <w:tcW w:w="420" w:type="dxa"/>
            <w:vAlign w:val="bottom"/>
          </w:tcPr>
          <w:p>
            <w:pPr>
              <w:spacing w:after="0"/>
              <w:rPr>
                <w:sz w:val="18"/>
                <w:szCs w:val="18"/>
                <w:color w:val="auto"/>
              </w:rPr>
            </w:pPr>
          </w:p>
        </w:tc>
        <w:tc>
          <w:tcPr>
            <w:tcW w:w="1680" w:type="dxa"/>
            <w:vAlign w:val="bottom"/>
            <w:gridSpan w:val="2"/>
          </w:tcPr>
          <w:p>
            <w:pPr>
              <w:jc w:val="right"/>
              <w:ind w:right="60"/>
              <w:spacing w:after="0"/>
              <w:rPr>
                <w:sz w:val="20"/>
                <w:szCs w:val="20"/>
                <w:color w:val="auto"/>
              </w:rPr>
            </w:pPr>
            <w:r>
              <w:rPr>
                <w:rFonts w:ascii="Arial" w:cs="Arial" w:eastAsia="Arial" w:hAnsi="Arial"/>
                <w:sz w:val="18"/>
                <w:szCs w:val="18"/>
                <w:color w:val="auto"/>
              </w:rPr>
              <w:t>(1,178)</w:t>
            </w:r>
          </w:p>
        </w:tc>
      </w:tr>
      <w:tr>
        <w:trPr>
          <w:trHeight w:val="216"/>
        </w:trPr>
        <w:tc>
          <w:tcPr>
            <w:tcW w:w="9140" w:type="dxa"/>
            <w:vAlign w:val="bottom"/>
            <w:shd w:val="clear" w:color="auto" w:fill="CFF0FC"/>
          </w:tcPr>
          <w:p>
            <w:pPr>
              <w:spacing w:after="0"/>
              <w:rPr>
                <w:sz w:val="20"/>
                <w:szCs w:val="20"/>
                <w:color w:val="auto"/>
              </w:rPr>
            </w:pPr>
            <w:r>
              <w:rPr>
                <w:rFonts w:ascii="Arial" w:cs="Arial" w:eastAsia="Arial" w:hAnsi="Arial"/>
                <w:sz w:val="18"/>
                <w:szCs w:val="18"/>
                <w:color w:val="auto"/>
              </w:rPr>
              <w:t>Deferred tax liabilities</w:t>
            </w:r>
          </w:p>
        </w:tc>
        <w:tc>
          <w:tcPr>
            <w:tcW w:w="42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(1,195)</w:t>
            </w:r>
          </w:p>
        </w:tc>
      </w:tr>
      <w:tr>
        <w:trPr>
          <w:trHeight w:val="216"/>
        </w:trPr>
        <w:tc>
          <w:tcPr>
            <w:tcW w:w="9140" w:type="dxa"/>
            <w:vAlign w:val="bottom"/>
          </w:tcPr>
          <w:p>
            <w:pPr>
              <w:spacing w:after="0"/>
              <w:rPr>
                <w:sz w:val="20"/>
                <w:szCs w:val="20"/>
                <w:color w:val="auto"/>
              </w:rPr>
            </w:pPr>
            <w:r>
              <w:rPr>
                <w:rFonts w:ascii="Arial" w:cs="Arial" w:eastAsia="Arial" w:hAnsi="Arial"/>
                <w:sz w:val="18"/>
                <w:szCs w:val="18"/>
                <w:color w:val="auto"/>
              </w:rPr>
              <w:t>Long-term lease liabilities, operating leases</w:t>
            </w:r>
          </w:p>
        </w:tc>
        <w:tc>
          <w:tcPr>
            <w:tcW w:w="420" w:type="dxa"/>
            <w:vAlign w:val="bottom"/>
          </w:tcPr>
          <w:p>
            <w:pPr>
              <w:spacing w:after="0"/>
              <w:rPr>
                <w:sz w:val="18"/>
                <w:szCs w:val="18"/>
                <w:color w:val="auto"/>
              </w:rPr>
            </w:pPr>
          </w:p>
        </w:tc>
        <w:tc>
          <w:tcPr>
            <w:tcW w:w="1680" w:type="dxa"/>
            <w:vAlign w:val="bottom"/>
            <w:gridSpan w:val="2"/>
          </w:tcPr>
          <w:p>
            <w:pPr>
              <w:jc w:val="right"/>
              <w:ind w:right="60"/>
              <w:spacing w:after="0"/>
              <w:rPr>
                <w:sz w:val="20"/>
                <w:szCs w:val="20"/>
                <w:color w:val="auto"/>
              </w:rPr>
            </w:pPr>
            <w:r>
              <w:rPr>
                <w:rFonts w:ascii="Arial" w:cs="Arial" w:eastAsia="Arial" w:hAnsi="Arial"/>
                <w:sz w:val="18"/>
                <w:szCs w:val="18"/>
                <w:color w:val="auto"/>
              </w:rPr>
              <w:t>(8,021)</w:t>
            </w:r>
          </w:p>
        </w:tc>
      </w:tr>
      <w:tr>
        <w:trPr>
          <w:trHeight w:val="216"/>
        </w:trPr>
        <w:tc>
          <w:tcPr>
            <w:tcW w:w="9140" w:type="dxa"/>
            <w:vAlign w:val="bottom"/>
            <w:shd w:val="clear" w:color="auto" w:fill="CFF0FC"/>
          </w:tcPr>
          <w:p>
            <w:pPr>
              <w:spacing w:after="0"/>
              <w:rPr>
                <w:sz w:val="20"/>
                <w:szCs w:val="20"/>
                <w:color w:val="auto"/>
              </w:rPr>
            </w:pPr>
            <w:r>
              <w:rPr>
                <w:rFonts w:ascii="Arial" w:cs="Arial" w:eastAsia="Arial" w:hAnsi="Arial"/>
                <w:sz w:val="18"/>
                <w:szCs w:val="18"/>
                <w:color w:val="auto"/>
              </w:rPr>
              <w:t>Other long-term liabilities</w:t>
            </w:r>
          </w:p>
        </w:tc>
        <w:tc>
          <w:tcPr>
            <w:tcW w:w="42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(1,015)</w:t>
            </w:r>
          </w:p>
        </w:tc>
      </w:tr>
      <w:tr>
        <w:trPr>
          <w:trHeight w:val="236"/>
        </w:trPr>
        <w:tc>
          <w:tcPr>
            <w:tcW w:w="9140" w:type="dxa"/>
            <w:vAlign w:val="bottom"/>
          </w:tcPr>
          <w:p>
            <w:pPr>
              <w:ind w:left="260"/>
              <w:spacing w:after="0"/>
              <w:rPr>
                <w:sz w:val="20"/>
                <w:szCs w:val="20"/>
                <w:color w:val="auto"/>
              </w:rPr>
            </w:pPr>
            <w:r>
              <w:rPr>
                <w:rFonts w:ascii="Arial" w:cs="Arial" w:eastAsia="Arial" w:hAnsi="Arial"/>
                <w:sz w:val="18"/>
                <w:szCs w:val="18"/>
                <w:color w:val="auto"/>
              </w:rPr>
              <w:t>Net assets acquired</w:t>
            </w:r>
          </w:p>
        </w:tc>
        <w:tc>
          <w:tcPr>
            <w:tcW w:w="4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292,380</w:t>
            </w:r>
          </w:p>
        </w:tc>
        <w:tc>
          <w:tcPr>
            <w:tcW w:w="120" w:type="dxa"/>
            <w:vAlign w:val="bottom"/>
          </w:tcPr>
          <w:p>
            <w:pPr>
              <w:spacing w:after="0"/>
              <w:rPr>
                <w:sz w:val="20"/>
                <w:szCs w:val="20"/>
                <w:color w:val="auto"/>
              </w:rPr>
            </w:pPr>
          </w:p>
        </w:tc>
      </w:tr>
    </w:tbl>
    <w:p>
      <w:pPr>
        <w:spacing w:after="0" w:line="16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Of the total purchase price, the following values were assigned to intangible assets (in thousands, except for years):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8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rPr>
              <w:t>Gross</w:t>
            </w: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7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8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rPr>
              <w:t>Carrying</w:t>
            </w:r>
          </w:p>
        </w:tc>
        <w:tc>
          <w:tcPr>
            <w:tcW w:w="16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Amortization</w:t>
            </w:r>
          </w:p>
        </w:tc>
      </w:tr>
      <w:tr>
        <w:trPr>
          <w:trHeight w:val="177"/>
        </w:trPr>
        <w:tc>
          <w:tcPr>
            <w:tcW w:w="7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8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rPr>
              <w:t>Amount</w:t>
            </w:r>
          </w:p>
        </w:tc>
        <w:tc>
          <w:tcPr>
            <w:tcW w:w="16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Period</w:t>
            </w:r>
          </w:p>
        </w:tc>
      </w:tr>
      <w:tr>
        <w:trPr>
          <w:trHeight w:val="169"/>
        </w:trPr>
        <w:tc>
          <w:tcPr>
            <w:tcW w:w="772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5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(in years)</w:t>
            </w:r>
          </w:p>
        </w:tc>
        <w:tc>
          <w:tcPr>
            <w:tcW w:w="100" w:type="dxa"/>
            <w:vAlign w:val="bottom"/>
          </w:tcPr>
          <w:p>
            <w:pPr>
              <w:spacing w:after="0"/>
              <w:rPr>
                <w:sz w:val="14"/>
                <w:szCs w:val="14"/>
                <w:color w:val="auto"/>
              </w:rPr>
            </w:pPr>
          </w:p>
        </w:tc>
      </w:tr>
      <w:tr>
        <w:trPr>
          <w:trHeight w:val="216"/>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Customer relationships</w:t>
            </w: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57,100</w:t>
            </w:r>
          </w:p>
        </w:tc>
        <w:tc>
          <w:tcPr>
            <w:tcW w:w="30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Backlog</w:t>
            </w: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27,700</w:t>
            </w:r>
          </w:p>
        </w:tc>
        <w:tc>
          <w:tcPr>
            <w:tcW w:w="3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Trade name</w:t>
            </w:r>
          </w:p>
        </w:tc>
        <w:tc>
          <w:tcPr>
            <w:tcW w:w="3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3,800</w:t>
            </w:r>
          </w:p>
        </w:tc>
        <w:tc>
          <w:tcPr>
            <w:tcW w:w="30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Non-compete agreements</w:t>
            </w: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2,400</w:t>
            </w:r>
          </w:p>
        </w:tc>
        <w:tc>
          <w:tcPr>
            <w:tcW w:w="3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Developed technologies</w:t>
            </w: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1,300</w:t>
            </w:r>
          </w:p>
        </w:tc>
        <w:tc>
          <w:tcPr>
            <w:tcW w:w="30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18"/>
                <w:szCs w:val="18"/>
                <w:color w:val="auto"/>
              </w:rPr>
            </w:pPr>
          </w:p>
        </w:tc>
      </w:tr>
    </w:tbl>
    <w:p>
      <w:pPr>
        <w:spacing w:after="0" w:line="22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Amortization expense of $5.9 million related to these intangible assets was recorded for the three months ended September 30, 2020</w:t>
      </w:r>
    </w:p>
    <w:p>
      <w:pPr>
        <w:spacing w:after="0" w:line="36"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and September 30, 2019, respectively, and $17.8 million for the nine months ended September 30, 2020 and September 30, 2019, respectively. The entire value of goodwill of $183.5 million was assigned to the Federal Solutions reporting unit and represents synergies expected to be realized from this business combination. Goodwill of $16 million is deductible for tax purposes.</w:t>
      </w:r>
    </w:p>
    <w:p>
      <w:pPr>
        <w:spacing w:after="0" w:line="157" w:lineRule="exact"/>
        <w:rPr>
          <w:sz w:val="20"/>
          <w:szCs w:val="20"/>
          <w:color w:val="auto"/>
        </w:rPr>
      </w:pPr>
    </w:p>
    <w:p>
      <w:pPr>
        <w:ind w:right="100" w:firstLine="510"/>
        <w:spacing w:after="0" w:line="276" w:lineRule="auto"/>
        <w:rPr>
          <w:sz w:val="20"/>
          <w:szCs w:val="20"/>
          <w:color w:val="auto"/>
        </w:rPr>
      </w:pPr>
      <w:r>
        <w:rPr>
          <w:rFonts w:ascii="Arial" w:cs="Arial" w:eastAsia="Arial" w:hAnsi="Arial"/>
          <w:sz w:val="18"/>
          <w:szCs w:val="18"/>
          <w:color w:val="auto"/>
        </w:rPr>
        <w:t>The amount of revenue generated by OGSystems and included within consolidated revenues is $46.2 million and $33.7 million for the three months September 30, 2020 and September 30, 2019, respectively, and $117.0 million and</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7" w:right="339" w:bottom="1440" w:gutter="0" w:footer="0" w:header="0"/>
        </w:sectPr>
      </w:pPr>
    </w:p>
    <w:bookmarkStart w:id="11" w:name="page12"/>
    <w:bookmarkEnd w:id="11"/>
    <w:p>
      <w:pPr>
        <w:ind w:right="20"/>
        <w:spacing w:after="0" w:line="258" w:lineRule="auto"/>
        <w:rPr>
          <w:sz w:val="20"/>
          <w:szCs w:val="20"/>
          <w:color w:val="auto"/>
        </w:rPr>
      </w:pPr>
      <w:r>
        <w:rPr>
          <w:rFonts w:ascii="Arial" w:cs="Arial" w:eastAsia="Arial" w:hAnsi="Arial"/>
          <w:sz w:val="18"/>
          <w:szCs w:val="18"/>
          <w:color w:val="auto"/>
        </w:rPr>
        <w:t>$108.7 million for the nine months ended September 30, 2020 and September 30, 2019, respectively. The Company has determined that the presentation of net income from the date of acquisition is impracticable due to the integration of general corporate functions upon</w:t>
      </w:r>
    </w:p>
    <w:p>
      <w:pPr>
        <w:spacing w:after="0"/>
        <w:rPr>
          <w:sz w:val="20"/>
          <w:szCs w:val="20"/>
          <w:color w:val="auto"/>
        </w:rPr>
      </w:pPr>
      <w:r>
        <w:rPr>
          <w:rFonts w:ascii="Arial" w:cs="Arial" w:eastAsia="Arial" w:hAnsi="Arial"/>
          <w:sz w:val="18"/>
          <w:szCs w:val="18"/>
          <w:color w:val="auto"/>
        </w:rPr>
        <w:t>acquisition.</w:t>
      </w:r>
    </w:p>
    <w:p>
      <w:pPr>
        <w:spacing w:after="0" w:line="318"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Supplemental Pro Forma Information (Unaudited)</w:t>
      </w:r>
    </w:p>
    <w:p>
      <w:pPr>
        <w:spacing w:after="0" w:line="106" w:lineRule="exact"/>
        <w:rPr>
          <w:sz w:val="20"/>
          <w:szCs w:val="20"/>
          <w:color w:val="auto"/>
        </w:rPr>
      </w:pPr>
    </w:p>
    <w:p>
      <w:pPr>
        <w:ind w:right="180" w:firstLine="510"/>
        <w:spacing w:after="0" w:line="276" w:lineRule="auto"/>
        <w:rPr>
          <w:sz w:val="20"/>
          <w:szCs w:val="20"/>
          <w:color w:val="auto"/>
        </w:rPr>
      </w:pPr>
      <w:r>
        <w:rPr>
          <w:rFonts w:ascii="Arial" w:cs="Arial" w:eastAsia="Arial" w:hAnsi="Arial"/>
          <w:sz w:val="18"/>
          <w:szCs w:val="18"/>
          <w:color w:val="auto"/>
        </w:rPr>
        <w:t>Supplemental information of unaudited pro forma operating results assuming the OGSystems acquisition had been consummated as of the beginning of fiscal year 2018 (December 30, 2017) (in thousands) is as follows:</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0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580" w:type="dxa"/>
            <w:vAlign w:val="bottom"/>
            <w:gridSpan w:val="5"/>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5"/>
                <w:szCs w:val="15"/>
                <w:color w:val="auto"/>
              </w:rPr>
            </w:pPr>
          </w:p>
        </w:tc>
        <w:tc>
          <w:tcPr>
            <w:tcW w:w="2700" w:type="dxa"/>
            <w:vAlign w:val="bottom"/>
            <w:gridSpan w:val="5"/>
          </w:tcPr>
          <w:p>
            <w:pPr>
              <w:ind w:left="560"/>
              <w:spacing w:after="0"/>
              <w:rPr>
                <w:sz w:val="20"/>
                <w:szCs w:val="20"/>
                <w:color w:val="auto"/>
              </w:rPr>
            </w:pPr>
            <w:r>
              <w:rPr>
                <w:rFonts w:ascii="Arial" w:cs="Arial" w:eastAsia="Arial" w:hAnsi="Arial"/>
                <w:sz w:val="14"/>
                <w:szCs w:val="14"/>
                <w:b w:val="1"/>
                <w:bCs w:val="1"/>
                <w:color w:val="auto"/>
              </w:rPr>
              <w:t>Nine Months Ended</w:t>
            </w:r>
          </w:p>
        </w:tc>
      </w:tr>
      <w:tr>
        <w:trPr>
          <w:trHeight w:val="154"/>
        </w:trPr>
        <w:tc>
          <w:tcPr>
            <w:tcW w:w="50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380" w:type="dxa"/>
            <w:vAlign w:val="bottom"/>
            <w:tcBorders>
              <w:top w:val="single" w:sz="8" w:color="auto"/>
            </w:tcBorders>
            <w:gridSpan w:val="3"/>
          </w:tcPr>
          <w:p>
            <w:pPr>
              <w:ind w:left="80"/>
              <w:spacing w:after="0" w:line="154" w:lineRule="exact"/>
              <w:rPr>
                <w:sz w:val="20"/>
                <w:szCs w:val="20"/>
                <w:color w:val="auto"/>
              </w:rPr>
            </w:pPr>
            <w:r>
              <w:rPr>
                <w:rFonts w:ascii="Arial" w:cs="Arial" w:eastAsia="Arial" w:hAnsi="Arial"/>
                <w:sz w:val="14"/>
                <w:szCs w:val="14"/>
                <w:b w:val="1"/>
                <w:bCs w:val="1"/>
                <w:color w:val="auto"/>
              </w:rPr>
              <w:t>September 30,</w:t>
            </w:r>
          </w:p>
        </w:tc>
        <w:tc>
          <w:tcPr>
            <w:tcW w:w="1180" w:type="dxa"/>
            <w:vAlign w:val="bottom"/>
            <w:tcBorders>
              <w:top w:val="single" w:sz="8" w:color="auto"/>
            </w:tcBorders>
            <w:gridSpan w:val="2"/>
          </w:tcPr>
          <w:p>
            <w:pPr>
              <w:jc w:val="right"/>
              <w:ind w:right="16"/>
              <w:spacing w:after="0" w:line="154" w:lineRule="exact"/>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gridSpan w:val="2"/>
          </w:tcPr>
          <w:p>
            <w:pPr>
              <w:spacing w:after="0" w:line="154" w:lineRule="exact"/>
              <w:rPr>
                <w:sz w:val="20"/>
                <w:szCs w:val="20"/>
                <w:color w:val="auto"/>
              </w:rPr>
            </w:pPr>
            <w:r>
              <w:rPr>
                <w:rFonts w:ascii="Arial" w:cs="Arial" w:eastAsia="Arial" w:hAnsi="Arial"/>
                <w:sz w:val="14"/>
                <w:szCs w:val="14"/>
                <w:b w:val="1"/>
                <w:bCs w:val="1"/>
                <w:color w:val="auto"/>
              </w:rPr>
              <w:t>September 30,</w:t>
            </w:r>
          </w:p>
        </w:tc>
        <w:tc>
          <w:tcPr>
            <w:tcW w:w="1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ind w:right="59"/>
              <w:spacing w:after="0" w:line="154" w:lineRule="exact"/>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3"/>
                <w:szCs w:val="13"/>
                <w:color w:val="auto"/>
              </w:rPr>
            </w:pPr>
          </w:p>
        </w:tc>
      </w:tr>
      <w:tr>
        <w:trPr>
          <w:trHeight w:val="177"/>
        </w:trPr>
        <w:tc>
          <w:tcPr>
            <w:tcW w:w="5020" w:type="dxa"/>
            <w:vAlign w:val="bottom"/>
            <w:tcBorders>
              <w:bottom w:val="single" w:sz="8" w:color="CFF0FC"/>
            </w:tcBorders>
          </w:tcPr>
          <w:p>
            <w:pPr>
              <w:spacing w:after="0"/>
              <w:rPr>
                <w:sz w:val="15"/>
                <w:szCs w:val="15"/>
                <w:color w:val="auto"/>
              </w:rPr>
            </w:pPr>
          </w:p>
        </w:tc>
        <w:tc>
          <w:tcPr>
            <w:tcW w:w="6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5"/>
                <w:szCs w:val="15"/>
                <w:color w:val="auto"/>
              </w:rPr>
            </w:pPr>
          </w:p>
        </w:tc>
      </w:tr>
      <w:tr>
        <w:trPr>
          <w:trHeight w:val="209"/>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Pro forma revenue</w:t>
            </w: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1,004,236</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1,023,277</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2,954,688</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2,919,379</w:t>
            </w:r>
          </w:p>
        </w:tc>
        <w:tc>
          <w:tcPr>
            <w:tcW w:w="120" w:type="dxa"/>
            <w:vAlign w:val="bottom"/>
            <w:shd w:val="clear" w:color="auto" w:fill="CFF0FC"/>
          </w:tcPr>
          <w:p>
            <w:pPr>
              <w:spacing w:after="0"/>
              <w:rPr>
                <w:sz w:val="18"/>
                <w:szCs w:val="18"/>
                <w:color w:val="auto"/>
              </w:rPr>
            </w:pPr>
          </w:p>
        </w:tc>
      </w:tr>
      <w:tr>
        <w:trPr>
          <w:trHeight w:val="243"/>
        </w:trPr>
        <w:tc>
          <w:tcPr>
            <w:tcW w:w="5020" w:type="dxa"/>
            <w:vAlign w:val="bottom"/>
          </w:tcPr>
          <w:p>
            <w:pPr>
              <w:spacing w:after="0"/>
              <w:rPr>
                <w:sz w:val="20"/>
                <w:szCs w:val="20"/>
                <w:color w:val="auto"/>
              </w:rPr>
            </w:pPr>
            <w:r>
              <w:rPr>
                <w:rFonts w:ascii="Arial" w:cs="Arial" w:eastAsia="Arial" w:hAnsi="Arial"/>
                <w:sz w:val="18"/>
                <w:szCs w:val="18"/>
                <w:color w:val="auto"/>
              </w:rPr>
              <w:t>Pro forma net income including noncontrolling interests</w:t>
            </w:r>
          </w:p>
        </w:tc>
        <w:tc>
          <w:tcPr>
            <w:tcW w:w="840" w:type="dxa"/>
            <w:vAlign w:val="bottom"/>
            <w:gridSpan w:val="2"/>
          </w:tcPr>
          <w:p>
            <w:pPr>
              <w:jc w:val="right"/>
              <w:ind w:right="39"/>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47,561</w:t>
            </w:r>
          </w:p>
        </w:tc>
        <w:tc>
          <w:tcPr>
            <w:tcW w:w="220" w:type="dxa"/>
            <w:vAlign w:val="bottom"/>
          </w:tcPr>
          <w:p>
            <w:pPr>
              <w:spacing w:after="0"/>
              <w:rPr>
                <w:sz w:val="21"/>
                <w:szCs w:val="21"/>
                <w:color w:val="auto"/>
              </w:rPr>
            </w:pPr>
          </w:p>
        </w:tc>
        <w:tc>
          <w:tcPr>
            <w:tcW w:w="240" w:type="dxa"/>
            <w:vAlign w:val="bottom"/>
          </w:tcPr>
          <w:p>
            <w:pPr>
              <w:jc w:val="right"/>
              <w:ind w:right="56"/>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61,293</w:t>
            </w:r>
          </w:p>
        </w:tc>
        <w:tc>
          <w:tcPr>
            <w:tcW w:w="24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95,189</w:t>
            </w:r>
          </w:p>
        </w:tc>
        <w:tc>
          <w:tcPr>
            <w:tcW w:w="2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118,896</w:t>
            </w:r>
          </w:p>
        </w:tc>
        <w:tc>
          <w:tcPr>
            <w:tcW w:w="120" w:type="dxa"/>
            <w:vAlign w:val="bottom"/>
          </w:tcPr>
          <w:p>
            <w:pPr>
              <w:spacing w:after="0"/>
              <w:rPr>
                <w:sz w:val="21"/>
                <w:szCs w:val="21"/>
                <w:color w:val="auto"/>
              </w:rPr>
            </w:pPr>
          </w:p>
        </w:tc>
      </w:tr>
    </w:tbl>
    <w:p>
      <w:pPr>
        <w:spacing w:after="0" w:line="200" w:lineRule="exact"/>
        <w:rPr>
          <w:sz w:val="20"/>
          <w:szCs w:val="20"/>
          <w:color w:val="auto"/>
        </w:rPr>
      </w:pPr>
    </w:p>
    <w:p>
      <w:pPr>
        <w:spacing w:after="0" w:line="383"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QRC Technologies</w:t>
      </w:r>
    </w:p>
    <w:p>
      <w:pPr>
        <w:spacing w:after="0" w:line="106" w:lineRule="exact"/>
        <w:rPr>
          <w:sz w:val="20"/>
          <w:szCs w:val="20"/>
          <w:color w:val="auto"/>
        </w:rPr>
      </w:pPr>
    </w:p>
    <w:p>
      <w:pPr>
        <w:ind w:right="60" w:firstLine="637"/>
        <w:spacing w:after="0"/>
        <w:rPr>
          <w:sz w:val="20"/>
          <w:szCs w:val="20"/>
          <w:color w:val="auto"/>
        </w:rPr>
      </w:pPr>
      <w:r>
        <w:rPr>
          <w:rFonts w:ascii="Arial" w:cs="Arial" w:eastAsia="Arial" w:hAnsi="Arial"/>
          <w:sz w:val="18"/>
          <w:szCs w:val="18"/>
          <w:color w:val="auto"/>
        </w:rPr>
        <w:t>On July 31, 2019 the Company acquired a 100% ownership interest in QRC Technologies (“QRC”), a privately-owned company, for $214.1 million in cash. QRC provides design and development of open-architecture radio-frequency products. The Company borrowed $140.0 million under the Revolving Credit Facility to partially fund the transaction. In connection with this acquisition, the Company recognized $4.9 million of acquisition-related expenses in “Indirect, general and administrative expense” in the consolidated statements of income for the fiscal year ended December 31, 2019, including legal fees, consulting fees, and other miscellaneous direct expenses associated with the acquisition. QRC is an agile, disruptive product company that specializes in radio frequency spectrum survey, record and playback; signals intelligence; and electronic warfare missions. QRC complements our existing portfolio, increases our presence in the high-growth markets of spectrum awareness and surveillance, and adds critical intellectual property that complements and expands the Company’s available capabilities for the Special Operations and Intelligence Communities.</w:t>
      </w:r>
    </w:p>
    <w:p>
      <w:pPr>
        <w:spacing w:after="0" w:line="176" w:lineRule="exact"/>
        <w:rPr>
          <w:sz w:val="20"/>
          <w:szCs w:val="20"/>
          <w:color w:val="auto"/>
        </w:rPr>
      </w:pPr>
    </w:p>
    <w:p>
      <w:pPr>
        <w:ind w:right="80" w:firstLine="637"/>
        <w:spacing w:after="0" w:line="276" w:lineRule="auto"/>
        <w:rPr>
          <w:sz w:val="20"/>
          <w:szCs w:val="20"/>
          <w:color w:val="auto"/>
        </w:rPr>
      </w:pPr>
      <w:r>
        <w:rPr>
          <w:rFonts w:ascii="Arial" w:cs="Arial" w:eastAsia="Arial" w:hAnsi="Arial"/>
          <w:sz w:val="18"/>
          <w:szCs w:val="18"/>
          <w:color w:val="auto"/>
        </w:rPr>
        <w:t>The following table summarizes the estimated fair values of the assets acquired and liabilities assumed based on the purchase price allocation as of the date of acquisition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58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8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10"/>
        </w:trPr>
        <w:tc>
          <w:tcPr>
            <w:tcW w:w="4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4560" w:type="dxa"/>
            <w:vAlign w:val="bottom"/>
            <w:tcBorders>
              <w:top w:val="single" w:sz="8" w:color="CFF0FC"/>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5,925</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Accounts receivable</w:t>
            </w:r>
          </w:p>
        </w:tc>
        <w:tc>
          <w:tcPr>
            <w:tcW w:w="4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5,587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Prepaid expenses and other current assets</w:t>
            </w:r>
          </w:p>
        </w:tc>
        <w:tc>
          <w:tcPr>
            <w:tcW w:w="45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5,727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Property and equipment</w:t>
            </w:r>
          </w:p>
        </w:tc>
        <w:tc>
          <w:tcPr>
            <w:tcW w:w="4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1,205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Right of use assets, operating leases</w:t>
            </w:r>
          </w:p>
        </w:tc>
        <w:tc>
          <w:tcPr>
            <w:tcW w:w="45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5,228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Goodwill</w:t>
            </w:r>
          </w:p>
        </w:tc>
        <w:tc>
          <w:tcPr>
            <w:tcW w:w="4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125,091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Intangible assets</w:t>
            </w:r>
          </w:p>
        </w:tc>
        <w:tc>
          <w:tcPr>
            <w:tcW w:w="45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76,200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Accounts payable</w:t>
            </w:r>
          </w:p>
        </w:tc>
        <w:tc>
          <w:tcPr>
            <w:tcW w:w="4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80" w:type="dxa"/>
            <w:vAlign w:val="bottom"/>
            <w:gridSpan w:val="2"/>
          </w:tcPr>
          <w:p>
            <w:pPr>
              <w:jc w:val="right"/>
              <w:ind w:right="60"/>
              <w:spacing w:after="0"/>
              <w:rPr>
                <w:sz w:val="20"/>
                <w:szCs w:val="20"/>
                <w:color w:val="auto"/>
              </w:rPr>
            </w:pPr>
            <w:r>
              <w:rPr>
                <w:rFonts w:ascii="Arial" w:cs="Arial" w:eastAsia="Arial" w:hAnsi="Arial"/>
                <w:sz w:val="18"/>
                <w:szCs w:val="18"/>
                <w:color w:val="auto"/>
              </w:rPr>
              <w:t>(1,567)</w:t>
            </w:r>
          </w:p>
        </w:tc>
        <w:tc>
          <w:tcPr>
            <w:tcW w:w="0" w:type="dxa"/>
            <w:vAlign w:val="bottom"/>
          </w:tcPr>
          <w:p>
            <w:pPr>
              <w:spacing w:after="0"/>
              <w:rPr>
                <w:sz w:val="1"/>
                <w:szCs w:val="1"/>
                <w:color w:val="auto"/>
              </w:rPr>
            </w:pPr>
          </w:p>
        </w:tc>
      </w:tr>
      <w:tr>
        <w:trPr>
          <w:trHeight w:val="216"/>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Accrued expenses and other current liabilities</w:t>
            </w:r>
          </w:p>
        </w:tc>
        <w:tc>
          <w:tcPr>
            <w:tcW w:w="45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(4,025)</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Short-term lease liabilities, operating leases</w:t>
            </w:r>
          </w:p>
        </w:tc>
        <w:tc>
          <w:tcPr>
            <w:tcW w:w="4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80" w:type="dxa"/>
            <w:vAlign w:val="bottom"/>
            <w:gridSpan w:val="2"/>
          </w:tcPr>
          <w:p>
            <w:pPr>
              <w:jc w:val="right"/>
              <w:ind w:right="60"/>
              <w:spacing w:after="0"/>
              <w:rPr>
                <w:sz w:val="20"/>
                <w:szCs w:val="20"/>
                <w:color w:val="auto"/>
              </w:rPr>
            </w:pPr>
            <w:r>
              <w:rPr>
                <w:rFonts w:ascii="Arial" w:cs="Arial" w:eastAsia="Arial" w:hAnsi="Arial"/>
                <w:sz w:val="18"/>
                <w:szCs w:val="18"/>
                <w:color w:val="auto"/>
              </w:rPr>
              <w:t>(545)</w:t>
            </w:r>
          </w:p>
        </w:tc>
        <w:tc>
          <w:tcPr>
            <w:tcW w:w="0" w:type="dxa"/>
            <w:vAlign w:val="bottom"/>
          </w:tcPr>
          <w:p>
            <w:pPr>
              <w:spacing w:after="0"/>
              <w:rPr>
                <w:sz w:val="1"/>
                <w:szCs w:val="1"/>
                <w:color w:val="auto"/>
              </w:rPr>
            </w:pPr>
          </w:p>
        </w:tc>
      </w:tr>
      <w:tr>
        <w:trPr>
          <w:trHeight w:val="216"/>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Long-term lease liabilities, operating leases</w:t>
            </w:r>
          </w:p>
        </w:tc>
        <w:tc>
          <w:tcPr>
            <w:tcW w:w="45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(4,683)</w:t>
            </w:r>
          </w:p>
        </w:tc>
        <w:tc>
          <w:tcPr>
            <w:tcW w:w="0" w:type="dxa"/>
            <w:vAlign w:val="bottom"/>
          </w:tcPr>
          <w:p>
            <w:pPr>
              <w:spacing w:after="0"/>
              <w:rPr>
                <w:sz w:val="1"/>
                <w:szCs w:val="1"/>
                <w:color w:val="auto"/>
              </w:rPr>
            </w:pPr>
          </w:p>
        </w:tc>
      </w:tr>
      <w:tr>
        <w:trPr>
          <w:trHeight w:val="210"/>
        </w:trPr>
        <w:tc>
          <w:tcPr>
            <w:tcW w:w="4580" w:type="dxa"/>
            <w:vAlign w:val="bottom"/>
          </w:tcPr>
          <w:p>
            <w:pPr>
              <w:ind w:left="260"/>
              <w:spacing w:after="0"/>
              <w:rPr>
                <w:sz w:val="20"/>
                <w:szCs w:val="20"/>
                <w:color w:val="auto"/>
              </w:rPr>
            </w:pPr>
            <w:r>
              <w:rPr>
                <w:rFonts w:ascii="Arial" w:cs="Arial" w:eastAsia="Arial" w:hAnsi="Arial"/>
                <w:sz w:val="18"/>
                <w:szCs w:val="18"/>
                <w:color w:val="auto"/>
              </w:rPr>
              <w:t>Net assets acquired</w:t>
            </w:r>
          </w:p>
        </w:tc>
        <w:tc>
          <w:tcPr>
            <w:tcW w:w="456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214,143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4560" w:type="dxa"/>
            <w:vAlign w:val="bottom"/>
            <w:vMerge w:val="restart"/>
          </w:tcPr>
          <w:p>
            <w:pPr>
              <w:jc w:val="right"/>
              <w:ind w:right="3330"/>
              <w:spacing w:after="0"/>
              <w:rPr>
                <w:sz w:val="20"/>
                <w:szCs w:val="20"/>
                <w:color w:val="auto"/>
              </w:rPr>
            </w:pPr>
            <w:r>
              <w:rPr>
                <w:rFonts w:ascii="Arial" w:cs="Arial" w:eastAsia="Arial" w:hAnsi="Arial"/>
                <w:sz w:val="18"/>
                <w:szCs w:val="18"/>
                <w:color w:val="auto"/>
              </w:rPr>
              <w:t>10</w:t>
            </w:r>
          </w:p>
        </w:tc>
        <w:tc>
          <w:tcPr>
            <w:tcW w:w="4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6"/>
        </w:trPr>
        <w:tc>
          <w:tcPr>
            <w:tcW w:w="4580" w:type="dxa"/>
            <w:vAlign w:val="bottom"/>
          </w:tcPr>
          <w:p>
            <w:pPr>
              <w:spacing w:after="0"/>
              <w:rPr>
                <w:sz w:val="24"/>
                <w:szCs w:val="24"/>
                <w:color w:val="auto"/>
              </w:rPr>
            </w:pPr>
          </w:p>
        </w:tc>
        <w:tc>
          <w:tcPr>
            <w:tcW w:w="456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4580" w:type="dxa"/>
            <w:vAlign w:val="bottom"/>
            <w:tcBorders>
              <w:bottom w:val="single" w:sz="8" w:color="9A9A9A"/>
            </w:tcBorders>
          </w:tcPr>
          <w:p>
            <w:pPr>
              <w:spacing w:after="0"/>
              <w:rPr>
                <w:sz w:val="8"/>
                <w:szCs w:val="8"/>
                <w:color w:val="auto"/>
              </w:rPr>
            </w:pPr>
          </w:p>
        </w:tc>
        <w:tc>
          <w:tcPr>
            <w:tcW w:w="456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15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2" w:name="page13"/>
    <w:bookmarkEnd w:id="12"/>
    <w:p>
      <w:pPr>
        <w:ind w:left="640"/>
        <w:spacing w:after="0"/>
        <w:rPr>
          <w:sz w:val="20"/>
          <w:szCs w:val="20"/>
          <w:color w:val="auto"/>
        </w:rPr>
      </w:pPr>
      <w:r>
        <w:rPr>
          <w:rFonts w:ascii="Arial" w:cs="Arial" w:eastAsia="Arial" w:hAnsi="Arial"/>
          <w:sz w:val="18"/>
          <w:szCs w:val="18"/>
          <w:color w:val="auto"/>
        </w:rPr>
        <w:t>Of the total purchase price, the following values were assigned to intangible assets (in thousands, except for years):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8"/>
              </w:rPr>
              <w:t>Gross</w:t>
            </w:r>
          </w:p>
        </w:tc>
        <w:tc>
          <w:tcPr>
            <w:tcW w:w="1720" w:type="dxa"/>
            <w:vAlign w:val="bottom"/>
          </w:tcPr>
          <w:p>
            <w:pPr>
              <w:spacing w:after="0"/>
              <w:rPr>
                <w:sz w:val="14"/>
                <w:szCs w:val="14"/>
                <w:color w:val="auto"/>
              </w:rPr>
            </w:pPr>
          </w:p>
        </w:tc>
      </w:tr>
      <w:tr>
        <w:trPr>
          <w:trHeight w:val="162"/>
        </w:trPr>
        <w:tc>
          <w:tcPr>
            <w:tcW w:w="7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rPr>
              <w:t>Carrying</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rPr>
              <w:t>Amortization</w:t>
            </w:r>
          </w:p>
        </w:tc>
      </w:tr>
      <w:tr>
        <w:trPr>
          <w:trHeight w:val="177"/>
        </w:trPr>
        <w:tc>
          <w:tcPr>
            <w:tcW w:w="7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rPr>
              <w:t>Amount</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rPr>
              <w:t>Period</w:t>
            </w:r>
          </w:p>
        </w:tc>
      </w:tr>
      <w:tr>
        <w:trPr>
          <w:trHeight w:val="210"/>
        </w:trPr>
        <w:tc>
          <w:tcPr>
            <w:tcW w:w="76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(in years)</w:t>
            </w:r>
          </w:p>
        </w:tc>
      </w:tr>
      <w:tr>
        <w:trPr>
          <w:trHeight w:val="216"/>
        </w:trPr>
        <w:tc>
          <w:tcPr>
            <w:tcW w:w="7620" w:type="dxa"/>
            <w:vAlign w:val="bottom"/>
            <w:shd w:val="clear" w:color="auto" w:fill="CFF0FC"/>
          </w:tcPr>
          <w:p>
            <w:pPr>
              <w:spacing w:after="0"/>
              <w:rPr>
                <w:sz w:val="20"/>
                <w:szCs w:val="20"/>
                <w:color w:val="auto"/>
              </w:rPr>
            </w:pPr>
            <w:r>
              <w:rPr>
                <w:rFonts w:ascii="Arial" w:cs="Arial" w:eastAsia="Arial" w:hAnsi="Arial"/>
                <w:sz w:val="18"/>
                <w:szCs w:val="18"/>
                <w:color w:val="auto"/>
              </w:rPr>
              <w:t>Customer relationships</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49,800</w:t>
            </w:r>
          </w:p>
        </w:tc>
        <w:tc>
          <w:tcPr>
            <w:tcW w:w="300" w:type="dxa"/>
            <w:vAlign w:val="bottom"/>
            <w:shd w:val="clear" w:color="auto" w:fill="CFF0FC"/>
          </w:tcPr>
          <w:p>
            <w:pPr>
              <w:spacing w:after="0"/>
              <w:rPr>
                <w:sz w:val="18"/>
                <w:szCs w:val="18"/>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7620" w:type="dxa"/>
            <w:vAlign w:val="bottom"/>
          </w:tcPr>
          <w:p>
            <w:pPr>
              <w:spacing w:after="0"/>
              <w:rPr>
                <w:sz w:val="20"/>
                <w:szCs w:val="20"/>
                <w:color w:val="auto"/>
              </w:rPr>
            </w:pPr>
            <w:r>
              <w:rPr>
                <w:rFonts w:ascii="Arial" w:cs="Arial" w:eastAsia="Arial" w:hAnsi="Arial"/>
                <w:sz w:val="18"/>
                <w:szCs w:val="18"/>
                <w:color w:val="auto"/>
              </w:rPr>
              <w:t>Developed technologies</w:t>
            </w: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21,800</w:t>
            </w:r>
          </w:p>
        </w:tc>
        <w:tc>
          <w:tcPr>
            <w:tcW w:w="3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 to 5</w:t>
            </w:r>
          </w:p>
        </w:tc>
      </w:tr>
      <w:tr>
        <w:trPr>
          <w:trHeight w:val="216"/>
        </w:trPr>
        <w:tc>
          <w:tcPr>
            <w:tcW w:w="7620" w:type="dxa"/>
            <w:vAlign w:val="bottom"/>
            <w:shd w:val="clear" w:color="auto" w:fill="CFF0FC"/>
          </w:tcPr>
          <w:p>
            <w:pPr>
              <w:spacing w:after="0"/>
              <w:rPr>
                <w:sz w:val="20"/>
                <w:szCs w:val="20"/>
                <w:color w:val="auto"/>
              </w:rPr>
            </w:pPr>
            <w:r>
              <w:rPr>
                <w:rFonts w:ascii="Arial" w:cs="Arial" w:eastAsia="Arial" w:hAnsi="Arial"/>
                <w:sz w:val="18"/>
                <w:szCs w:val="18"/>
                <w:color w:val="auto"/>
              </w:rPr>
              <w:t>In-process research and development</w:t>
            </w:r>
          </w:p>
        </w:tc>
        <w:tc>
          <w:tcPr>
            <w:tcW w:w="3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1,800</w:t>
            </w:r>
          </w:p>
        </w:tc>
        <w:tc>
          <w:tcPr>
            <w:tcW w:w="300" w:type="dxa"/>
            <w:vAlign w:val="bottom"/>
            <w:shd w:val="clear" w:color="auto" w:fill="CFF0FC"/>
          </w:tcPr>
          <w:p>
            <w:pPr>
              <w:spacing w:after="0"/>
              <w:rPr>
                <w:sz w:val="18"/>
                <w:szCs w:val="18"/>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 to 5</w:t>
            </w:r>
          </w:p>
        </w:tc>
      </w:tr>
      <w:tr>
        <w:trPr>
          <w:trHeight w:val="216"/>
        </w:trPr>
        <w:tc>
          <w:tcPr>
            <w:tcW w:w="7620" w:type="dxa"/>
            <w:vAlign w:val="bottom"/>
          </w:tcPr>
          <w:p>
            <w:pPr>
              <w:spacing w:after="0"/>
              <w:rPr>
                <w:sz w:val="20"/>
                <w:szCs w:val="20"/>
                <w:color w:val="auto"/>
              </w:rPr>
            </w:pPr>
            <w:r>
              <w:rPr>
                <w:rFonts w:ascii="Arial" w:cs="Arial" w:eastAsia="Arial" w:hAnsi="Arial"/>
                <w:sz w:val="18"/>
                <w:szCs w:val="18"/>
                <w:color w:val="auto"/>
              </w:rPr>
              <w:t>Non-compete agreements</w:t>
            </w: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1,200</w:t>
            </w:r>
          </w:p>
        </w:tc>
        <w:tc>
          <w:tcPr>
            <w:tcW w:w="3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7620" w:type="dxa"/>
            <w:vAlign w:val="bottom"/>
            <w:shd w:val="clear" w:color="auto" w:fill="CFF0FC"/>
          </w:tcPr>
          <w:p>
            <w:pPr>
              <w:spacing w:after="0"/>
              <w:rPr>
                <w:sz w:val="20"/>
                <w:szCs w:val="20"/>
                <w:color w:val="auto"/>
              </w:rPr>
            </w:pPr>
            <w:r>
              <w:rPr>
                <w:rFonts w:ascii="Arial" w:cs="Arial" w:eastAsia="Arial" w:hAnsi="Arial"/>
                <w:sz w:val="18"/>
                <w:szCs w:val="18"/>
                <w:color w:val="auto"/>
              </w:rPr>
              <w:t>Trade name</w:t>
            </w:r>
          </w:p>
        </w:tc>
        <w:tc>
          <w:tcPr>
            <w:tcW w:w="3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800</w:t>
            </w:r>
          </w:p>
        </w:tc>
        <w:tc>
          <w:tcPr>
            <w:tcW w:w="300" w:type="dxa"/>
            <w:vAlign w:val="bottom"/>
            <w:shd w:val="clear" w:color="auto" w:fill="CFF0FC"/>
          </w:tcPr>
          <w:p>
            <w:pPr>
              <w:spacing w:after="0"/>
              <w:rPr>
                <w:sz w:val="18"/>
                <w:szCs w:val="18"/>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7620" w:type="dxa"/>
            <w:vAlign w:val="bottom"/>
          </w:tcPr>
          <w:p>
            <w:pPr>
              <w:spacing w:after="0"/>
              <w:rPr>
                <w:sz w:val="20"/>
                <w:szCs w:val="20"/>
                <w:color w:val="auto"/>
              </w:rPr>
            </w:pPr>
            <w:r>
              <w:rPr>
                <w:rFonts w:ascii="Arial" w:cs="Arial" w:eastAsia="Arial" w:hAnsi="Arial"/>
                <w:sz w:val="18"/>
                <w:szCs w:val="18"/>
                <w:color w:val="auto"/>
              </w:rPr>
              <w:t>Backlog</w:t>
            </w: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800</w:t>
            </w:r>
          </w:p>
        </w:tc>
        <w:tc>
          <w:tcPr>
            <w:tcW w:w="3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w:t>
            </w:r>
          </w:p>
        </w:tc>
      </w:tr>
    </w:tbl>
    <w:p>
      <w:pPr>
        <w:spacing w:after="0" w:line="369" w:lineRule="exact"/>
        <w:rPr>
          <w:sz w:val="20"/>
          <w:szCs w:val="20"/>
          <w:color w:val="auto"/>
        </w:rPr>
      </w:pPr>
    </w:p>
    <w:p>
      <w:pPr>
        <w:ind w:right="160" w:firstLine="644"/>
        <w:spacing w:after="0" w:line="268" w:lineRule="auto"/>
        <w:rPr>
          <w:sz w:val="20"/>
          <w:szCs w:val="20"/>
          <w:color w:val="auto"/>
        </w:rPr>
      </w:pPr>
      <w:r>
        <w:rPr>
          <w:rFonts w:ascii="Arial" w:cs="Arial" w:eastAsia="Arial" w:hAnsi="Arial"/>
          <w:sz w:val="17"/>
          <w:szCs w:val="17"/>
          <w:color w:val="auto"/>
        </w:rPr>
        <w:t>Amortization expense of $3.5 million and $1.9 million related to these intangible assets was recorded for the three months ended September 30, 2020 and September 30, 2019, respectively, and $10.6 million and $1.9 million for the nine months ended September 30, 2020 and September 30, 2019, respectively. The entire value of goodwill of $125.1 million was assigned to the Federal Solutions reporting unit and represents synergies expected to be realized from this business combination. Goodwill in its entirety is deductible for tax purposes.</w:t>
      </w:r>
    </w:p>
    <w:p>
      <w:pPr>
        <w:spacing w:after="0" w:line="153" w:lineRule="exact"/>
        <w:rPr>
          <w:sz w:val="20"/>
          <w:szCs w:val="20"/>
          <w:color w:val="auto"/>
        </w:rPr>
      </w:pPr>
    </w:p>
    <w:p>
      <w:pPr>
        <w:ind w:right="80" w:firstLine="644"/>
        <w:spacing w:after="0" w:line="248" w:lineRule="auto"/>
        <w:rPr>
          <w:sz w:val="20"/>
          <w:szCs w:val="20"/>
          <w:color w:val="auto"/>
        </w:rPr>
      </w:pPr>
      <w:r>
        <w:rPr>
          <w:rFonts w:ascii="Arial" w:cs="Arial" w:eastAsia="Arial" w:hAnsi="Arial"/>
          <w:sz w:val="18"/>
          <w:szCs w:val="18"/>
          <w:color w:val="auto"/>
        </w:rPr>
        <w:t>The amount of revenue generated by QRC and included within consolidated revenues is $12.6 million and $ 5.6 million for the three months ended September 30, 2020 and September 30, 2019, respectively, and $25.2 million and $5.6 million for the nine months ended September 30, 2020 and September 30, 2019, respectively. The Company has determined that the presentation of net income from the date of acquisition is impracticable due to the integration of general corporate functions upon acquisition.</w:t>
      </w:r>
    </w:p>
    <w:p>
      <w:pPr>
        <w:spacing w:after="0" w:line="276"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Supplemental Pro Forma Information</w:t>
      </w:r>
    </w:p>
    <w:p>
      <w:pPr>
        <w:spacing w:after="0" w:line="214" w:lineRule="exact"/>
        <w:rPr>
          <w:sz w:val="20"/>
          <w:szCs w:val="20"/>
          <w:color w:val="auto"/>
        </w:rPr>
      </w:pPr>
    </w:p>
    <w:p>
      <w:pPr>
        <w:ind w:right="80" w:firstLine="637"/>
        <w:spacing w:after="0" w:line="276" w:lineRule="auto"/>
        <w:rPr>
          <w:sz w:val="20"/>
          <w:szCs w:val="20"/>
          <w:color w:val="auto"/>
        </w:rPr>
      </w:pPr>
      <w:r>
        <w:rPr>
          <w:rFonts w:ascii="Arial" w:cs="Arial" w:eastAsia="Arial" w:hAnsi="Arial"/>
          <w:sz w:val="18"/>
          <w:szCs w:val="18"/>
          <w:color w:val="auto"/>
        </w:rPr>
        <w:t>Supplemental information on an unaudited pro forma basis, assuming the QRC Technologies acquisition had been consummated as of the beginning of fiscal year 2018 (December 30, 2017) (in thousands) is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0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580" w:type="dxa"/>
            <w:vAlign w:val="bottom"/>
            <w:gridSpan w:val="5"/>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5"/>
                <w:szCs w:val="15"/>
                <w:color w:val="auto"/>
              </w:rPr>
            </w:pPr>
          </w:p>
        </w:tc>
        <w:tc>
          <w:tcPr>
            <w:tcW w:w="2700" w:type="dxa"/>
            <w:vAlign w:val="bottom"/>
            <w:gridSpan w:val="5"/>
          </w:tcPr>
          <w:p>
            <w:pPr>
              <w:ind w:left="560"/>
              <w:spacing w:after="0"/>
              <w:rPr>
                <w:sz w:val="20"/>
                <w:szCs w:val="20"/>
                <w:color w:val="auto"/>
              </w:rPr>
            </w:pPr>
            <w:r>
              <w:rPr>
                <w:rFonts w:ascii="Arial" w:cs="Arial" w:eastAsia="Arial" w:hAnsi="Arial"/>
                <w:sz w:val="14"/>
                <w:szCs w:val="14"/>
                <w:b w:val="1"/>
                <w:bCs w:val="1"/>
                <w:color w:val="auto"/>
              </w:rPr>
              <w:t>Nine Months Ended</w:t>
            </w:r>
          </w:p>
        </w:tc>
      </w:tr>
      <w:tr>
        <w:trPr>
          <w:trHeight w:val="154"/>
        </w:trPr>
        <w:tc>
          <w:tcPr>
            <w:tcW w:w="50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380" w:type="dxa"/>
            <w:vAlign w:val="bottom"/>
            <w:tcBorders>
              <w:top w:val="single" w:sz="8" w:color="auto"/>
            </w:tcBorders>
            <w:gridSpan w:val="3"/>
          </w:tcPr>
          <w:p>
            <w:pPr>
              <w:ind w:left="80"/>
              <w:spacing w:after="0" w:line="154" w:lineRule="exact"/>
              <w:rPr>
                <w:sz w:val="20"/>
                <w:szCs w:val="20"/>
                <w:color w:val="auto"/>
              </w:rPr>
            </w:pPr>
            <w:r>
              <w:rPr>
                <w:rFonts w:ascii="Arial" w:cs="Arial" w:eastAsia="Arial" w:hAnsi="Arial"/>
                <w:sz w:val="14"/>
                <w:szCs w:val="14"/>
                <w:b w:val="1"/>
                <w:bCs w:val="1"/>
                <w:color w:val="auto"/>
              </w:rPr>
              <w:t>September 30,</w:t>
            </w:r>
          </w:p>
        </w:tc>
        <w:tc>
          <w:tcPr>
            <w:tcW w:w="1180" w:type="dxa"/>
            <w:vAlign w:val="bottom"/>
            <w:tcBorders>
              <w:top w:val="single" w:sz="8" w:color="auto"/>
            </w:tcBorders>
            <w:gridSpan w:val="2"/>
          </w:tcPr>
          <w:p>
            <w:pPr>
              <w:jc w:val="right"/>
              <w:ind w:right="16"/>
              <w:spacing w:after="0" w:line="154" w:lineRule="exact"/>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gridSpan w:val="2"/>
          </w:tcPr>
          <w:p>
            <w:pPr>
              <w:spacing w:after="0" w:line="154" w:lineRule="exact"/>
              <w:rPr>
                <w:sz w:val="20"/>
                <w:szCs w:val="20"/>
                <w:color w:val="auto"/>
              </w:rPr>
            </w:pPr>
            <w:r>
              <w:rPr>
                <w:rFonts w:ascii="Arial" w:cs="Arial" w:eastAsia="Arial" w:hAnsi="Arial"/>
                <w:sz w:val="14"/>
                <w:szCs w:val="14"/>
                <w:b w:val="1"/>
                <w:bCs w:val="1"/>
                <w:color w:val="auto"/>
              </w:rPr>
              <w:t>September 30,</w:t>
            </w:r>
          </w:p>
        </w:tc>
        <w:tc>
          <w:tcPr>
            <w:tcW w:w="1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ind w:right="59"/>
              <w:spacing w:after="0" w:line="154" w:lineRule="exact"/>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3"/>
                <w:szCs w:val="13"/>
                <w:color w:val="auto"/>
              </w:rPr>
            </w:pPr>
          </w:p>
        </w:tc>
      </w:tr>
      <w:tr>
        <w:trPr>
          <w:trHeight w:val="177"/>
        </w:trPr>
        <w:tc>
          <w:tcPr>
            <w:tcW w:w="5020" w:type="dxa"/>
            <w:vAlign w:val="bottom"/>
            <w:tcBorders>
              <w:bottom w:val="single" w:sz="8" w:color="CFF0FC"/>
            </w:tcBorders>
          </w:tcPr>
          <w:p>
            <w:pPr>
              <w:spacing w:after="0"/>
              <w:rPr>
                <w:sz w:val="15"/>
                <w:szCs w:val="15"/>
                <w:color w:val="auto"/>
              </w:rPr>
            </w:pPr>
          </w:p>
        </w:tc>
        <w:tc>
          <w:tcPr>
            <w:tcW w:w="6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5"/>
                <w:szCs w:val="15"/>
                <w:color w:val="auto"/>
              </w:rPr>
            </w:pPr>
          </w:p>
        </w:tc>
      </w:tr>
      <w:tr>
        <w:trPr>
          <w:trHeight w:val="210"/>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Pro forma revenue</w:t>
            </w: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1,004,236</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1,026,831</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2,954,688</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2,938,973</w:t>
            </w:r>
          </w:p>
        </w:tc>
        <w:tc>
          <w:tcPr>
            <w:tcW w:w="120" w:type="dxa"/>
            <w:vAlign w:val="bottom"/>
            <w:shd w:val="clear" w:color="auto" w:fill="CFF0FC"/>
          </w:tcPr>
          <w:p>
            <w:pPr>
              <w:spacing w:after="0"/>
              <w:rPr>
                <w:sz w:val="18"/>
                <w:szCs w:val="18"/>
                <w:color w:val="auto"/>
              </w:rPr>
            </w:pPr>
          </w:p>
        </w:tc>
      </w:tr>
      <w:tr>
        <w:trPr>
          <w:trHeight w:val="243"/>
        </w:trPr>
        <w:tc>
          <w:tcPr>
            <w:tcW w:w="5020" w:type="dxa"/>
            <w:vAlign w:val="bottom"/>
          </w:tcPr>
          <w:p>
            <w:pPr>
              <w:spacing w:after="0"/>
              <w:rPr>
                <w:sz w:val="20"/>
                <w:szCs w:val="20"/>
                <w:color w:val="auto"/>
              </w:rPr>
            </w:pPr>
            <w:r>
              <w:rPr>
                <w:rFonts w:ascii="Arial" w:cs="Arial" w:eastAsia="Arial" w:hAnsi="Arial"/>
                <w:sz w:val="18"/>
                <w:szCs w:val="18"/>
                <w:color w:val="auto"/>
              </w:rPr>
              <w:t>Pro forma net income including noncontrolling interests</w:t>
            </w:r>
          </w:p>
        </w:tc>
        <w:tc>
          <w:tcPr>
            <w:tcW w:w="840" w:type="dxa"/>
            <w:vAlign w:val="bottom"/>
            <w:gridSpan w:val="2"/>
          </w:tcPr>
          <w:p>
            <w:pPr>
              <w:jc w:val="right"/>
              <w:ind w:right="39"/>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47,618</w:t>
            </w:r>
          </w:p>
        </w:tc>
        <w:tc>
          <w:tcPr>
            <w:tcW w:w="220" w:type="dxa"/>
            <w:vAlign w:val="bottom"/>
          </w:tcPr>
          <w:p>
            <w:pPr>
              <w:spacing w:after="0"/>
              <w:rPr>
                <w:sz w:val="21"/>
                <w:szCs w:val="21"/>
                <w:color w:val="auto"/>
              </w:rPr>
            </w:pPr>
          </w:p>
        </w:tc>
        <w:tc>
          <w:tcPr>
            <w:tcW w:w="240" w:type="dxa"/>
            <w:vAlign w:val="bottom"/>
          </w:tcPr>
          <w:p>
            <w:pPr>
              <w:jc w:val="right"/>
              <w:ind w:right="56"/>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65,782</w:t>
            </w:r>
          </w:p>
        </w:tc>
        <w:tc>
          <w:tcPr>
            <w:tcW w:w="24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95,994</w:t>
            </w:r>
          </w:p>
        </w:tc>
        <w:tc>
          <w:tcPr>
            <w:tcW w:w="2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117,399</w:t>
            </w:r>
          </w:p>
        </w:tc>
        <w:tc>
          <w:tcPr>
            <w:tcW w:w="120" w:type="dxa"/>
            <w:vAlign w:val="bottom"/>
          </w:tcPr>
          <w:p>
            <w:pPr>
              <w:spacing w:after="0"/>
              <w:rPr>
                <w:sz w:val="21"/>
                <w:szCs w:val="21"/>
                <w:color w:val="auto"/>
              </w:rPr>
            </w:pPr>
          </w:p>
        </w:tc>
      </w:tr>
    </w:tbl>
    <w:p>
      <w:pPr>
        <w:spacing w:after="0" w:line="200" w:lineRule="exact"/>
        <w:rPr>
          <w:sz w:val="20"/>
          <w:szCs w:val="20"/>
          <w:color w:val="auto"/>
        </w:rPr>
      </w:pPr>
    </w:p>
    <w:p>
      <w:pPr>
        <w:spacing w:after="0" w:line="207" w:lineRule="exact"/>
        <w:rPr>
          <w:sz w:val="20"/>
          <w:szCs w:val="20"/>
          <w:color w:val="auto"/>
        </w:rPr>
      </w:pPr>
    </w:p>
    <w:p>
      <w:pPr>
        <w:ind w:left="640" w:right="8260" w:hanging="632"/>
        <w:spacing w:after="0" w:line="361" w:lineRule="auto"/>
        <w:tabs>
          <w:tab w:leader="none" w:pos="638"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Contracts with Customers </w:t>
      </w:r>
      <w:r>
        <w:rPr>
          <w:rFonts w:ascii="Arial" w:cs="Arial" w:eastAsia="Arial" w:hAnsi="Arial"/>
          <w:sz w:val="18"/>
          <w:szCs w:val="18"/>
          <w:b w:val="1"/>
          <w:bCs w:val="1"/>
          <w:i w:val="1"/>
          <w:iCs w:val="1"/>
          <w:color w:val="auto"/>
        </w:rPr>
        <w:t>Disaggregation of Revenue</w:t>
      </w:r>
    </w:p>
    <w:p>
      <w:pPr>
        <w:ind w:right="200" w:firstLine="637"/>
        <w:spacing w:after="0" w:line="306" w:lineRule="auto"/>
        <w:rPr>
          <w:sz w:val="20"/>
          <w:szCs w:val="20"/>
          <w:color w:val="auto"/>
        </w:rPr>
      </w:pPr>
      <w:r>
        <w:rPr>
          <w:rFonts w:ascii="Arial" w:cs="Arial" w:eastAsia="Arial" w:hAnsi="Arial"/>
          <w:sz w:val="17"/>
          <w:szCs w:val="17"/>
          <w:color w:val="auto"/>
        </w:rPr>
        <w:t>The Company’s contracts contain both fixed-price and cost reimbursable components. Contract types are based on the component that represents the majority of the contract. The following table presents revenue disaggregated by contract type (in thousands):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9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640" w:type="dxa"/>
            <w:vAlign w:val="bottom"/>
            <w:tcBorders>
              <w:bottom w:val="single" w:sz="8" w:color="auto"/>
            </w:tcBorders>
            <w:gridSpan w:val="4"/>
          </w:tcPr>
          <w:p>
            <w:pPr>
              <w:jc w:val="right"/>
              <w:ind w:right="69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rPr>
              <w:t>Nine Months Ended</w:t>
            </w:r>
          </w:p>
        </w:tc>
        <w:tc>
          <w:tcPr>
            <w:tcW w:w="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69"/>
        </w:trPr>
        <w:tc>
          <w:tcPr>
            <w:tcW w:w="4940" w:type="dxa"/>
            <w:vAlign w:val="bottom"/>
          </w:tcPr>
          <w:p>
            <w:pPr>
              <w:spacing w:after="0"/>
              <w:rPr>
                <w:sz w:val="14"/>
                <w:szCs w:val="14"/>
                <w:color w:val="auto"/>
              </w:rPr>
            </w:pPr>
          </w:p>
        </w:tc>
        <w:tc>
          <w:tcPr>
            <w:tcW w:w="160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 2020</w:t>
            </w:r>
          </w:p>
        </w:tc>
        <w:tc>
          <w:tcPr>
            <w:tcW w:w="138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 2019</w:t>
            </w:r>
          </w:p>
        </w:tc>
        <w:tc>
          <w:tcPr>
            <w:tcW w:w="220" w:type="dxa"/>
            <w:vAlign w:val="bottom"/>
          </w:tcPr>
          <w:p>
            <w:pPr>
              <w:spacing w:after="0"/>
              <w:rPr>
                <w:sz w:val="14"/>
                <w:szCs w:val="14"/>
                <w:color w:val="auto"/>
              </w:rPr>
            </w:pPr>
          </w:p>
        </w:tc>
        <w:tc>
          <w:tcPr>
            <w:tcW w:w="162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 2020</w:t>
            </w:r>
          </w:p>
        </w:tc>
        <w:tc>
          <w:tcPr>
            <w:tcW w:w="1380" w:type="dxa"/>
            <w:vAlign w:val="bottom"/>
            <w:gridSpan w:val="2"/>
          </w:tcPr>
          <w:p>
            <w:pPr>
              <w:spacing w:after="0"/>
              <w:rPr>
                <w:sz w:val="20"/>
                <w:szCs w:val="20"/>
                <w:color w:val="auto"/>
              </w:rPr>
            </w:pPr>
            <w:r>
              <w:rPr>
                <w:rFonts w:ascii="Arial" w:cs="Arial" w:eastAsia="Arial" w:hAnsi="Arial"/>
                <w:sz w:val="14"/>
                <w:szCs w:val="14"/>
                <w:b w:val="1"/>
                <w:bCs w:val="1"/>
                <w:color w:val="auto"/>
              </w:rPr>
              <w:t>September 30, 2019</w:t>
            </w:r>
          </w:p>
        </w:tc>
        <w:tc>
          <w:tcPr>
            <w:tcW w:w="100" w:type="dxa"/>
            <w:vAlign w:val="bottom"/>
          </w:tcPr>
          <w:p>
            <w:pPr>
              <w:spacing w:after="0"/>
              <w:rPr>
                <w:sz w:val="14"/>
                <w:szCs w:val="14"/>
                <w:color w:val="auto"/>
              </w:rPr>
            </w:pPr>
          </w:p>
        </w:tc>
      </w:tr>
      <w:tr>
        <w:trPr>
          <w:trHeight w:val="209"/>
        </w:trPr>
        <w:tc>
          <w:tcPr>
            <w:tcW w:w="4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Fixed-Price</w:t>
            </w:r>
          </w:p>
        </w:tc>
        <w:tc>
          <w:tcPr>
            <w:tcW w:w="3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324,901</w:t>
            </w:r>
          </w:p>
        </w:tc>
        <w:tc>
          <w:tcPr>
            <w:tcW w:w="22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288,316</w:t>
            </w:r>
          </w:p>
        </w:tc>
        <w:tc>
          <w:tcPr>
            <w:tcW w:w="22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944,577</w:t>
            </w:r>
          </w:p>
        </w:tc>
        <w:tc>
          <w:tcPr>
            <w:tcW w:w="240" w:type="dxa"/>
            <w:vAlign w:val="bottom"/>
            <w:tcBorders>
              <w:top w:val="single" w:sz="8" w:color="CFF0FC"/>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850,658</w:t>
            </w: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Time-and-Materials</w:t>
            </w: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265,987</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285,586</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777,807</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810,656</w:t>
            </w:r>
          </w:p>
        </w:tc>
        <w:tc>
          <w:tcPr>
            <w:tcW w:w="100" w:type="dxa"/>
            <w:vAlign w:val="bottom"/>
          </w:tcPr>
          <w:p>
            <w:pPr>
              <w:spacing w:after="0"/>
              <w:rPr>
                <w:sz w:val="18"/>
                <w:szCs w:val="18"/>
                <w:color w:val="auto"/>
              </w:rPr>
            </w:pPr>
          </w:p>
        </w:tc>
      </w:tr>
      <w:tr>
        <w:trPr>
          <w:trHeight w:val="216"/>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Cost-Plus</w:t>
            </w:r>
          </w:p>
        </w:tc>
        <w:tc>
          <w:tcPr>
            <w:tcW w:w="34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413,348</w:t>
            </w:r>
          </w:p>
        </w:tc>
        <w:tc>
          <w:tcPr>
            <w:tcW w:w="220" w:type="dxa"/>
            <w:vAlign w:val="bottom"/>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449,375</w:t>
            </w:r>
          </w:p>
        </w:tc>
        <w:tc>
          <w:tcPr>
            <w:tcW w:w="220" w:type="dxa"/>
            <w:vAlign w:val="bottom"/>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1,232,304</w:t>
            </w:r>
          </w:p>
        </w:tc>
        <w:tc>
          <w:tcPr>
            <w:tcW w:w="240" w:type="dxa"/>
            <w:vAlign w:val="bottom"/>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1,256,110</w:t>
            </w:r>
          </w:p>
        </w:tc>
        <w:tc>
          <w:tcPr>
            <w:tcW w:w="100" w:type="dxa"/>
            <w:vAlign w:val="bottom"/>
            <w:shd w:val="clear" w:color="auto" w:fill="CFF0FC"/>
          </w:tcPr>
          <w:p>
            <w:pPr>
              <w:spacing w:after="0"/>
              <w:rPr>
                <w:sz w:val="18"/>
                <w:szCs w:val="18"/>
                <w:color w:val="auto"/>
              </w:rPr>
            </w:pPr>
          </w:p>
        </w:tc>
      </w:tr>
      <w:tr>
        <w:trPr>
          <w:trHeight w:val="210"/>
        </w:trPr>
        <w:tc>
          <w:tcPr>
            <w:tcW w:w="4940" w:type="dxa"/>
            <w:vAlign w:val="bottom"/>
          </w:tcPr>
          <w:p>
            <w:pPr>
              <w:ind w:left="26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1,004,236</w:t>
            </w:r>
          </w:p>
        </w:tc>
        <w:tc>
          <w:tcPr>
            <w:tcW w:w="220" w:type="dxa"/>
            <w:vAlign w:val="bottom"/>
          </w:tcPr>
          <w:p>
            <w:pPr>
              <w:spacing w:after="0"/>
              <w:rPr>
                <w:sz w:val="18"/>
                <w:szCs w:val="18"/>
                <w:color w:val="auto"/>
              </w:rPr>
            </w:pPr>
          </w:p>
        </w:tc>
        <w:tc>
          <w:tcPr>
            <w:tcW w:w="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1,023,277</w:t>
            </w:r>
          </w:p>
        </w:tc>
        <w:tc>
          <w:tcPr>
            <w:tcW w:w="220" w:type="dxa"/>
            <w:vAlign w:val="bottom"/>
          </w:tcPr>
          <w:p>
            <w:pPr>
              <w:spacing w:after="0"/>
              <w:rPr>
                <w:sz w:val="18"/>
                <w:szCs w:val="18"/>
                <w:color w:val="auto"/>
              </w:rPr>
            </w:pPr>
          </w:p>
        </w:tc>
        <w:tc>
          <w:tcPr>
            <w:tcW w:w="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2,954,688</w:t>
            </w:r>
          </w:p>
        </w:tc>
        <w:tc>
          <w:tcPr>
            <w:tcW w:w="240" w:type="dxa"/>
            <w:vAlign w:val="bottom"/>
          </w:tcPr>
          <w:p>
            <w:pPr>
              <w:spacing w:after="0"/>
              <w:rPr>
                <w:sz w:val="18"/>
                <w:szCs w:val="18"/>
                <w:color w:val="auto"/>
              </w:rPr>
            </w:pPr>
          </w:p>
        </w:tc>
        <w:tc>
          <w:tcPr>
            <w:tcW w:w="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2,917,424</w:t>
            </w:r>
          </w:p>
        </w:tc>
        <w:tc>
          <w:tcPr>
            <w:tcW w:w="100" w:type="dxa"/>
            <w:vAlign w:val="bottom"/>
          </w:tcPr>
          <w:p>
            <w:pPr>
              <w:spacing w:after="0"/>
              <w:rPr>
                <w:sz w:val="18"/>
                <w:szCs w:val="18"/>
                <w:color w:val="auto"/>
              </w:rPr>
            </w:pPr>
          </w:p>
        </w:tc>
      </w:tr>
    </w:tbl>
    <w:p>
      <w:pPr>
        <w:spacing w:after="0" w:line="19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See “Note 18 – Segments Information” for the Company’s revenues by business lines.</w:t>
      </w:r>
    </w:p>
    <w:p>
      <w:pPr>
        <w:spacing w:after="0" w:line="212"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3" w:name="page14"/>
    <w:bookmarkEnd w:id="13"/>
    <w:p>
      <w:pPr>
        <w:ind w:left="660"/>
        <w:spacing w:after="0"/>
        <w:rPr>
          <w:sz w:val="20"/>
          <w:szCs w:val="20"/>
          <w:color w:val="auto"/>
        </w:rPr>
      </w:pPr>
      <w:r>
        <w:rPr>
          <w:rFonts w:ascii="Arial" w:cs="Arial" w:eastAsia="Arial" w:hAnsi="Arial"/>
          <w:sz w:val="18"/>
          <w:szCs w:val="18"/>
          <w:b w:val="1"/>
          <w:bCs w:val="1"/>
          <w:i w:val="1"/>
          <w:iCs w:val="1"/>
          <w:color w:val="auto"/>
        </w:rPr>
        <w:t>Contract Assets and Contract Liabilities</w:t>
      </w:r>
    </w:p>
    <w:p>
      <w:pPr>
        <w:spacing w:after="0" w:line="10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Contract assets and contract liabilities balances at September 30, 2020 and December 31, 2019 were as follows (in thousands):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920" w:type="dxa"/>
            <w:vAlign w:val="bottom"/>
            <w:tcBorders>
              <w:bottom w:val="single" w:sz="8" w:color="CFF0FC"/>
            </w:tcBorders>
          </w:tcPr>
          <w:p>
            <w:pPr>
              <w:spacing w:after="0"/>
              <w:rPr>
                <w:sz w:val="15"/>
                <w:szCs w:val="15"/>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 2020</w:t>
            </w:r>
          </w:p>
        </w:tc>
        <w:tc>
          <w:tcPr>
            <w:tcW w:w="240" w:type="dxa"/>
            <w:vAlign w:val="bottom"/>
            <w:tcBorders>
              <w:bottom w:val="single" w:sz="8" w:color="CFF0FC"/>
            </w:tcBorders>
          </w:tcPr>
          <w:p>
            <w:pPr>
              <w:spacing w:after="0"/>
              <w:rPr>
                <w:sz w:val="15"/>
                <w:szCs w:val="15"/>
                <w:color w:val="auto"/>
              </w:rPr>
            </w:pPr>
          </w:p>
        </w:tc>
        <w:tc>
          <w:tcPr>
            <w:tcW w:w="13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December 31, 2019</w:t>
            </w:r>
          </w:p>
        </w:tc>
        <w:tc>
          <w:tcPr>
            <w:tcW w:w="22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 change</w:t>
            </w:r>
          </w:p>
        </w:tc>
        <w:tc>
          <w:tcPr>
            <w:tcW w:w="220" w:type="dxa"/>
            <w:vAlign w:val="bottom"/>
            <w:tcBorders>
              <w:bottom w:val="single" w:sz="8" w:color="CFF0FC"/>
            </w:tcBorders>
          </w:tcPr>
          <w:p>
            <w:pPr>
              <w:spacing w:after="0"/>
              <w:rPr>
                <w:sz w:val="15"/>
                <w:szCs w:val="15"/>
                <w:color w:val="auto"/>
              </w:rPr>
            </w:pPr>
          </w:p>
        </w:tc>
        <w:tc>
          <w:tcPr>
            <w:tcW w:w="136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 change</w:t>
            </w:r>
          </w:p>
        </w:tc>
        <w:tc>
          <w:tcPr>
            <w:tcW w:w="18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Contract assets</w:t>
            </w:r>
          </w:p>
        </w:tc>
        <w:tc>
          <w:tcPr>
            <w:tcW w:w="400" w:type="dxa"/>
            <w:vAlign w:val="bottom"/>
            <w:shd w:val="clear" w:color="auto" w:fill="CFF0FC"/>
          </w:tcPr>
          <w:p>
            <w:pPr>
              <w:jc w:val="right"/>
              <w:ind w:right="216"/>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610,893</w:t>
            </w: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575,089</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35,804</w:t>
            </w:r>
          </w:p>
        </w:tc>
        <w:tc>
          <w:tcPr>
            <w:tcW w:w="22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Contract liabilities</w:t>
            </w: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212,373</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230,681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(18,308)</w:t>
            </w: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
        </w:trPr>
        <w:tc>
          <w:tcPr>
            <w:tcW w:w="492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Net contract assets (liabilities) (1)</w:t>
            </w:r>
          </w:p>
        </w:tc>
        <w:tc>
          <w:tcPr>
            <w:tcW w:w="4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920" w:type="dxa"/>
            <w:vAlign w:val="bottom"/>
            <w:vMerge w:val="continue"/>
            <w:shd w:val="clear" w:color="auto" w:fill="CFF0FC"/>
          </w:tcPr>
          <w:p>
            <w:pPr>
              <w:spacing w:after="0"/>
              <w:rPr>
                <w:sz w:val="18"/>
                <w:szCs w:val="18"/>
                <w:color w:val="auto"/>
              </w:rPr>
            </w:pPr>
          </w:p>
        </w:tc>
        <w:tc>
          <w:tcPr>
            <w:tcW w:w="400" w:type="dxa"/>
            <w:vAlign w:val="bottom"/>
            <w:shd w:val="clear" w:color="auto" w:fill="CFF0FC"/>
          </w:tcPr>
          <w:p>
            <w:pPr>
              <w:jc w:val="right"/>
              <w:ind w:right="216"/>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398,520</w:t>
            </w: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344,408</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54,112</w:t>
            </w:r>
          </w:p>
        </w:tc>
        <w:tc>
          <w:tcPr>
            <w:tcW w:w="22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0"/>
        </w:trPr>
        <w:tc>
          <w:tcPr>
            <w:tcW w:w="492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ind w:left="640" w:right="300" w:hanging="632"/>
        <w:spacing w:after="0" w:line="252"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Total contract retentions included in net contract assets (liabilities) were $89.8 million as of September 30, 2020, of which $42.0 million are not expected to be paid in the next 12 months. Total contract retentions included in net contract assets (liabilities) were $85.5 million as of December 31, 2019. Contract assets at September 30, 2020 and December 31, 2019 include $96.2 million and $73.0 million, respectively, related to unapproved change orders, claims, and requests for equitable adjustment. For the three and nine months ended September 30, 2020 and September 30, 2019, there were no material losses recognized related to the collectability of claims, unapproved change orders, and requests for equitable adjustment.</w:t>
      </w:r>
    </w:p>
    <w:p>
      <w:pPr>
        <w:spacing w:after="0" w:line="167" w:lineRule="exact"/>
        <w:rPr>
          <w:sz w:val="20"/>
          <w:szCs w:val="20"/>
          <w:color w:val="auto"/>
        </w:rPr>
      </w:pPr>
    </w:p>
    <w:p>
      <w:pPr>
        <w:ind w:right="180" w:firstLine="637"/>
        <w:spacing w:after="0" w:line="248" w:lineRule="auto"/>
        <w:rPr>
          <w:sz w:val="20"/>
          <w:szCs w:val="20"/>
          <w:color w:val="auto"/>
        </w:rPr>
      </w:pPr>
      <w:r>
        <w:rPr>
          <w:rFonts w:ascii="Arial" w:cs="Arial" w:eastAsia="Arial" w:hAnsi="Arial"/>
          <w:sz w:val="18"/>
          <w:szCs w:val="18"/>
          <w:color w:val="auto"/>
        </w:rPr>
        <w:t>During the three months ended September 30, 2020 and September 30, 2019, the Company recognized revenue of $9.5 million and $ 2.1 million, respectively, and $132.2 million and $115.1 million during the nine months ended September 30, 2020 and September 30, 2019, respectively that was included in the corresponding contract liability balances at December 31, 2019 and December 31, 2018, respectively. Certain changes in contract assets and contract liabilities consisted of the following:</w:t>
      </w:r>
    </w:p>
    <w:p>
      <w:pPr>
        <w:spacing w:after="0" w:line="246" w:lineRule="exact"/>
        <w:rPr>
          <w:sz w:val="20"/>
          <w:szCs w:val="20"/>
          <w:color w:val="auto"/>
        </w:rPr>
      </w:pPr>
    </w:p>
    <w:tbl>
      <w:tblPr>
        <w:tblLayout w:type="fixed"/>
        <w:tblInd w:w="580" w:type="dxa"/>
        <w:tblCellMar>
          <w:top w:w="0" w:type="dxa"/>
          <w:left w:w="0" w:type="dxa"/>
          <w:bottom w:w="0" w:type="dxa"/>
          <w:right w:w="0" w:type="dxa"/>
        </w:tblCellMar>
      </w:tblPr>
      <w:tr>
        <w:trPr>
          <w:trHeight w:val="203"/>
        </w:trPr>
        <w:tc>
          <w:tcPr>
            <w:tcW w:w="62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b w:val="1"/>
                <w:bCs w:val="1"/>
                <w:color w:val="auto"/>
              </w:rPr>
              <w:t>September 30, 2020</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2019</w:t>
            </w:r>
          </w:p>
        </w:tc>
      </w:tr>
      <w:tr>
        <w:trPr>
          <w:trHeight w:val="210"/>
        </w:trPr>
        <w:tc>
          <w:tcPr>
            <w:tcW w:w="6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Acquired contract assets</w:t>
            </w:r>
          </w:p>
        </w:tc>
        <w:tc>
          <w:tcPr>
            <w:tcW w:w="1620" w:type="dxa"/>
            <w:vAlign w:val="bottom"/>
            <w:tcBorders>
              <w:top w:val="single" w:sz="8" w:color="auto"/>
            </w:tcBorders>
            <w:shd w:val="clear" w:color="auto" w:fill="CFF0FC"/>
          </w:tcPr>
          <w:p>
            <w:pPr>
              <w:jc w:val="right"/>
              <w:ind w:right="1439"/>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9,747</w:t>
            </w:r>
          </w:p>
        </w:tc>
        <w:tc>
          <w:tcPr>
            <w:tcW w:w="120" w:type="dxa"/>
            <w:vAlign w:val="bottom"/>
            <w:tcBorders>
              <w:top w:val="single" w:sz="8" w:color="CFF0FC"/>
            </w:tcBorders>
            <w:shd w:val="clear" w:color="auto" w:fill="CFF0FC"/>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Acquired contract liabilities</w:t>
            </w:r>
          </w:p>
        </w:tc>
        <w:tc>
          <w:tcPr>
            <w:tcW w:w="16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1,300</w:t>
            </w:r>
          </w:p>
        </w:tc>
        <w:tc>
          <w:tcPr>
            <w:tcW w:w="120" w:type="dxa"/>
            <w:vAlign w:val="bottom"/>
          </w:tcPr>
          <w:p>
            <w:pPr>
              <w:spacing w:after="0"/>
              <w:rPr>
                <w:sz w:val="18"/>
                <w:szCs w:val="18"/>
                <w:color w:val="auto"/>
              </w:rPr>
            </w:pPr>
          </w:p>
        </w:tc>
      </w:tr>
      <w:tr>
        <w:trPr>
          <w:trHeight w:val="216"/>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Change in the estimate of variable consideration</w:t>
            </w:r>
          </w:p>
        </w:tc>
        <w:tc>
          <w:tcPr>
            <w:tcW w:w="16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12,166</w:t>
            </w:r>
          </w:p>
        </w:tc>
        <w:tc>
          <w:tcPr>
            <w:tcW w:w="120" w:type="dxa"/>
            <w:vAlign w:val="bottom"/>
            <w:shd w:val="clear" w:color="auto" w:fill="CFF0FC"/>
          </w:tcPr>
          <w:p>
            <w:pPr>
              <w:spacing w:after="0"/>
              <w:rPr>
                <w:sz w:val="18"/>
                <w:szCs w:val="18"/>
                <w:color w:val="auto"/>
              </w:rPr>
            </w:pPr>
          </w:p>
        </w:tc>
      </w:tr>
    </w:tbl>
    <w:p>
      <w:pPr>
        <w:spacing w:after="0" w:line="355" w:lineRule="exact"/>
        <w:rPr>
          <w:sz w:val="20"/>
          <w:szCs w:val="20"/>
          <w:color w:val="auto"/>
        </w:rPr>
      </w:pPr>
    </w:p>
    <w:p>
      <w:pPr>
        <w:ind w:right="280" w:firstLine="752"/>
        <w:spacing w:after="0" w:line="292" w:lineRule="auto"/>
        <w:rPr>
          <w:sz w:val="20"/>
          <w:szCs w:val="20"/>
          <w:color w:val="auto"/>
        </w:rPr>
      </w:pPr>
      <w:r>
        <w:rPr>
          <w:rFonts w:ascii="Arial" w:cs="Arial" w:eastAsia="Arial" w:hAnsi="Arial"/>
          <w:sz w:val="18"/>
          <w:szCs w:val="18"/>
          <w:color w:val="auto"/>
        </w:rPr>
        <w:t>There was no significant impairment of contract assets recognized during the three and nine months ended September 30, 2020 and September 30, 2019.</w:t>
      </w:r>
    </w:p>
    <w:p>
      <w:pPr>
        <w:spacing w:after="0" w:line="158" w:lineRule="exact"/>
        <w:rPr>
          <w:sz w:val="20"/>
          <w:szCs w:val="20"/>
          <w:color w:val="auto"/>
        </w:rPr>
      </w:pPr>
    </w:p>
    <w:p>
      <w:pPr>
        <w:ind w:right="220" w:firstLine="741"/>
        <w:spacing w:after="0" w:line="309" w:lineRule="auto"/>
        <w:rPr>
          <w:sz w:val="20"/>
          <w:szCs w:val="20"/>
          <w:color w:val="auto"/>
        </w:rPr>
      </w:pPr>
      <w:r>
        <w:rPr>
          <w:rFonts w:ascii="Arial" w:cs="Arial" w:eastAsia="Arial" w:hAnsi="Arial"/>
          <w:sz w:val="18"/>
          <w:szCs w:val="18"/>
          <w:color w:val="auto"/>
        </w:rPr>
        <w:t>Revisions in estimates, such as changes in estimated claims or incentives, related to performance obligations partially satisfied in previous periods that individually had an impact of $5 million or more on revenue resulted in the following changes in revenue: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94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3"/>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6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rPr>
              <w:t>Nine Months Ended</w:t>
            </w:r>
          </w:p>
        </w:tc>
        <w:tc>
          <w:tcPr>
            <w:tcW w:w="6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69"/>
        </w:trPr>
        <w:tc>
          <w:tcPr>
            <w:tcW w:w="4940" w:type="dxa"/>
            <w:vAlign w:val="bottom"/>
          </w:tcPr>
          <w:p>
            <w:pPr>
              <w:spacing w:after="0"/>
              <w:rPr>
                <w:sz w:val="14"/>
                <w:szCs w:val="14"/>
                <w:color w:val="auto"/>
              </w:rPr>
            </w:pPr>
          </w:p>
        </w:tc>
        <w:tc>
          <w:tcPr>
            <w:tcW w:w="160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 2020</w:t>
            </w:r>
          </w:p>
        </w:tc>
        <w:tc>
          <w:tcPr>
            <w:tcW w:w="138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 2019</w:t>
            </w:r>
          </w:p>
        </w:tc>
        <w:tc>
          <w:tcPr>
            <w:tcW w:w="220" w:type="dxa"/>
            <w:vAlign w:val="bottom"/>
          </w:tcPr>
          <w:p>
            <w:pPr>
              <w:spacing w:after="0"/>
              <w:rPr>
                <w:sz w:val="14"/>
                <w:szCs w:val="14"/>
                <w:color w:val="auto"/>
              </w:rPr>
            </w:pPr>
          </w:p>
        </w:tc>
        <w:tc>
          <w:tcPr>
            <w:tcW w:w="162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 2020</w:t>
            </w:r>
          </w:p>
        </w:tc>
        <w:tc>
          <w:tcPr>
            <w:tcW w:w="1380" w:type="dxa"/>
            <w:vAlign w:val="bottom"/>
            <w:gridSpan w:val="2"/>
          </w:tcPr>
          <w:p>
            <w:pPr>
              <w:spacing w:after="0"/>
              <w:rPr>
                <w:sz w:val="20"/>
                <w:szCs w:val="20"/>
                <w:color w:val="auto"/>
              </w:rPr>
            </w:pPr>
            <w:r>
              <w:rPr>
                <w:rFonts w:ascii="Arial" w:cs="Arial" w:eastAsia="Arial" w:hAnsi="Arial"/>
                <w:sz w:val="14"/>
                <w:szCs w:val="14"/>
                <w:b w:val="1"/>
                <w:bCs w:val="1"/>
                <w:color w:val="auto"/>
              </w:rPr>
              <w:t>September 30, 2019</w:t>
            </w:r>
          </w:p>
        </w:tc>
        <w:tc>
          <w:tcPr>
            <w:tcW w:w="100" w:type="dxa"/>
            <w:vAlign w:val="bottom"/>
          </w:tcPr>
          <w:p>
            <w:pPr>
              <w:spacing w:after="0"/>
              <w:rPr>
                <w:sz w:val="14"/>
                <w:szCs w:val="14"/>
                <w:color w:val="auto"/>
              </w:rPr>
            </w:pPr>
          </w:p>
        </w:tc>
      </w:tr>
      <w:tr>
        <w:trPr>
          <w:trHeight w:val="210"/>
        </w:trPr>
        <w:tc>
          <w:tcPr>
            <w:tcW w:w="4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 impact, net</w:t>
            </w:r>
          </w:p>
        </w:tc>
        <w:tc>
          <w:tcPr>
            <w:tcW w:w="4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w:t>
            </w:r>
          </w:p>
        </w:tc>
        <w:tc>
          <w:tcPr>
            <w:tcW w:w="22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9,116</w:t>
            </w:r>
          </w:p>
        </w:tc>
        <w:tc>
          <w:tcPr>
            <w:tcW w:w="220" w:type="dxa"/>
            <w:vAlign w:val="bottom"/>
            <w:tcBorders>
              <w:top w:val="single" w:sz="8" w:color="CFF0FC"/>
            </w:tcBorders>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8,848</w:t>
            </w:r>
          </w:p>
        </w:tc>
        <w:tc>
          <w:tcPr>
            <w:tcW w:w="240" w:type="dxa"/>
            <w:vAlign w:val="bottom"/>
            <w:tcBorders>
              <w:top w:val="single" w:sz="8" w:color="CFF0FC"/>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9,116</w:t>
            </w:r>
          </w:p>
        </w:tc>
        <w:tc>
          <w:tcPr>
            <w:tcW w:w="100" w:type="dxa"/>
            <w:vAlign w:val="bottom"/>
            <w:tcBorders>
              <w:top w:val="single" w:sz="8" w:color="CFF0FC"/>
            </w:tcBorders>
            <w:shd w:val="clear" w:color="auto" w:fill="CFF0FC"/>
          </w:tcPr>
          <w:p>
            <w:pPr>
              <w:spacing w:after="0"/>
              <w:rPr>
                <w:sz w:val="18"/>
                <w:szCs w:val="18"/>
                <w:color w:val="auto"/>
              </w:rPr>
            </w:pPr>
          </w:p>
        </w:tc>
      </w:tr>
    </w:tbl>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Accounts Receivable, net</w:t>
      </w:r>
    </w:p>
    <w:p>
      <w:pPr>
        <w:spacing w:after="0" w:line="10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Accounts receivable, net consisted of the following as of September 30, 2020 and December 31, 2019 (in thousands):</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02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September 30, 2020</w:t>
            </w:r>
          </w:p>
        </w:tc>
        <w:tc>
          <w:tcPr>
            <w:tcW w:w="180" w:type="dxa"/>
            <w:vAlign w:val="bottom"/>
          </w:tcPr>
          <w:p>
            <w:pPr>
              <w:spacing w:after="0"/>
              <w:rPr>
                <w:sz w:val="17"/>
                <w:szCs w:val="17"/>
                <w:color w:val="auto"/>
              </w:rPr>
            </w:pPr>
          </w:p>
        </w:tc>
        <w:tc>
          <w:tcPr>
            <w:tcW w:w="17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December 31, 2019</w:t>
            </w:r>
          </w:p>
        </w:tc>
      </w:tr>
      <w:tr>
        <w:trPr>
          <w:trHeight w:val="210"/>
        </w:trPr>
        <w:tc>
          <w:tcPr>
            <w:tcW w:w="5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Billed</w:t>
            </w:r>
          </w:p>
        </w:tc>
        <w:tc>
          <w:tcPr>
            <w:tcW w:w="23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527,654</w:t>
            </w:r>
          </w:p>
        </w:tc>
        <w:tc>
          <w:tcPr>
            <w:tcW w:w="26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475,528</w:t>
            </w:r>
          </w:p>
        </w:tc>
        <w:tc>
          <w:tcPr>
            <w:tcW w:w="120" w:type="dxa"/>
            <w:vAlign w:val="bottom"/>
            <w:tcBorders>
              <w:top w:val="single" w:sz="8" w:color="CFF0FC"/>
            </w:tcBorders>
            <w:shd w:val="clear" w:color="auto" w:fill="CFF0FC"/>
          </w:tcPr>
          <w:p>
            <w:pPr>
              <w:spacing w:after="0"/>
              <w:rPr>
                <w:sz w:val="18"/>
                <w:szCs w:val="18"/>
                <w:color w:val="auto"/>
              </w:rPr>
            </w:pPr>
          </w:p>
        </w:tc>
      </w:tr>
      <w:tr>
        <w:trPr>
          <w:trHeight w:val="216"/>
        </w:trPr>
        <w:tc>
          <w:tcPr>
            <w:tcW w:w="50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Unbilled</w:t>
            </w:r>
          </w:p>
        </w:tc>
        <w:tc>
          <w:tcPr>
            <w:tcW w:w="230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252,963</w:t>
            </w:r>
          </w:p>
        </w:tc>
        <w:tc>
          <w:tcPr>
            <w:tcW w:w="26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201,461</w:t>
            </w:r>
          </w:p>
        </w:tc>
        <w:tc>
          <w:tcPr>
            <w:tcW w:w="120" w:type="dxa"/>
            <w:vAlign w:val="bottom"/>
            <w:tcBorders>
              <w:bottom w:val="single" w:sz="8" w:color="CFF0FC"/>
            </w:tcBorders>
          </w:tcPr>
          <w:p>
            <w:pPr>
              <w:spacing w:after="0"/>
              <w:rPr>
                <w:sz w:val="18"/>
                <w:szCs w:val="18"/>
                <w:color w:val="auto"/>
              </w:rPr>
            </w:pPr>
          </w:p>
        </w:tc>
      </w:tr>
      <w:tr>
        <w:trPr>
          <w:trHeight w:val="209"/>
        </w:trPr>
        <w:tc>
          <w:tcPr>
            <w:tcW w:w="5020" w:type="dxa"/>
            <w:vAlign w:val="bottom"/>
            <w:shd w:val="clear" w:color="auto" w:fill="CFF0FC"/>
          </w:tcPr>
          <w:p>
            <w:pPr>
              <w:ind w:left="160"/>
              <w:spacing w:after="0"/>
              <w:rPr>
                <w:sz w:val="20"/>
                <w:szCs w:val="20"/>
                <w:color w:val="auto"/>
              </w:rPr>
            </w:pPr>
            <w:r>
              <w:rPr>
                <w:rFonts w:ascii="Arial" w:cs="Arial" w:eastAsia="Arial" w:hAnsi="Arial"/>
                <w:sz w:val="18"/>
                <w:szCs w:val="18"/>
                <w:color w:val="auto"/>
              </w:rPr>
              <w:t>Total accounts receivable, gross</w:t>
            </w:r>
          </w:p>
        </w:tc>
        <w:tc>
          <w:tcPr>
            <w:tcW w:w="2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780,617</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676,989</w:t>
            </w:r>
          </w:p>
        </w:tc>
        <w:tc>
          <w:tcPr>
            <w:tcW w:w="120" w:type="dxa"/>
            <w:vAlign w:val="bottom"/>
            <w:shd w:val="clear" w:color="auto" w:fill="CFF0FC"/>
          </w:tcPr>
          <w:p>
            <w:pPr>
              <w:spacing w:after="0"/>
              <w:rPr>
                <w:sz w:val="18"/>
                <w:szCs w:val="18"/>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2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80" w:type="dxa"/>
            <w:vAlign w:val="bottom"/>
            <w:gridSpan w:val="2"/>
          </w:tcPr>
          <w:p>
            <w:pPr>
              <w:jc w:val="right"/>
              <w:ind w:right="200"/>
              <w:spacing w:after="0"/>
              <w:rPr>
                <w:sz w:val="20"/>
                <w:szCs w:val="20"/>
                <w:color w:val="auto"/>
              </w:rPr>
            </w:pPr>
            <w:r>
              <w:rPr>
                <w:rFonts w:ascii="Arial" w:cs="Arial" w:eastAsia="Arial" w:hAnsi="Arial"/>
                <w:sz w:val="18"/>
                <w:szCs w:val="18"/>
                <w:color w:val="auto"/>
              </w:rPr>
              <w:t>(5,557)</w:t>
            </w:r>
          </w:p>
        </w:tc>
        <w:tc>
          <w:tcPr>
            <w:tcW w:w="180" w:type="dxa"/>
            <w:vAlign w:val="bottom"/>
          </w:tcPr>
          <w:p>
            <w:pPr>
              <w:spacing w:after="0"/>
              <w:rPr>
                <w:sz w:val="18"/>
                <w:szCs w:val="18"/>
                <w:color w:val="auto"/>
              </w:rPr>
            </w:pPr>
          </w:p>
        </w:tc>
        <w:tc>
          <w:tcPr>
            <w:tcW w:w="1720" w:type="dxa"/>
            <w:vAlign w:val="bottom"/>
            <w:gridSpan w:val="2"/>
          </w:tcPr>
          <w:p>
            <w:pPr>
              <w:jc w:val="right"/>
              <w:ind w:right="60"/>
              <w:spacing w:after="0"/>
              <w:rPr>
                <w:sz w:val="20"/>
                <w:szCs w:val="20"/>
                <w:color w:val="auto"/>
              </w:rPr>
            </w:pPr>
            <w:r>
              <w:rPr>
                <w:rFonts w:ascii="Arial" w:cs="Arial" w:eastAsia="Arial" w:hAnsi="Arial"/>
                <w:sz w:val="18"/>
                <w:szCs w:val="18"/>
                <w:color w:val="auto"/>
              </w:rPr>
              <w:t>(5,497)</w:t>
            </w:r>
          </w:p>
        </w:tc>
      </w:tr>
      <w:tr>
        <w:trPr>
          <w:trHeight w:val="209"/>
        </w:trPr>
        <w:tc>
          <w:tcPr>
            <w:tcW w:w="5020" w:type="dxa"/>
            <w:vAlign w:val="bottom"/>
            <w:tcBorders>
              <w:top w:val="single" w:sz="8" w:color="CFF0FC"/>
              <w:bottom w:val="single" w:sz="8" w:color="CFF0FC"/>
            </w:tcBorders>
            <w:shd w:val="clear" w:color="auto" w:fill="CFF0FC"/>
          </w:tcPr>
          <w:p>
            <w:pPr>
              <w:ind w:left="160"/>
              <w:spacing w:after="0"/>
              <w:rPr>
                <w:sz w:val="20"/>
                <w:szCs w:val="20"/>
                <w:color w:val="auto"/>
              </w:rPr>
            </w:pPr>
            <w:r>
              <w:rPr>
                <w:rFonts w:ascii="Arial" w:cs="Arial" w:eastAsia="Arial" w:hAnsi="Arial"/>
                <w:sz w:val="18"/>
                <w:szCs w:val="18"/>
                <w:color w:val="auto"/>
              </w:rPr>
              <w:t>Total accounts receivable, net</w:t>
            </w:r>
          </w:p>
        </w:tc>
        <w:tc>
          <w:tcPr>
            <w:tcW w:w="230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775,060</w:t>
            </w:r>
          </w:p>
        </w:tc>
        <w:tc>
          <w:tcPr>
            <w:tcW w:w="26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671,492</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50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3" w:lineRule="exact"/>
        <w:rPr>
          <w:sz w:val="20"/>
          <w:szCs w:val="20"/>
          <w:color w:val="auto"/>
        </w:rPr>
      </w:pPr>
    </w:p>
    <w:p>
      <w:pPr>
        <w:ind w:right="60" w:firstLine="637"/>
        <w:spacing w:after="0" w:line="255" w:lineRule="auto"/>
        <w:rPr>
          <w:sz w:val="20"/>
          <w:szCs w:val="20"/>
          <w:color w:val="auto"/>
        </w:rPr>
      </w:pPr>
      <w:r>
        <w:rPr>
          <w:rFonts w:ascii="Arial" w:cs="Arial" w:eastAsia="Arial" w:hAnsi="Arial"/>
          <w:sz w:val="18"/>
          <w:szCs w:val="18"/>
          <w:color w:val="auto"/>
        </w:rPr>
        <w:t>Billed accounts receivable represents amounts billed to clients that have not been collected. Unbilled accounts receivable represents amounts where the Company has a present contractual right to bill but an invoice has not been issued to the customer at the period-end date.</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4" w:name="page15"/>
    <w:bookmarkEnd w:id="14"/>
    <w:p>
      <w:pPr>
        <w:ind w:right="20" w:firstLine="644"/>
        <w:spacing w:after="0" w:line="276" w:lineRule="auto"/>
        <w:rPr>
          <w:sz w:val="20"/>
          <w:szCs w:val="20"/>
          <w:color w:val="auto"/>
        </w:rPr>
      </w:pPr>
      <w:r>
        <w:rPr>
          <w:rFonts w:ascii="Arial" w:cs="Arial" w:eastAsia="Arial" w:hAnsi="Arial"/>
          <w:sz w:val="18"/>
          <w:szCs w:val="18"/>
          <w:color w:val="auto"/>
        </w:rPr>
        <w:t>In connection with the adoption of ASU 2016-13, we have modified the historical presentation of gross receivables and the allowance for doubtful accounts to reflect only expected credit losses in the allowance in conformity with the current period presentation.</w:t>
      </w:r>
    </w:p>
    <w:p>
      <w:pPr>
        <w:spacing w:after="0" w:line="145" w:lineRule="exact"/>
        <w:rPr>
          <w:sz w:val="20"/>
          <w:szCs w:val="20"/>
          <w:color w:val="auto"/>
        </w:rPr>
      </w:pPr>
    </w:p>
    <w:p>
      <w:pPr>
        <w:ind w:right="160" w:firstLine="637"/>
        <w:spacing w:after="0" w:line="245" w:lineRule="auto"/>
        <w:rPr>
          <w:sz w:val="20"/>
          <w:szCs w:val="20"/>
          <w:color w:val="auto"/>
        </w:rPr>
      </w:pPr>
      <w:r>
        <w:rPr>
          <w:rFonts w:ascii="Arial" w:cs="Arial" w:eastAsia="Arial" w:hAnsi="Arial"/>
          <w:sz w:val="18"/>
          <w:szCs w:val="18"/>
          <w:color w:val="auto"/>
        </w:rPr>
        <w:t>The allowance for doubtful accounts was determined based on consideration of trends in actual and forecasted credit quality of clients, including delinquency and payment history, type of client, such as a government agency or commercial sector client, and general economic conditions and particular industry conditions that may affect a client’s ability to pay. COVID-19 Impacts: We have not seen and do not expect there to be a risk of non-payment from either our government agency or commercial customers. We have experienced payment delays due to administrative limitations from both types of customers.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 Price Allocated to the Remaining Unsatisfied Performance Obligations</w:t>
      </w:r>
    </w:p>
    <w:p>
      <w:pPr>
        <w:spacing w:after="0" w:line="102" w:lineRule="exact"/>
        <w:rPr>
          <w:sz w:val="20"/>
          <w:szCs w:val="20"/>
          <w:color w:val="auto"/>
        </w:rPr>
      </w:pPr>
    </w:p>
    <w:p>
      <w:pPr>
        <w:ind w:right="80" w:firstLine="637"/>
        <w:spacing w:after="0" w:line="255" w:lineRule="auto"/>
        <w:rPr>
          <w:sz w:val="20"/>
          <w:szCs w:val="20"/>
          <w:color w:val="auto"/>
        </w:rPr>
      </w:pPr>
      <w:r>
        <w:rPr>
          <w:rFonts w:ascii="Arial" w:cs="Arial" w:eastAsia="Arial" w:hAnsi="Arial"/>
          <w:sz w:val="18"/>
          <w:szCs w:val="18"/>
          <w:color w:val="auto"/>
        </w:rPr>
        <w:t>The Company’s remaining unsatisfied performance obligations (“RUPO”) as of September 30, 2020 represent a measure of the total dollar value of work to be performed on contracts awarded and in-progress. The Company had $5.0 billion in RUPO as of September 30, 2020.</w:t>
      </w:r>
    </w:p>
    <w:p>
      <w:pPr>
        <w:spacing w:after="0" w:line="164" w:lineRule="exact"/>
        <w:rPr>
          <w:sz w:val="20"/>
          <w:szCs w:val="20"/>
          <w:color w:val="auto"/>
        </w:rPr>
      </w:pPr>
    </w:p>
    <w:p>
      <w:pPr>
        <w:ind w:right="120" w:firstLine="637"/>
        <w:spacing w:after="0" w:line="248" w:lineRule="auto"/>
        <w:rPr>
          <w:sz w:val="20"/>
          <w:szCs w:val="20"/>
          <w:color w:val="auto"/>
        </w:rPr>
      </w:pPr>
      <w:r>
        <w:rPr>
          <w:rFonts w:ascii="Arial" w:cs="Arial" w:eastAsia="Arial" w:hAnsi="Arial"/>
          <w:sz w:val="18"/>
          <w:szCs w:val="18"/>
          <w:color w:val="auto"/>
        </w:rPr>
        <w:t>RUPO will increase with awards of new contracts and decrease as the Company performs work and recognizes revenue on existing contracts. Projects are included within RUPO at such time the project is awarded and agreement on contract terms has been reached. The difference between RUPO and backlog relates to unexercised option years that are included within backlog and the value of Indefinite Delivery/Indefinite Quantity (“IDIQ”) contracts included in backlog for which delivery orders have not been issued.</w:t>
      </w:r>
    </w:p>
    <w:p>
      <w:pPr>
        <w:spacing w:after="0" w:line="170" w:lineRule="exact"/>
        <w:rPr>
          <w:sz w:val="20"/>
          <w:szCs w:val="20"/>
          <w:color w:val="auto"/>
        </w:rPr>
      </w:pPr>
    </w:p>
    <w:p>
      <w:pPr>
        <w:ind w:right="20" w:firstLine="637"/>
        <w:spacing w:after="0" w:line="247" w:lineRule="auto"/>
        <w:rPr>
          <w:sz w:val="20"/>
          <w:szCs w:val="20"/>
          <w:color w:val="auto"/>
        </w:rPr>
      </w:pPr>
      <w:r>
        <w:rPr>
          <w:rFonts w:ascii="Arial" w:cs="Arial" w:eastAsia="Arial" w:hAnsi="Arial"/>
          <w:sz w:val="18"/>
          <w:szCs w:val="18"/>
          <w:color w:val="auto"/>
        </w:rPr>
        <w:t>RUPO is comprised of: (a) original transaction price, (b) change orders for which written confirmations from our customers have been received, (c) pending change orders for which the Company expects to receive confirmations in the ordinary course of business, and</w:t>
      </w:r>
    </w:p>
    <w:p>
      <w:pPr>
        <w:spacing w:after="0" w:line="1" w:lineRule="exact"/>
        <w:rPr>
          <w:sz w:val="20"/>
          <w:szCs w:val="20"/>
          <w:color w:val="auto"/>
        </w:rPr>
      </w:pPr>
    </w:p>
    <w:p>
      <w:pPr>
        <w:ind w:right="740" w:firstLine="8"/>
        <w:spacing w:after="0" w:line="250" w:lineRule="auto"/>
        <w:tabs>
          <w:tab w:leader="none" w:pos="270" w:val="left"/>
        </w:tabs>
        <w:numPr>
          <w:ilvl w:val="0"/>
          <w:numId w:val="9"/>
        </w:numPr>
        <w:rPr>
          <w:rFonts w:ascii="Arial" w:cs="Arial" w:eastAsia="Arial" w:hAnsi="Arial"/>
          <w:sz w:val="18"/>
          <w:szCs w:val="18"/>
          <w:color w:val="auto"/>
        </w:rPr>
      </w:pPr>
      <w:r>
        <w:rPr>
          <w:rFonts w:ascii="Arial" w:cs="Arial" w:eastAsia="Arial" w:hAnsi="Arial"/>
          <w:sz w:val="18"/>
          <w:szCs w:val="18"/>
          <w:color w:val="auto"/>
        </w:rPr>
        <w:t>claim amounts that the Company has made against customers for which it has determined that it has a legal basis under existing contractual arrangements and a significant reversal of revenue is not probable, less revenue recognized to-date.</w:t>
      </w:r>
    </w:p>
    <w:p>
      <w:pPr>
        <w:spacing w:after="0" w:line="16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Company expects to satisfy its RUPO as of September 30, 2020 over the following periods (in thousands):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tcPr>
          <w:p>
            <w:pPr>
              <w:jc w:val="right"/>
              <w:ind w:right="257"/>
              <w:spacing w:after="0"/>
              <w:rPr>
                <w:sz w:val="20"/>
                <w:szCs w:val="20"/>
                <w:color w:val="auto"/>
              </w:rPr>
            </w:pPr>
            <w:r>
              <w:rPr>
                <w:rFonts w:ascii="Arial" w:cs="Arial" w:eastAsia="Arial" w:hAnsi="Arial"/>
                <w:sz w:val="14"/>
                <w:szCs w:val="14"/>
                <w:b w:val="1"/>
                <w:bCs w:val="1"/>
                <w:color w:val="auto"/>
              </w:rPr>
              <w:t>Within One to</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7"/>
        </w:trPr>
        <w:tc>
          <w:tcPr>
            <w:tcW w:w="5760" w:type="dxa"/>
            <w:vAlign w:val="bottom"/>
          </w:tcPr>
          <w:p>
            <w:pPr>
              <w:spacing w:after="0"/>
              <w:rPr>
                <w:sz w:val="20"/>
                <w:szCs w:val="20"/>
                <w:color w:val="auto"/>
              </w:rPr>
            </w:pPr>
            <w:r>
              <w:rPr>
                <w:rFonts w:ascii="Arial" w:cs="Arial" w:eastAsia="Arial" w:hAnsi="Arial"/>
                <w:sz w:val="14"/>
                <w:szCs w:val="14"/>
                <w:b w:val="1"/>
                <w:bCs w:val="1"/>
                <w:color w:val="auto"/>
              </w:rPr>
              <w:t>Period RUPO Will Be Satisfied</w:t>
            </w:r>
          </w:p>
        </w:tc>
        <w:tc>
          <w:tcPr>
            <w:tcW w:w="180" w:type="dxa"/>
            <w:vAlign w:val="bottom"/>
          </w:tcPr>
          <w:p>
            <w:pPr>
              <w:spacing w:after="0"/>
              <w:rPr>
                <w:sz w:val="15"/>
                <w:szCs w:val="15"/>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Within One Year</w:t>
            </w:r>
          </w:p>
        </w:tc>
        <w:tc>
          <w:tcPr>
            <w:tcW w:w="220" w:type="dxa"/>
            <w:vAlign w:val="bottom"/>
          </w:tcPr>
          <w:p>
            <w:pPr>
              <w:spacing w:after="0"/>
              <w:rPr>
                <w:sz w:val="15"/>
                <w:szCs w:val="15"/>
                <w:color w:val="auto"/>
              </w:rPr>
            </w:pPr>
          </w:p>
        </w:tc>
        <w:tc>
          <w:tcPr>
            <w:tcW w:w="1400" w:type="dxa"/>
            <w:vAlign w:val="bottom"/>
          </w:tcPr>
          <w:p>
            <w:pPr>
              <w:jc w:val="right"/>
              <w:ind w:right="377"/>
              <w:spacing w:after="0"/>
              <w:rPr>
                <w:sz w:val="20"/>
                <w:szCs w:val="20"/>
                <w:color w:val="auto"/>
              </w:rPr>
            </w:pPr>
            <w:r>
              <w:rPr>
                <w:rFonts w:ascii="Arial" w:cs="Arial" w:eastAsia="Arial" w:hAnsi="Arial"/>
                <w:sz w:val="14"/>
                <w:szCs w:val="14"/>
                <w:b w:val="1"/>
                <w:bCs w:val="1"/>
                <w:color w:val="auto"/>
              </w:rPr>
              <w:t>Two Years</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60" w:type="dxa"/>
            <w:vAlign w:val="bottom"/>
            <w:gridSpan w:val="2"/>
          </w:tcPr>
          <w:p>
            <w:pPr>
              <w:ind w:left="180"/>
              <w:spacing w:after="0"/>
              <w:rPr>
                <w:sz w:val="20"/>
                <w:szCs w:val="20"/>
                <w:color w:val="auto"/>
              </w:rPr>
            </w:pPr>
            <w:r>
              <w:rPr>
                <w:rFonts w:ascii="Arial" w:cs="Arial" w:eastAsia="Arial" w:hAnsi="Arial"/>
                <w:sz w:val="14"/>
                <w:szCs w:val="14"/>
                <w:b w:val="1"/>
                <w:bCs w:val="1"/>
                <w:color w:val="auto"/>
              </w:rPr>
              <w:t>Thereafter</w:t>
            </w:r>
          </w:p>
        </w:tc>
      </w:tr>
      <w:tr>
        <w:trPr>
          <w:trHeight w:val="210"/>
        </w:trPr>
        <w:tc>
          <w:tcPr>
            <w:tcW w:w="5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Federal Solutions</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1,174,719</w:t>
            </w:r>
          </w:p>
        </w:tc>
        <w:tc>
          <w:tcPr>
            <w:tcW w:w="26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379,069</w:t>
            </w:r>
          </w:p>
        </w:tc>
        <w:tc>
          <w:tcPr>
            <w:tcW w:w="26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560,850</w:t>
            </w:r>
          </w:p>
        </w:tc>
        <w:tc>
          <w:tcPr>
            <w:tcW w:w="120" w:type="dxa"/>
            <w:vAlign w:val="bottom"/>
            <w:tcBorders>
              <w:top w:val="single" w:sz="8" w:color="CFF0FC"/>
            </w:tcBorders>
            <w:shd w:val="clear" w:color="auto" w:fill="CFF0FC"/>
          </w:tcPr>
          <w:p>
            <w:pPr>
              <w:spacing w:after="0"/>
              <w:rPr>
                <w:sz w:val="18"/>
                <w:szCs w:val="18"/>
                <w:color w:val="auto"/>
              </w:rPr>
            </w:pPr>
          </w:p>
        </w:tc>
      </w:tr>
      <w:tr>
        <w:trPr>
          <w:trHeight w:val="216"/>
        </w:trPr>
        <w:tc>
          <w:tcPr>
            <w:tcW w:w="5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Critical Infrastructure</w:t>
            </w: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1,408,497</w:t>
            </w:r>
          </w:p>
        </w:tc>
        <w:tc>
          <w:tcPr>
            <w:tcW w:w="26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700,549</w:t>
            </w:r>
          </w:p>
        </w:tc>
        <w:tc>
          <w:tcPr>
            <w:tcW w:w="26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749,792</w:t>
            </w:r>
          </w:p>
        </w:tc>
        <w:tc>
          <w:tcPr>
            <w:tcW w:w="120" w:type="dxa"/>
            <w:vAlign w:val="bottom"/>
            <w:tcBorders>
              <w:bottom w:val="single" w:sz="8" w:color="CFF0FC"/>
            </w:tcBorders>
          </w:tcPr>
          <w:p>
            <w:pPr>
              <w:spacing w:after="0"/>
              <w:rPr>
                <w:sz w:val="18"/>
                <w:szCs w:val="18"/>
                <w:color w:val="auto"/>
              </w:rPr>
            </w:pPr>
          </w:p>
        </w:tc>
      </w:tr>
      <w:tr>
        <w:trPr>
          <w:trHeight w:val="210"/>
        </w:trPr>
        <w:tc>
          <w:tcPr>
            <w:tcW w:w="5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2,583,216</w:t>
            </w:r>
          </w:p>
        </w:tc>
        <w:tc>
          <w:tcPr>
            <w:tcW w:w="2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1,079,618</w:t>
            </w:r>
          </w:p>
        </w:tc>
        <w:tc>
          <w:tcPr>
            <w:tcW w:w="2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1,310,642</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
        </w:trPr>
        <w:tc>
          <w:tcPr>
            <w:tcW w:w="5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26" w:lineRule="exact"/>
        <w:rPr>
          <w:sz w:val="20"/>
          <w:szCs w:val="20"/>
          <w:color w:val="auto"/>
        </w:rPr>
      </w:pPr>
    </w:p>
    <w:p>
      <w:pPr>
        <w:ind w:left="640" w:hanging="632"/>
        <w:spacing w:after="0"/>
        <w:tabs>
          <w:tab w:leader="none" w:pos="6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33" w:lineRule="exact"/>
        <w:rPr>
          <w:sz w:val="20"/>
          <w:szCs w:val="20"/>
          <w:color w:val="auto"/>
        </w:rPr>
      </w:pPr>
    </w:p>
    <w:p>
      <w:pPr>
        <w:ind w:right="20" w:firstLine="745"/>
        <w:spacing w:after="0" w:line="279" w:lineRule="auto"/>
        <w:rPr>
          <w:sz w:val="20"/>
          <w:szCs w:val="20"/>
          <w:color w:val="auto"/>
        </w:rPr>
      </w:pPr>
      <w:r>
        <w:rPr>
          <w:rFonts w:ascii="Arial" w:cs="Arial" w:eastAsia="Arial" w:hAnsi="Arial"/>
          <w:sz w:val="18"/>
          <w:szCs w:val="18"/>
          <w:color w:val="auto"/>
        </w:rPr>
        <w:t>The Company has operating and finance leases for corporate and project office spaces, vehicles, heavy machinery and office equipment. Our leases have remaining lease terms of one year to 10 years, some of which may include options to extend the leases for up to five years, and some of which may include options to terminate the leases up to the third year.</w:t>
      </w:r>
    </w:p>
    <w:p>
      <w:pPr>
        <w:spacing w:after="0" w:line="156" w:lineRule="exact"/>
        <w:rPr>
          <w:sz w:val="20"/>
          <w:szCs w:val="20"/>
          <w:color w:val="auto"/>
        </w:rPr>
      </w:pPr>
    </w:p>
    <w:p>
      <w:pPr>
        <w:ind w:right="40" w:firstLine="637"/>
        <w:spacing w:after="0" w:line="276" w:lineRule="auto"/>
        <w:rPr>
          <w:sz w:val="20"/>
          <w:szCs w:val="20"/>
          <w:color w:val="auto"/>
        </w:rPr>
      </w:pPr>
      <w:r>
        <w:rPr>
          <w:rFonts w:ascii="Arial" w:cs="Arial" w:eastAsia="Arial" w:hAnsi="Arial"/>
          <w:sz w:val="18"/>
          <w:szCs w:val="18"/>
          <w:color w:val="auto"/>
        </w:rPr>
        <w:t>The components of lease costs for the three and nine months ended September 30, 2020 and September 30, 2019 are as follows (in thousands):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56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Nine Months Ended</w:t>
            </w:r>
          </w:p>
        </w:tc>
        <w:tc>
          <w:tcPr>
            <w:tcW w:w="560" w:type="dxa"/>
            <w:vAlign w:val="bottom"/>
          </w:tcPr>
          <w:p>
            <w:pPr>
              <w:spacing w:after="0"/>
              <w:rPr>
                <w:sz w:val="15"/>
                <w:szCs w:val="15"/>
                <w:color w:val="auto"/>
              </w:rPr>
            </w:pPr>
          </w:p>
        </w:tc>
      </w:tr>
      <w:tr>
        <w:trPr>
          <w:trHeight w:val="162"/>
        </w:trPr>
        <w:tc>
          <w:tcPr>
            <w:tcW w:w="58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40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12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4"/>
                <w:szCs w:val="14"/>
                <w:color w:val="auto"/>
              </w:rPr>
            </w:pPr>
          </w:p>
        </w:tc>
        <w:tc>
          <w:tcPr>
            <w:tcW w:w="158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September 30,</w:t>
            </w:r>
          </w:p>
        </w:tc>
        <w:tc>
          <w:tcPr>
            <w:tcW w:w="12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September 30,</w:t>
            </w:r>
          </w:p>
        </w:tc>
        <w:tc>
          <w:tcPr>
            <w:tcW w:w="560" w:type="dxa"/>
            <w:vAlign w:val="bottom"/>
          </w:tcPr>
          <w:p>
            <w:pPr>
              <w:spacing w:after="0"/>
              <w:rPr>
                <w:sz w:val="14"/>
                <w:szCs w:val="14"/>
                <w:color w:val="auto"/>
              </w:rPr>
            </w:pPr>
          </w:p>
        </w:tc>
      </w:tr>
      <w:tr>
        <w:trPr>
          <w:trHeight w:val="177"/>
        </w:trPr>
        <w:tc>
          <w:tcPr>
            <w:tcW w:w="580" w:type="dxa"/>
            <w:vAlign w:val="bottom"/>
          </w:tcPr>
          <w:p>
            <w:pPr>
              <w:spacing w:after="0"/>
              <w:rPr>
                <w:sz w:val="15"/>
                <w:szCs w:val="15"/>
                <w:color w:val="auto"/>
              </w:rPr>
            </w:pPr>
          </w:p>
        </w:tc>
        <w:tc>
          <w:tcPr>
            <w:tcW w:w="434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FF0FC"/>
            </w:tcBorders>
          </w:tcPr>
          <w:p>
            <w:pPr>
              <w:spacing w:after="0"/>
              <w:rPr>
                <w:sz w:val="15"/>
                <w:szCs w:val="15"/>
                <w:color w:val="auto"/>
              </w:rPr>
            </w:pPr>
          </w:p>
        </w:tc>
        <w:tc>
          <w:tcPr>
            <w:tcW w:w="18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5"/>
                <w:szCs w:val="15"/>
                <w:color w:val="auto"/>
              </w:rPr>
            </w:pPr>
          </w:p>
        </w:tc>
        <w:tc>
          <w:tcPr>
            <w:tcW w:w="560" w:type="dxa"/>
            <w:vAlign w:val="bottom"/>
          </w:tcPr>
          <w:p>
            <w:pPr>
              <w:spacing w:after="0"/>
              <w:rPr>
                <w:sz w:val="15"/>
                <w:szCs w:val="15"/>
                <w:color w:val="auto"/>
              </w:rPr>
            </w:pPr>
          </w:p>
        </w:tc>
      </w:tr>
      <w:tr>
        <w:trPr>
          <w:trHeight w:val="210"/>
        </w:trPr>
        <w:tc>
          <w:tcPr>
            <w:tcW w:w="580" w:type="dxa"/>
            <w:vAlign w:val="bottom"/>
          </w:tcPr>
          <w:p>
            <w:pPr>
              <w:spacing w:after="0"/>
              <w:rPr>
                <w:sz w:val="18"/>
                <w:szCs w:val="18"/>
                <w:color w:val="auto"/>
              </w:rPr>
            </w:pPr>
          </w:p>
        </w:tc>
        <w:tc>
          <w:tcPr>
            <w:tcW w:w="43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Operating lease cost</w:t>
            </w:r>
          </w:p>
        </w:tc>
        <w:tc>
          <w:tcPr>
            <w:tcW w:w="260" w:type="dxa"/>
            <w:vAlign w:val="bottom"/>
            <w:shd w:val="clear" w:color="auto" w:fill="CFF0FC"/>
          </w:tcPr>
          <w:p>
            <w:pPr>
              <w:jc w:val="right"/>
              <w:ind w:right="76"/>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15,919</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6"/>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17,969</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6"/>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48,945</w:t>
            </w:r>
          </w:p>
        </w:tc>
        <w:tc>
          <w:tcPr>
            <w:tcW w:w="4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53,835</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340" w:type="dxa"/>
            <w:vAlign w:val="bottom"/>
          </w:tcPr>
          <w:p>
            <w:pPr>
              <w:ind w:left="240"/>
              <w:spacing w:after="0"/>
              <w:rPr>
                <w:sz w:val="20"/>
                <w:szCs w:val="20"/>
                <w:color w:val="auto"/>
              </w:rPr>
            </w:pPr>
            <w:r>
              <w:rPr>
                <w:rFonts w:ascii="Arial" w:cs="Arial" w:eastAsia="Arial" w:hAnsi="Arial"/>
                <w:sz w:val="18"/>
                <w:szCs w:val="18"/>
                <w:color w:val="auto"/>
              </w:rPr>
              <w:t>Short-term lease cost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4,301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5,429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12,254</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10,925</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3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Amortization of right-of-use assets</w:t>
            </w: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531</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1,036</w:t>
            </w:r>
          </w:p>
        </w:tc>
        <w:tc>
          <w:tcPr>
            <w:tcW w:w="4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455</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340" w:type="dxa"/>
            <w:vAlign w:val="bottom"/>
          </w:tcPr>
          <w:p>
            <w:pPr>
              <w:ind w:left="240"/>
              <w:spacing w:after="0"/>
              <w:rPr>
                <w:sz w:val="20"/>
                <w:szCs w:val="20"/>
                <w:color w:val="auto"/>
              </w:rPr>
            </w:pPr>
            <w:r>
              <w:rPr>
                <w:rFonts w:ascii="Arial" w:cs="Arial" w:eastAsia="Arial" w:hAnsi="Arial"/>
                <w:sz w:val="18"/>
                <w:szCs w:val="18"/>
                <w:color w:val="auto"/>
              </w:rPr>
              <w:t>Interest on lease liabilities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109</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3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Sublease income</w:t>
            </w:r>
          </w:p>
        </w:tc>
        <w:tc>
          <w:tcPr>
            <w:tcW w:w="2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(959)</w:t>
            </w: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(712)</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(2,771)</w:t>
            </w:r>
          </w:p>
        </w:tc>
        <w:tc>
          <w:tcPr>
            <w:tcW w:w="2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(2,727)</w:t>
            </w:r>
          </w:p>
        </w:tc>
        <w:tc>
          <w:tcPr>
            <w:tcW w:w="560" w:type="dxa"/>
            <w:vAlign w:val="bottom"/>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Total lease cost</w:t>
            </w:r>
          </w:p>
        </w:tc>
        <w:tc>
          <w:tcPr>
            <w:tcW w:w="26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19,856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22,821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59,573</w:t>
            </w:r>
          </w:p>
        </w:tc>
        <w:tc>
          <w:tcPr>
            <w:tcW w:w="4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62,534</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659"/>
        </w:trPr>
        <w:tc>
          <w:tcPr>
            <w:tcW w:w="58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ind w:right="294"/>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98"/>
        </w:trPr>
        <w:tc>
          <w:tcPr>
            <w:tcW w:w="580" w:type="dxa"/>
            <w:vAlign w:val="bottom"/>
            <w:tcBorders>
              <w:bottom w:val="single" w:sz="8" w:color="9A9A9A"/>
            </w:tcBorders>
          </w:tcPr>
          <w:p>
            <w:pPr>
              <w:spacing w:after="0"/>
              <w:rPr>
                <w:sz w:val="8"/>
                <w:szCs w:val="8"/>
                <w:color w:val="auto"/>
              </w:rPr>
            </w:pPr>
          </w:p>
        </w:tc>
        <w:tc>
          <w:tcPr>
            <w:tcW w:w="43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5" w:name="page16"/>
    <w:bookmarkEnd w:id="15"/>
    <w:p>
      <w:pPr>
        <w:ind w:right="120" w:firstLine="637"/>
        <w:spacing w:after="0" w:line="276" w:lineRule="auto"/>
        <w:rPr>
          <w:sz w:val="20"/>
          <w:szCs w:val="20"/>
          <w:color w:val="auto"/>
        </w:rPr>
      </w:pPr>
      <w:r>
        <w:rPr>
          <w:rFonts w:ascii="Arial" w:cs="Arial" w:eastAsia="Arial" w:hAnsi="Arial"/>
          <w:sz w:val="18"/>
          <w:szCs w:val="18"/>
          <w:color w:val="auto"/>
        </w:rPr>
        <w:t>Supplemental cash flow information related to leases for the nine months ended September 30, 2020 and September 30, 2019 is as follows (in thousands):</w:t>
      </w:r>
    </w:p>
    <w:p>
      <w:pPr>
        <w:spacing w:after="0" w:line="247"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67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920" w:type="dxa"/>
            <w:vAlign w:val="bottom"/>
            <w:gridSpan w:val="3"/>
          </w:tcPr>
          <w:p>
            <w:pPr>
              <w:jc w:val="right"/>
              <w:ind w:right="56"/>
              <w:spacing w:after="0"/>
              <w:rPr>
                <w:sz w:val="20"/>
                <w:szCs w:val="20"/>
                <w:color w:val="auto"/>
              </w:rPr>
            </w:pPr>
            <w:r>
              <w:rPr>
                <w:rFonts w:ascii="Arial" w:cs="Arial" w:eastAsia="Arial" w:hAnsi="Arial"/>
                <w:sz w:val="14"/>
                <w:szCs w:val="14"/>
                <w:b w:val="1"/>
                <w:bCs w:val="1"/>
                <w:color w:val="auto"/>
              </w:rPr>
              <w:t>Nine Months Ended</w:t>
            </w: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7"/>
        </w:trPr>
        <w:tc>
          <w:tcPr>
            <w:tcW w:w="6740" w:type="dxa"/>
            <w:vAlign w:val="bottom"/>
          </w:tcPr>
          <w:p>
            <w:pPr>
              <w:spacing w:after="0"/>
              <w:rPr>
                <w:sz w:val="15"/>
                <w:szCs w:val="15"/>
                <w:color w:val="auto"/>
              </w:rPr>
            </w:pPr>
          </w:p>
        </w:tc>
        <w:tc>
          <w:tcPr>
            <w:tcW w:w="176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30, 2020</w:t>
            </w:r>
          </w:p>
        </w:tc>
        <w:tc>
          <w:tcPr>
            <w:tcW w:w="160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30, 2019</w:t>
            </w:r>
          </w:p>
        </w:tc>
      </w:tr>
      <w:tr>
        <w:trPr>
          <w:trHeight w:val="210"/>
        </w:trPr>
        <w:tc>
          <w:tcPr>
            <w:tcW w:w="6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cash flows for operating leases</w:t>
            </w:r>
          </w:p>
        </w:tc>
        <w:tc>
          <w:tcPr>
            <w:tcW w:w="520" w:type="dxa"/>
            <w:vAlign w:val="bottom"/>
            <w:tcBorders>
              <w:top w:val="single" w:sz="8" w:color="auto"/>
            </w:tcBorders>
            <w:shd w:val="clear" w:color="auto" w:fill="CFF0FC"/>
          </w:tcPr>
          <w:p>
            <w:pPr>
              <w:jc w:val="right"/>
              <w:ind w:right="336"/>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45,343</w:t>
            </w:r>
          </w:p>
        </w:tc>
        <w:tc>
          <w:tcPr>
            <w:tcW w:w="260" w:type="dxa"/>
            <w:vAlign w:val="bottom"/>
            <w:tcBorders>
              <w:top w:val="single" w:sz="8" w:color="CFF0FC"/>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jc w:val="right"/>
              <w:ind w:right="496"/>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52,056</w:t>
            </w: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Operating cash flows for financing activities</w:t>
            </w:r>
          </w:p>
        </w:tc>
        <w:tc>
          <w:tcPr>
            <w:tcW w:w="5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111</w:t>
            </w: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8"/>
                <w:szCs w:val="18"/>
                <w:color w:val="auto"/>
              </w:rPr>
            </w:pPr>
          </w:p>
        </w:tc>
      </w:tr>
      <w:tr>
        <w:trPr>
          <w:trHeight w:val="216"/>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Financing cash flows from finance leases</w:t>
            </w:r>
          </w:p>
        </w:tc>
        <w:tc>
          <w:tcPr>
            <w:tcW w:w="5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1,080</w:t>
            </w:r>
          </w:p>
        </w:tc>
        <w:tc>
          <w:tcPr>
            <w:tcW w:w="2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524</w:t>
            </w:r>
          </w:p>
        </w:tc>
        <w:tc>
          <w:tcPr>
            <w:tcW w:w="100" w:type="dxa"/>
            <w:vAlign w:val="bottom"/>
            <w:shd w:val="clear" w:color="auto" w:fill="CFF0FC"/>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Right-of-use assets obtained in exchange for new operating lease liabilities</w:t>
            </w:r>
          </w:p>
        </w:tc>
        <w:tc>
          <w:tcPr>
            <w:tcW w:w="5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19,587</w:t>
            </w: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274,212</w:t>
            </w:r>
          </w:p>
        </w:tc>
        <w:tc>
          <w:tcPr>
            <w:tcW w:w="100" w:type="dxa"/>
            <w:vAlign w:val="bottom"/>
          </w:tcPr>
          <w:p>
            <w:pPr>
              <w:spacing w:after="0"/>
              <w:rPr>
                <w:sz w:val="18"/>
                <w:szCs w:val="18"/>
                <w:color w:val="auto"/>
              </w:rPr>
            </w:pPr>
          </w:p>
        </w:tc>
      </w:tr>
      <w:tr>
        <w:trPr>
          <w:trHeight w:val="216"/>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Right-of-use assets obtained in exchange for new finance lease liabilities</w:t>
            </w:r>
          </w:p>
        </w:tc>
        <w:tc>
          <w:tcPr>
            <w:tcW w:w="520" w:type="dxa"/>
            <w:vAlign w:val="bottom"/>
            <w:shd w:val="clear" w:color="auto" w:fill="CFF0FC"/>
          </w:tcPr>
          <w:p>
            <w:pPr>
              <w:jc w:val="right"/>
              <w:ind w:right="336"/>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496"/>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1,818</w:t>
            </w:r>
          </w:p>
        </w:tc>
        <w:tc>
          <w:tcPr>
            <w:tcW w:w="100" w:type="dxa"/>
            <w:vAlign w:val="bottom"/>
            <w:shd w:val="clear" w:color="auto" w:fill="CFF0FC"/>
          </w:tcPr>
          <w:p>
            <w:pPr>
              <w:spacing w:after="0"/>
              <w:rPr>
                <w:sz w:val="18"/>
                <w:szCs w:val="18"/>
                <w:color w:val="auto"/>
              </w:rPr>
            </w:pPr>
          </w:p>
        </w:tc>
      </w:tr>
    </w:tbl>
    <w:p>
      <w:pPr>
        <w:spacing w:after="0" w:line="220" w:lineRule="exact"/>
        <w:rPr>
          <w:sz w:val="20"/>
          <w:szCs w:val="20"/>
          <w:color w:val="auto"/>
        </w:rPr>
      </w:pPr>
    </w:p>
    <w:p>
      <w:pPr>
        <w:jc w:val="both"/>
        <w:ind w:right="560" w:firstLine="637"/>
        <w:spacing w:after="0" w:line="276" w:lineRule="auto"/>
        <w:rPr>
          <w:sz w:val="20"/>
          <w:szCs w:val="20"/>
          <w:color w:val="auto"/>
        </w:rPr>
      </w:pPr>
      <w:r>
        <w:rPr>
          <w:rFonts w:ascii="Arial" w:cs="Arial" w:eastAsia="Arial" w:hAnsi="Arial"/>
          <w:sz w:val="18"/>
          <w:szCs w:val="18"/>
          <w:color w:val="auto"/>
        </w:rPr>
        <w:t>Supplemental balance sheet and other information related to leases as of September 30, 2020 and December 31, 2019 are as follows (in thousands):</w:t>
      </w:r>
    </w:p>
    <w:p>
      <w:pPr>
        <w:spacing w:after="0" w:line="220" w:lineRule="exact"/>
        <w:rPr>
          <w:sz w:val="20"/>
          <w:szCs w:val="20"/>
          <w:color w:val="auto"/>
        </w:rPr>
      </w:pPr>
    </w:p>
    <w:tbl>
      <w:tblPr>
        <w:tblLayout w:type="fixed"/>
        <w:tblInd w:w="580" w:type="dxa"/>
        <w:tblCellMar>
          <w:top w:w="0" w:type="dxa"/>
          <w:left w:w="0" w:type="dxa"/>
          <w:bottom w:w="0" w:type="dxa"/>
          <w:right w:w="0" w:type="dxa"/>
        </w:tblCellMar>
      </w:tblPr>
      <w:tr>
        <w:trPr>
          <w:trHeight w:val="203"/>
        </w:trPr>
        <w:tc>
          <w:tcPr>
            <w:tcW w:w="50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78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September 30, 2020</w:t>
            </w:r>
          </w:p>
        </w:tc>
        <w:tc>
          <w:tcPr>
            <w:tcW w:w="160" w:type="dxa"/>
            <w:vAlign w:val="bottom"/>
          </w:tcPr>
          <w:p>
            <w:pPr>
              <w:spacing w:after="0"/>
              <w:rPr>
                <w:sz w:val="17"/>
                <w:szCs w:val="17"/>
                <w:color w:val="auto"/>
              </w:rPr>
            </w:pPr>
          </w:p>
        </w:tc>
        <w:tc>
          <w:tcPr>
            <w:tcW w:w="17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December 31, 2019</w:t>
            </w:r>
          </w:p>
        </w:tc>
      </w:tr>
      <w:tr>
        <w:trPr>
          <w:trHeight w:val="210"/>
        </w:trPr>
        <w:tc>
          <w:tcPr>
            <w:tcW w:w="50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Leases:</w:t>
            </w:r>
          </w:p>
        </w:tc>
        <w:tc>
          <w:tcPr>
            <w:tcW w:w="1400" w:type="dxa"/>
            <w:vAlign w:val="bottom"/>
            <w:tcBorders>
              <w:top w:val="single" w:sz="8" w:color="CFF0FC"/>
            </w:tcBorders>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54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Right-of-use assets</w:t>
            </w:r>
          </w:p>
        </w:tc>
        <w:tc>
          <w:tcPr>
            <w:tcW w:w="1840" w:type="dxa"/>
            <w:vAlign w:val="bottom"/>
            <w:gridSpan w:val="2"/>
          </w:tcPr>
          <w:p>
            <w:pPr>
              <w:jc w:val="right"/>
              <w:ind w:right="259"/>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212,592</w:t>
            </w:r>
          </w:p>
        </w:tc>
        <w:tc>
          <w:tcPr>
            <w:tcW w:w="3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233,415</w:t>
            </w:r>
          </w:p>
        </w:tc>
        <w:tc>
          <w:tcPr>
            <w:tcW w:w="180" w:type="dxa"/>
            <w:vAlign w:val="bottom"/>
          </w:tcPr>
          <w:p>
            <w:pPr>
              <w:spacing w:after="0"/>
              <w:rPr>
                <w:sz w:val="18"/>
                <w:szCs w:val="18"/>
                <w:color w:val="auto"/>
              </w:rPr>
            </w:pPr>
          </w:p>
        </w:tc>
      </w:tr>
      <w:tr>
        <w:trPr>
          <w:trHeight w:val="216"/>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Lease liabilities:</w:t>
            </w:r>
          </w:p>
        </w:tc>
        <w:tc>
          <w:tcPr>
            <w:tcW w:w="14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5040" w:type="dxa"/>
            <w:vAlign w:val="bottom"/>
          </w:tcPr>
          <w:p>
            <w:pPr>
              <w:ind w:left="240"/>
              <w:spacing w:after="0"/>
              <w:rPr>
                <w:sz w:val="20"/>
                <w:szCs w:val="20"/>
                <w:color w:val="auto"/>
              </w:rPr>
            </w:pPr>
            <w:r>
              <w:rPr>
                <w:rFonts w:ascii="Arial" w:cs="Arial" w:eastAsia="Arial" w:hAnsi="Arial"/>
                <w:sz w:val="18"/>
                <w:szCs w:val="18"/>
                <w:color w:val="auto"/>
              </w:rPr>
              <w:t>Current</w:t>
            </w:r>
          </w:p>
        </w:tc>
        <w:tc>
          <w:tcPr>
            <w:tcW w:w="1840" w:type="dxa"/>
            <w:vAlign w:val="bottom"/>
            <w:gridSpan w:val="2"/>
          </w:tcPr>
          <w:p>
            <w:pPr>
              <w:jc w:val="right"/>
              <w:ind w:right="259"/>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48,661</w:t>
            </w:r>
          </w:p>
        </w:tc>
        <w:tc>
          <w:tcPr>
            <w:tcW w:w="3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49,994</w:t>
            </w:r>
          </w:p>
        </w:tc>
        <w:tc>
          <w:tcPr>
            <w:tcW w:w="180" w:type="dxa"/>
            <w:vAlign w:val="bottom"/>
          </w:tcPr>
          <w:p>
            <w:pPr>
              <w:spacing w:after="0"/>
              <w:rPr>
                <w:sz w:val="18"/>
                <w:szCs w:val="18"/>
                <w:color w:val="auto"/>
              </w:rPr>
            </w:pPr>
          </w:p>
        </w:tc>
      </w:tr>
      <w:tr>
        <w:trPr>
          <w:trHeight w:val="216"/>
        </w:trPr>
        <w:tc>
          <w:tcPr>
            <w:tcW w:w="50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Long-term</w:t>
            </w:r>
          </w:p>
        </w:tc>
        <w:tc>
          <w:tcPr>
            <w:tcW w:w="1400" w:type="dxa"/>
            <w:vAlign w:val="bottom"/>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189,319</w:t>
            </w:r>
          </w:p>
        </w:tc>
        <w:tc>
          <w:tcPr>
            <w:tcW w:w="32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203,624</w:t>
            </w:r>
          </w:p>
        </w:tc>
        <w:tc>
          <w:tcPr>
            <w:tcW w:w="180" w:type="dxa"/>
            <w:vAlign w:val="bottom"/>
            <w:shd w:val="clear" w:color="auto" w:fill="CFF0FC"/>
          </w:tcPr>
          <w:p>
            <w:pPr>
              <w:spacing w:after="0"/>
              <w:rPr>
                <w:sz w:val="18"/>
                <w:szCs w:val="18"/>
                <w:color w:val="auto"/>
              </w:rPr>
            </w:pPr>
          </w:p>
        </w:tc>
      </w:tr>
      <w:tr>
        <w:trPr>
          <w:trHeight w:val="249"/>
        </w:trPr>
        <w:tc>
          <w:tcPr>
            <w:tcW w:w="50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operating lease liabilities</w:t>
            </w:r>
          </w:p>
        </w:tc>
        <w:tc>
          <w:tcPr>
            <w:tcW w:w="1400" w:type="dxa"/>
            <w:vAlign w:val="bottom"/>
            <w:tcBorders>
              <w:bottom w:val="single" w:sz="8" w:color="CFF0FC"/>
            </w:tcBorders>
          </w:tcPr>
          <w:p>
            <w:pPr>
              <w:spacing w:after="0"/>
              <w:rPr>
                <w:sz w:val="21"/>
                <w:szCs w:val="21"/>
                <w:color w:val="auto"/>
              </w:rPr>
            </w:pP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237,980</w:t>
            </w:r>
          </w:p>
        </w:tc>
        <w:tc>
          <w:tcPr>
            <w:tcW w:w="32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253,618</w:t>
            </w:r>
          </w:p>
        </w:tc>
        <w:tc>
          <w:tcPr>
            <w:tcW w:w="180" w:type="dxa"/>
            <w:vAlign w:val="bottom"/>
            <w:tcBorders>
              <w:bottom w:val="single" w:sz="8" w:color="CFF0FC"/>
            </w:tcBorders>
          </w:tcPr>
          <w:p>
            <w:pPr>
              <w:spacing w:after="0"/>
              <w:rPr>
                <w:sz w:val="21"/>
                <w:szCs w:val="21"/>
                <w:color w:val="auto"/>
              </w:rPr>
            </w:pPr>
          </w:p>
        </w:tc>
      </w:tr>
      <w:tr>
        <w:trPr>
          <w:trHeight w:val="197"/>
        </w:trPr>
        <w:tc>
          <w:tcPr>
            <w:tcW w:w="50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Finance Leases:</w:t>
            </w:r>
          </w:p>
        </w:tc>
        <w:tc>
          <w:tcPr>
            <w:tcW w:w="14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1840" w:type="dxa"/>
            <w:vAlign w:val="bottom"/>
            <w:gridSpan w:val="2"/>
          </w:tcPr>
          <w:p>
            <w:pPr>
              <w:jc w:val="right"/>
              <w:ind w:right="259"/>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2,757</w:t>
            </w:r>
          </w:p>
        </w:tc>
        <w:tc>
          <w:tcPr>
            <w:tcW w:w="3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2,377</w:t>
            </w:r>
          </w:p>
        </w:tc>
        <w:tc>
          <w:tcPr>
            <w:tcW w:w="180" w:type="dxa"/>
            <w:vAlign w:val="bottom"/>
          </w:tcPr>
          <w:p>
            <w:pPr>
              <w:spacing w:after="0"/>
              <w:rPr>
                <w:sz w:val="18"/>
                <w:szCs w:val="18"/>
                <w:color w:val="auto"/>
              </w:rPr>
            </w:pPr>
          </w:p>
        </w:tc>
      </w:tr>
      <w:tr>
        <w:trPr>
          <w:trHeight w:val="216"/>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Accrued expenses and other current liabilities</w:t>
            </w:r>
          </w:p>
        </w:tc>
        <w:tc>
          <w:tcPr>
            <w:tcW w:w="1840" w:type="dxa"/>
            <w:vAlign w:val="bottom"/>
            <w:gridSpan w:val="2"/>
            <w:shd w:val="clear" w:color="auto" w:fill="CFF0FC"/>
          </w:tcPr>
          <w:p>
            <w:pPr>
              <w:jc w:val="right"/>
              <w:ind w:right="259"/>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1,345</w:t>
            </w:r>
          </w:p>
        </w:tc>
        <w:tc>
          <w:tcPr>
            <w:tcW w:w="32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1,075</w:t>
            </w:r>
          </w:p>
        </w:tc>
        <w:tc>
          <w:tcPr>
            <w:tcW w:w="180" w:type="dxa"/>
            <w:vAlign w:val="bottom"/>
            <w:shd w:val="clear" w:color="auto" w:fill="CFF0FC"/>
          </w:tcPr>
          <w:p>
            <w:pPr>
              <w:spacing w:after="0"/>
              <w:rPr>
                <w:sz w:val="18"/>
                <w:szCs w:val="18"/>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1840" w:type="dxa"/>
            <w:vAlign w:val="bottom"/>
            <w:gridSpan w:val="2"/>
          </w:tcPr>
          <w:p>
            <w:pPr>
              <w:jc w:val="right"/>
              <w:ind w:right="259"/>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1,247</w:t>
            </w:r>
          </w:p>
        </w:tc>
        <w:tc>
          <w:tcPr>
            <w:tcW w:w="3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1,202</w:t>
            </w:r>
          </w:p>
        </w:tc>
        <w:tc>
          <w:tcPr>
            <w:tcW w:w="180" w:type="dxa"/>
            <w:vAlign w:val="bottom"/>
          </w:tcPr>
          <w:p>
            <w:pPr>
              <w:spacing w:after="0"/>
              <w:rPr>
                <w:sz w:val="18"/>
                <w:szCs w:val="18"/>
                <w:color w:val="auto"/>
              </w:rPr>
            </w:pPr>
          </w:p>
        </w:tc>
      </w:tr>
      <w:tr>
        <w:trPr>
          <w:trHeight w:val="216"/>
        </w:trPr>
        <w:tc>
          <w:tcPr>
            <w:tcW w:w="50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Weighted Average Remaining Lease Term:</w:t>
            </w:r>
          </w:p>
        </w:tc>
        <w:tc>
          <w:tcPr>
            <w:tcW w:w="1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leases</w:t>
            </w:r>
          </w:p>
        </w:tc>
        <w:tc>
          <w:tcPr>
            <w:tcW w:w="14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5 years</w:t>
            </w:r>
          </w:p>
        </w:tc>
        <w:tc>
          <w:tcPr>
            <w:tcW w:w="16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 years</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Finance leases</w:t>
            </w:r>
          </w:p>
        </w:tc>
        <w:tc>
          <w:tcPr>
            <w:tcW w:w="1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2 years</w:t>
            </w:r>
          </w:p>
        </w:tc>
        <w:tc>
          <w:tcPr>
            <w:tcW w:w="160" w:type="dxa"/>
            <w:vAlign w:val="bottom"/>
          </w:tcPr>
          <w:p>
            <w:pPr>
              <w:spacing w:after="0"/>
              <w:rPr>
                <w:sz w:val="18"/>
                <w:szCs w:val="18"/>
                <w:color w:val="auto"/>
              </w:rPr>
            </w:pPr>
          </w:p>
        </w:tc>
        <w:tc>
          <w:tcPr>
            <w:tcW w:w="1720" w:type="dxa"/>
            <w:vAlign w:val="bottom"/>
            <w:gridSpan w:val="2"/>
          </w:tcPr>
          <w:p>
            <w:pPr>
              <w:jc w:val="right"/>
              <w:ind w:right="200"/>
              <w:spacing w:after="0"/>
              <w:rPr>
                <w:sz w:val="20"/>
                <w:szCs w:val="20"/>
                <w:color w:val="auto"/>
              </w:rPr>
            </w:pPr>
            <w:r>
              <w:rPr>
                <w:rFonts w:ascii="Arial" w:cs="Arial" w:eastAsia="Arial" w:hAnsi="Arial"/>
                <w:sz w:val="18"/>
                <w:szCs w:val="18"/>
                <w:color w:val="auto"/>
              </w:rPr>
              <w:t>3 years</w:t>
            </w:r>
          </w:p>
        </w:tc>
      </w:tr>
      <w:tr>
        <w:trPr>
          <w:trHeight w:val="216"/>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Discount Rate:</w:t>
            </w:r>
          </w:p>
        </w:tc>
        <w:tc>
          <w:tcPr>
            <w:tcW w:w="14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Operating leases</w:t>
            </w:r>
          </w:p>
        </w:tc>
        <w:tc>
          <w:tcPr>
            <w:tcW w:w="1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3.8%</w:t>
            </w:r>
          </w:p>
        </w:tc>
        <w:tc>
          <w:tcPr>
            <w:tcW w:w="160" w:type="dxa"/>
            <w:vAlign w:val="bottom"/>
          </w:tcPr>
          <w:p>
            <w:pPr>
              <w:spacing w:after="0"/>
              <w:rPr>
                <w:sz w:val="18"/>
                <w:szCs w:val="18"/>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r>
      <w:tr>
        <w:trPr>
          <w:trHeight w:val="216"/>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Finance leases</w:t>
            </w:r>
          </w:p>
        </w:tc>
        <w:tc>
          <w:tcPr>
            <w:tcW w:w="14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4.7%</w:t>
            </w:r>
          </w:p>
        </w:tc>
        <w:tc>
          <w:tcPr>
            <w:tcW w:w="16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4.5%</w:t>
            </w:r>
          </w:p>
        </w:tc>
      </w:tr>
    </w:tbl>
    <w:p>
      <w:pPr>
        <w:spacing w:after="0" w:line="24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of September 30, 2020, the Company has no operating leases that have not yet commenced.</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 maturity analysis of the future undiscounted cash flows associated with the Company’s operating and finance lease liabilities as of</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2020 is as follows (in thousands):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8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Operating Leases</w:t>
            </w:r>
          </w:p>
        </w:tc>
        <w:tc>
          <w:tcPr>
            <w:tcW w:w="200" w:type="dxa"/>
            <w:vAlign w:val="bottom"/>
          </w:tcPr>
          <w:p>
            <w:pPr>
              <w:spacing w:after="0"/>
              <w:rPr>
                <w:sz w:val="15"/>
                <w:szCs w:val="15"/>
                <w:color w:val="auto"/>
              </w:rPr>
            </w:pPr>
          </w:p>
        </w:tc>
        <w:tc>
          <w:tcPr>
            <w:tcW w:w="15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Finance Leases</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39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2020 (remaining)</w:t>
            </w:r>
          </w:p>
        </w:tc>
        <w:tc>
          <w:tcPr>
            <w:tcW w:w="25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11,735</w:t>
            </w:r>
          </w:p>
        </w:tc>
        <w:tc>
          <w:tcPr>
            <w:tcW w:w="24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381</w:t>
            </w:r>
          </w:p>
        </w:tc>
        <w:tc>
          <w:tcPr>
            <w:tcW w:w="100" w:type="dxa"/>
            <w:vAlign w:val="bottom"/>
            <w:tcBorders>
              <w:top w:val="single" w:sz="8" w:color="CFF0FC"/>
            </w:tcBorders>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2021</w:t>
            </w:r>
          </w:p>
        </w:tc>
        <w:tc>
          <w:tcPr>
            <w:tcW w:w="2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58,792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1,291</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25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53,521</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735</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2023</w:t>
            </w:r>
          </w:p>
        </w:tc>
        <w:tc>
          <w:tcPr>
            <w:tcW w:w="2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46,386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316</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25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36,502</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9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25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55,471</w:t>
            </w:r>
          </w:p>
        </w:tc>
        <w:tc>
          <w:tcPr>
            <w:tcW w:w="24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Total lease payments</w:t>
            </w:r>
          </w:p>
        </w:tc>
        <w:tc>
          <w:tcPr>
            <w:tcW w:w="25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262,407</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2,731</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Less: imputed interest</w:t>
            </w:r>
          </w:p>
        </w:tc>
        <w:tc>
          <w:tcPr>
            <w:tcW w:w="2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jc w:val="right"/>
              <w:ind w:right="180"/>
              <w:spacing w:after="0"/>
              <w:rPr>
                <w:sz w:val="20"/>
                <w:szCs w:val="20"/>
                <w:color w:val="auto"/>
              </w:rPr>
            </w:pPr>
            <w:r>
              <w:rPr>
                <w:rFonts w:ascii="Arial" w:cs="Arial" w:eastAsia="Arial" w:hAnsi="Arial"/>
                <w:sz w:val="18"/>
                <w:szCs w:val="18"/>
                <w:color w:val="auto"/>
              </w:rPr>
              <w:t>(24,427)</w:t>
            </w:r>
          </w:p>
        </w:tc>
        <w:tc>
          <w:tcPr>
            <w:tcW w:w="200" w:type="dxa"/>
            <w:vAlign w:val="bottom"/>
          </w:tcPr>
          <w:p>
            <w:pPr>
              <w:spacing w:after="0"/>
              <w:rPr>
                <w:sz w:val="18"/>
                <w:szCs w:val="18"/>
                <w:color w:val="auto"/>
              </w:rPr>
            </w:pP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(139)</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39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present value of lease liabilities</w:t>
            </w:r>
          </w:p>
        </w:tc>
        <w:tc>
          <w:tcPr>
            <w:tcW w:w="252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237,980</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2,592</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520" w:type="dxa"/>
            <w:vAlign w:val="bottom"/>
            <w:vMerge w:val="restart"/>
          </w:tcPr>
          <w:p>
            <w:pPr>
              <w:jc w:val="right"/>
              <w:ind w:right="1210"/>
              <w:spacing w:after="0"/>
              <w:rPr>
                <w:sz w:val="20"/>
                <w:szCs w:val="20"/>
                <w:color w:val="auto"/>
              </w:rPr>
            </w:pPr>
            <w:r>
              <w:rPr>
                <w:rFonts w:ascii="Arial" w:cs="Arial" w:eastAsia="Arial" w:hAnsi="Arial"/>
                <w:sz w:val="18"/>
                <w:szCs w:val="18"/>
                <w:color w:val="auto"/>
              </w:rPr>
              <w:t>14</w:t>
            </w: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9"/>
        </w:trPr>
        <w:tc>
          <w:tcPr>
            <w:tcW w:w="58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25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580" w:type="dxa"/>
            <w:vAlign w:val="bottom"/>
            <w:tcBorders>
              <w:bottom w:val="single" w:sz="8" w:color="9A9A9A"/>
            </w:tcBorders>
          </w:tcPr>
          <w:p>
            <w:pPr>
              <w:spacing w:after="0"/>
              <w:rPr>
                <w:sz w:val="8"/>
                <w:szCs w:val="8"/>
                <w:color w:val="auto"/>
              </w:rPr>
            </w:pPr>
          </w:p>
        </w:tc>
        <w:tc>
          <w:tcPr>
            <w:tcW w:w="3920" w:type="dxa"/>
            <w:vAlign w:val="bottom"/>
            <w:tcBorders>
              <w:bottom w:val="single" w:sz="8" w:color="9A9A9A"/>
            </w:tcBorders>
          </w:tcPr>
          <w:p>
            <w:pPr>
              <w:spacing w:after="0"/>
              <w:rPr>
                <w:sz w:val="8"/>
                <w:szCs w:val="8"/>
                <w:color w:val="auto"/>
              </w:rPr>
            </w:pPr>
          </w:p>
        </w:tc>
        <w:tc>
          <w:tcPr>
            <w:tcW w:w="25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5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4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6" w:name="page17"/>
    <w:bookmarkEnd w:id="16"/>
    <w:p>
      <w:pPr>
        <w:ind w:left="640" w:hanging="632"/>
        <w:spacing w:after="0"/>
        <w:tabs>
          <w:tab w:leader="none" w:pos="6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pacing w:after="0" w:line="10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the changes in the carrying value of goodwill by reporting segment at September 30, 2020 and</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 (in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w:t>
            </w:r>
          </w:p>
        </w:tc>
      </w:tr>
      <w:tr>
        <w:trPr>
          <w:trHeight w:val="177"/>
        </w:trPr>
        <w:tc>
          <w:tcPr>
            <w:tcW w:w="6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jc w:val="right"/>
              <w:ind w:right="55"/>
              <w:spacing w:after="0"/>
              <w:rPr>
                <w:sz w:val="20"/>
                <w:szCs w:val="20"/>
                <w:color w:val="auto"/>
              </w:rPr>
            </w:pPr>
            <w:r>
              <w:rPr>
                <w:rFonts w:ascii="Arial" w:cs="Arial" w:eastAsia="Arial" w:hAnsi="Arial"/>
                <w:sz w:val="14"/>
                <w:szCs w:val="14"/>
                <w:b w:val="1"/>
                <w:bCs w:val="1"/>
                <w:color w:val="auto"/>
              </w:rPr>
              <w:t>December 31, 2019</w:t>
            </w:r>
          </w:p>
        </w:tc>
        <w:tc>
          <w:tcPr>
            <w:tcW w:w="240" w:type="dxa"/>
            <w:vAlign w:val="bottom"/>
          </w:tcPr>
          <w:p>
            <w:pPr>
              <w:spacing w:after="0"/>
              <w:rPr>
                <w:sz w:val="15"/>
                <w:szCs w:val="15"/>
                <w:color w:val="auto"/>
              </w:rPr>
            </w:pPr>
          </w:p>
        </w:tc>
        <w:tc>
          <w:tcPr>
            <w:tcW w:w="1460" w:type="dxa"/>
            <w:vAlign w:val="bottom"/>
            <w:gridSpan w:val="3"/>
          </w:tcPr>
          <w:p>
            <w:pPr>
              <w:ind w:left="20"/>
              <w:spacing w:after="0"/>
              <w:rPr>
                <w:sz w:val="20"/>
                <w:szCs w:val="20"/>
                <w:color w:val="auto"/>
              </w:rPr>
            </w:pPr>
            <w:r>
              <w:rPr>
                <w:rFonts w:ascii="Arial" w:cs="Arial" w:eastAsia="Arial" w:hAnsi="Arial"/>
                <w:sz w:val="14"/>
                <w:szCs w:val="14"/>
                <w:b w:val="1"/>
                <w:bCs w:val="1"/>
                <w:color w:val="auto"/>
              </w:rPr>
              <w:t>Foreign Exchange</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jc w:val="right"/>
              <w:ind w:right="437"/>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5"/>
                <w:szCs w:val="15"/>
                <w:color w:val="auto"/>
              </w:rPr>
            </w:pPr>
          </w:p>
        </w:tc>
      </w:tr>
      <w:tr>
        <w:trPr>
          <w:trHeight w:val="209"/>
        </w:trPr>
        <w:tc>
          <w:tcPr>
            <w:tcW w:w="6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Federal Solutions</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975,405</w:t>
            </w:r>
          </w:p>
        </w:tc>
        <w:tc>
          <w:tcPr>
            <w:tcW w:w="240" w:type="dxa"/>
            <w:vAlign w:val="bottom"/>
            <w:tcBorders>
              <w:top w:val="single" w:sz="8" w:color="CFF0FC"/>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975,405</w:t>
            </w:r>
          </w:p>
        </w:tc>
        <w:tc>
          <w:tcPr>
            <w:tcW w:w="120" w:type="dxa"/>
            <w:vAlign w:val="bottom"/>
            <w:tcBorders>
              <w:top w:val="single" w:sz="8" w:color="CFF0FC"/>
            </w:tcBorders>
            <w:shd w:val="clear" w:color="auto" w:fill="CFF0FC"/>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Critical Infrastructure</w:t>
            </w: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72,020</w:t>
            </w: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(972)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71,048</w:t>
            </w:r>
          </w:p>
        </w:tc>
        <w:tc>
          <w:tcPr>
            <w:tcW w:w="120" w:type="dxa"/>
            <w:vAlign w:val="bottom"/>
          </w:tcPr>
          <w:p>
            <w:pPr>
              <w:spacing w:after="0"/>
              <w:rPr>
                <w:sz w:val="18"/>
                <w:szCs w:val="18"/>
                <w:color w:val="auto"/>
              </w:rPr>
            </w:pPr>
          </w:p>
        </w:tc>
      </w:tr>
      <w:tr>
        <w:trPr>
          <w:trHeight w:val="210"/>
        </w:trPr>
        <w:tc>
          <w:tcPr>
            <w:tcW w:w="64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1,047,425</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52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(972)</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1,046,453</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6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28" w:lineRule="exact"/>
        <w:rPr>
          <w:sz w:val="20"/>
          <w:szCs w:val="20"/>
          <w:color w:val="auto"/>
        </w:rPr>
      </w:pPr>
    </w:p>
    <w:p>
      <w:pPr>
        <w:ind w:right="200" w:firstLine="637"/>
        <w:spacing w:after="0" w:line="245" w:lineRule="auto"/>
        <w:rPr>
          <w:sz w:val="20"/>
          <w:szCs w:val="20"/>
          <w:color w:val="auto"/>
        </w:rPr>
      </w:pPr>
      <w:r>
        <w:rPr>
          <w:rFonts w:ascii="Arial" w:cs="Arial" w:eastAsia="Arial" w:hAnsi="Arial"/>
          <w:sz w:val="18"/>
          <w:szCs w:val="18"/>
          <w:color w:val="auto"/>
        </w:rPr>
        <w:t>The ultimate impact from the COVID-19 pandemic is difficult to predict. While many uncertainties exist, we currently anticipate no material change in our financial condition or results of operations. Although the Company does not anticipate a material change to our financial condition or results of operations, the Company performed a qualitative triggering analysis and determined there was no triggering event indicating a potential impairment to the carrying value of its goodwill at September 30, 2020 and concluded there has not been an impairment.</w:t>
      </w:r>
    </w:p>
    <w:p>
      <w:pPr>
        <w:spacing w:after="0" w:line="278" w:lineRule="exact"/>
        <w:rPr>
          <w:sz w:val="20"/>
          <w:szCs w:val="20"/>
          <w:color w:val="auto"/>
        </w:rPr>
      </w:pPr>
    </w:p>
    <w:p>
      <w:pPr>
        <w:ind w:left="640" w:hanging="632"/>
        <w:spacing w:after="0"/>
        <w:tabs>
          <w:tab w:leader="none" w:pos="6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106" w:lineRule="exact"/>
        <w:rPr>
          <w:sz w:val="20"/>
          <w:szCs w:val="20"/>
          <w:color w:val="auto"/>
        </w:rPr>
      </w:pPr>
    </w:p>
    <w:p>
      <w:pPr>
        <w:ind w:right="40" w:firstLine="637"/>
        <w:spacing w:after="0" w:line="276" w:lineRule="auto"/>
        <w:rPr>
          <w:sz w:val="20"/>
          <w:szCs w:val="20"/>
          <w:color w:val="auto"/>
        </w:rPr>
      </w:pPr>
      <w:r>
        <w:rPr>
          <w:rFonts w:ascii="Arial" w:cs="Arial" w:eastAsia="Arial" w:hAnsi="Arial"/>
          <w:sz w:val="18"/>
          <w:szCs w:val="18"/>
          <w:color w:val="auto"/>
        </w:rPr>
        <w:t>The gross amount and accumulated amortization of intangible assets with finite useful lives included in “Intangible assets, net” on the consolidated balance sheets are as follows (in thousands except for years):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Weighted</w:t>
            </w:r>
          </w:p>
        </w:tc>
      </w:tr>
      <w:tr>
        <w:trPr>
          <w:trHeight w:val="177"/>
        </w:trPr>
        <w:tc>
          <w:tcPr>
            <w:tcW w:w="37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September 30, 2020</w:t>
            </w: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December 31, 2019</w:t>
            </w: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Average</w:t>
            </w:r>
          </w:p>
        </w:tc>
      </w:tr>
      <w:tr>
        <w:trPr>
          <w:trHeight w:val="154"/>
        </w:trPr>
        <w:tc>
          <w:tcPr>
            <w:tcW w:w="3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center"/>
              <w:ind w:right="340"/>
              <w:spacing w:after="0" w:line="154" w:lineRule="exact"/>
              <w:rPr>
                <w:sz w:val="20"/>
                <w:szCs w:val="20"/>
                <w:color w:val="auto"/>
              </w:rPr>
            </w:pPr>
            <w:r>
              <w:rPr>
                <w:rFonts w:ascii="Arial" w:cs="Arial" w:eastAsia="Arial" w:hAnsi="Arial"/>
                <w:sz w:val="14"/>
                <w:szCs w:val="14"/>
                <w:b w:val="1"/>
                <w:bCs w:val="1"/>
                <w:color w:val="auto"/>
              </w:rPr>
              <w:t>Gross</w:t>
            </w: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center"/>
              <w:ind w:right="55"/>
              <w:spacing w:after="0" w:line="154" w:lineRule="exact"/>
              <w:rPr>
                <w:sz w:val="20"/>
                <w:szCs w:val="20"/>
                <w:color w:val="auto"/>
              </w:rPr>
            </w:pPr>
            <w:r>
              <w:rPr>
                <w:rFonts w:ascii="Arial" w:cs="Arial" w:eastAsia="Arial" w:hAnsi="Arial"/>
                <w:sz w:val="14"/>
                <w:szCs w:val="14"/>
                <w:b w:val="1"/>
                <w:bCs w:val="1"/>
                <w:color w:val="auto"/>
              </w:rPr>
              <w:t>Net</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tcPr>
          <w:p>
            <w:pPr>
              <w:jc w:val="center"/>
              <w:ind w:right="320"/>
              <w:spacing w:after="0" w:line="154" w:lineRule="exact"/>
              <w:rPr>
                <w:sz w:val="20"/>
                <w:szCs w:val="20"/>
                <w:color w:val="auto"/>
              </w:rPr>
            </w:pPr>
            <w:r>
              <w:rPr>
                <w:rFonts w:ascii="Arial" w:cs="Arial" w:eastAsia="Arial" w:hAnsi="Arial"/>
                <w:sz w:val="14"/>
                <w:szCs w:val="14"/>
                <w:b w:val="1"/>
                <w:bCs w:val="1"/>
                <w:color w:val="auto"/>
              </w:rPr>
              <w:t>Gross</w:t>
            </w: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center"/>
              <w:ind w:right="33"/>
              <w:spacing w:after="0" w:line="154" w:lineRule="exact"/>
              <w:rPr>
                <w:sz w:val="20"/>
                <w:szCs w:val="20"/>
                <w:color w:val="auto"/>
              </w:rPr>
            </w:pPr>
            <w:r>
              <w:rPr>
                <w:rFonts w:ascii="Arial" w:cs="Arial" w:eastAsia="Arial" w:hAnsi="Arial"/>
                <w:sz w:val="14"/>
                <w:szCs w:val="14"/>
                <w:b w:val="1"/>
                <w:bCs w:val="1"/>
                <w:color w:val="auto"/>
                <w:w w:val="97"/>
              </w:rPr>
              <w:t>Net</w:t>
            </w:r>
          </w:p>
        </w:tc>
        <w:tc>
          <w:tcPr>
            <w:tcW w:w="180" w:type="dxa"/>
            <w:vAlign w:val="bottom"/>
          </w:tcPr>
          <w:p>
            <w:pPr>
              <w:spacing w:after="0"/>
              <w:rPr>
                <w:sz w:val="13"/>
                <w:szCs w:val="13"/>
                <w:color w:val="auto"/>
              </w:rPr>
            </w:pPr>
          </w:p>
        </w:tc>
        <w:tc>
          <w:tcPr>
            <w:tcW w:w="1000" w:type="dxa"/>
            <w:vAlign w:val="bottom"/>
            <w:gridSpan w:val="2"/>
          </w:tcPr>
          <w:p>
            <w:pPr>
              <w:jc w:val="center"/>
              <w:ind w:right="120"/>
              <w:spacing w:after="0" w:line="154" w:lineRule="exact"/>
              <w:rPr>
                <w:sz w:val="20"/>
                <w:szCs w:val="20"/>
                <w:color w:val="auto"/>
              </w:rPr>
            </w:pPr>
            <w:r>
              <w:rPr>
                <w:rFonts w:ascii="Arial" w:cs="Arial" w:eastAsia="Arial" w:hAnsi="Arial"/>
                <w:sz w:val="14"/>
                <w:szCs w:val="14"/>
                <w:b w:val="1"/>
                <w:bCs w:val="1"/>
                <w:color w:val="auto"/>
              </w:rPr>
              <w:t>Amortization</w:t>
            </w:r>
          </w:p>
        </w:tc>
      </w:tr>
      <w:tr>
        <w:trPr>
          <w:trHeight w:val="162"/>
        </w:trPr>
        <w:tc>
          <w:tcPr>
            <w:tcW w:w="3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Carrying</w:t>
            </w: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4"/>
                <w:szCs w:val="14"/>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4"/>
                <w:szCs w:val="14"/>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Carrying</w:t>
            </w: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Accumulated</w:t>
            </w:r>
          </w:p>
        </w:tc>
        <w:tc>
          <w:tcPr>
            <w:tcW w:w="800" w:type="dxa"/>
            <w:vAlign w:val="bottom"/>
            <w:gridSpan w:val="2"/>
          </w:tcPr>
          <w:p>
            <w:pPr>
              <w:jc w:val="center"/>
              <w:spacing w:after="0"/>
              <w:rPr>
                <w:sz w:val="20"/>
                <w:szCs w:val="20"/>
                <w:color w:val="auto"/>
              </w:rPr>
            </w:pPr>
            <w:r>
              <w:rPr>
                <w:rFonts w:ascii="Arial" w:cs="Arial" w:eastAsia="Arial" w:hAnsi="Arial"/>
                <w:sz w:val="14"/>
                <w:szCs w:val="14"/>
                <w:b w:val="1"/>
                <w:bCs w:val="1"/>
                <w:color w:val="auto"/>
              </w:rPr>
              <w:t>Carrying</w:t>
            </w:r>
          </w:p>
        </w:tc>
        <w:tc>
          <w:tcPr>
            <w:tcW w:w="180" w:type="dxa"/>
            <w:vAlign w:val="bottom"/>
          </w:tcPr>
          <w:p>
            <w:pPr>
              <w:spacing w:after="0"/>
              <w:rPr>
                <w:sz w:val="14"/>
                <w:szCs w:val="14"/>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Period</w:t>
            </w:r>
          </w:p>
        </w:tc>
      </w:tr>
      <w:tr>
        <w:trPr>
          <w:trHeight w:val="177"/>
        </w:trPr>
        <w:tc>
          <w:tcPr>
            <w:tcW w:w="3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Amount</w:t>
            </w:r>
          </w:p>
        </w:tc>
        <w:tc>
          <w:tcPr>
            <w:tcW w:w="110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5"/>
                <w:szCs w:val="15"/>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5"/>
                <w:szCs w:val="15"/>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Amount</w:t>
            </w: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5"/>
                <w:szCs w:val="15"/>
                <w:color w:val="auto"/>
              </w:rPr>
            </w:pPr>
          </w:p>
        </w:tc>
        <w:tc>
          <w:tcPr>
            <w:tcW w:w="700" w:type="dxa"/>
            <w:vAlign w:val="bottom"/>
          </w:tcPr>
          <w:p>
            <w:pPr>
              <w:jc w:val="center"/>
              <w:ind w:right="33"/>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5"/>
                <w:szCs w:val="15"/>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4"/>
                <w:szCs w:val="14"/>
                <w:b w:val="1"/>
                <w:bCs w:val="1"/>
                <w:i w:val="1"/>
                <w:iCs w:val="1"/>
                <w:color w:val="auto"/>
              </w:rPr>
              <w:t>(in years)</w:t>
            </w:r>
          </w:p>
        </w:tc>
      </w:tr>
      <w:tr>
        <w:trPr>
          <w:trHeight w:val="209"/>
        </w:trPr>
        <w:tc>
          <w:tcPr>
            <w:tcW w:w="3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Backlog</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109,255</w:t>
            </w:r>
          </w:p>
        </w:tc>
        <w:tc>
          <w:tcPr>
            <w:tcW w:w="1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(97,713)</w:t>
            </w:r>
          </w:p>
        </w:tc>
        <w:tc>
          <w:tcPr>
            <w:tcW w:w="1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11,542</w:t>
            </w:r>
          </w:p>
        </w:tc>
        <w:tc>
          <w:tcPr>
            <w:tcW w:w="2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109,255</w:t>
            </w:r>
          </w:p>
        </w:tc>
        <w:tc>
          <w:tcPr>
            <w:tcW w:w="1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(87,510)</w:t>
            </w:r>
          </w:p>
        </w:tc>
        <w:tc>
          <w:tcPr>
            <w:tcW w:w="2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21,745</w:t>
            </w:r>
          </w:p>
        </w:tc>
        <w:tc>
          <w:tcPr>
            <w:tcW w:w="18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228,529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41"/>
              <w:spacing w:after="0"/>
              <w:rPr>
                <w:sz w:val="20"/>
                <w:szCs w:val="20"/>
                <w:color w:val="auto"/>
              </w:rPr>
            </w:pPr>
            <w:r>
              <w:rPr>
                <w:rFonts w:ascii="Arial" w:cs="Arial" w:eastAsia="Arial" w:hAnsi="Arial"/>
                <w:sz w:val="18"/>
                <w:szCs w:val="18"/>
                <w:color w:val="auto"/>
              </w:rPr>
              <w:t>(99,646)</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128,883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228,529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61"/>
              <w:spacing w:after="0"/>
              <w:rPr>
                <w:sz w:val="20"/>
                <w:szCs w:val="20"/>
                <w:color w:val="auto"/>
              </w:rPr>
            </w:pPr>
            <w:r>
              <w:rPr>
                <w:rFonts w:ascii="Arial" w:cs="Arial" w:eastAsia="Arial" w:hAnsi="Arial"/>
                <w:sz w:val="18"/>
                <w:szCs w:val="18"/>
                <w:color w:val="auto"/>
              </w:rPr>
              <w:t>(67,809)</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160,720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r>
      <w:tr>
        <w:trPr>
          <w:trHeight w:val="216"/>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Leases</w:t>
            </w: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670</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(594)</w:t>
            </w: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670</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61"/>
              <w:spacing w:after="0"/>
              <w:rPr>
                <w:sz w:val="20"/>
                <w:szCs w:val="20"/>
                <w:color w:val="auto"/>
              </w:rPr>
            </w:pPr>
            <w:r>
              <w:rPr>
                <w:rFonts w:ascii="Arial" w:cs="Arial" w:eastAsia="Arial" w:hAnsi="Arial"/>
                <w:sz w:val="18"/>
                <w:szCs w:val="18"/>
                <w:color w:val="auto"/>
              </w:rPr>
              <w:t>(580)</w:t>
            </w: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FF0FC"/>
          </w:tcPr>
          <w:p>
            <w:pPr>
              <w:spacing w:after="0"/>
              <w:rPr>
                <w:sz w:val="18"/>
                <w:szCs w:val="18"/>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Developed technology</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110,939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41"/>
              <w:spacing w:after="0"/>
              <w:rPr>
                <w:sz w:val="20"/>
                <w:szCs w:val="20"/>
                <w:color w:val="auto"/>
              </w:rPr>
            </w:pPr>
            <w:r>
              <w:rPr>
                <w:rFonts w:ascii="Arial" w:cs="Arial" w:eastAsia="Arial" w:hAnsi="Arial"/>
                <w:sz w:val="18"/>
                <w:szCs w:val="18"/>
                <w:color w:val="auto"/>
              </w:rPr>
              <w:t>(61,902)</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49,037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110,939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61"/>
              <w:spacing w:after="0"/>
              <w:rPr>
                <w:sz w:val="20"/>
                <w:szCs w:val="20"/>
                <w:color w:val="auto"/>
              </w:rPr>
            </w:pPr>
            <w:r>
              <w:rPr>
                <w:rFonts w:ascii="Arial" w:cs="Arial" w:eastAsia="Arial" w:hAnsi="Arial"/>
                <w:sz w:val="18"/>
                <w:szCs w:val="18"/>
                <w:color w:val="auto"/>
              </w:rPr>
              <w:t>(40,749)</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70,190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r>
      <w:tr>
        <w:trPr>
          <w:trHeight w:val="216"/>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Trade name</w:t>
            </w: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8,200</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(7,392)</w:t>
            </w: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808</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8,200</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61"/>
              <w:spacing w:after="0"/>
              <w:rPr>
                <w:sz w:val="20"/>
                <w:szCs w:val="20"/>
                <w:color w:val="auto"/>
              </w:rPr>
            </w:pPr>
            <w:r>
              <w:rPr>
                <w:rFonts w:ascii="Arial" w:cs="Arial" w:eastAsia="Arial" w:hAnsi="Arial"/>
                <w:sz w:val="18"/>
                <w:szCs w:val="18"/>
                <w:color w:val="auto"/>
              </w:rPr>
              <w:t>(5,667)</w:t>
            </w: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2,533</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8"/>
                <w:szCs w:val="18"/>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Non-compete agreements</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3,600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41"/>
              <w:spacing w:after="0"/>
              <w:rPr>
                <w:sz w:val="20"/>
                <w:szCs w:val="20"/>
                <w:color w:val="auto"/>
              </w:rPr>
            </w:pPr>
            <w:r>
              <w:rPr>
                <w:rFonts w:ascii="Arial" w:cs="Arial" w:eastAsia="Arial" w:hAnsi="Arial"/>
                <w:sz w:val="18"/>
                <w:szCs w:val="18"/>
                <w:color w:val="auto"/>
              </w:rPr>
              <w:t>(1,750)</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1,850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3,600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61"/>
              <w:spacing w:after="0"/>
              <w:rPr>
                <w:sz w:val="20"/>
                <w:szCs w:val="20"/>
                <w:color w:val="auto"/>
              </w:rPr>
            </w:pPr>
            <w:r>
              <w:rPr>
                <w:rFonts w:ascii="Arial" w:cs="Arial" w:eastAsia="Arial" w:hAnsi="Arial"/>
                <w:sz w:val="18"/>
                <w:szCs w:val="18"/>
                <w:color w:val="auto"/>
              </w:rPr>
              <w:t>(925)</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2,675</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r>
      <w:tr>
        <w:trPr>
          <w:trHeight w:val="216"/>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In process research and development</w:t>
            </w: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1,800</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1,800</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1,800</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1,800</w:t>
            </w:r>
          </w:p>
        </w:tc>
        <w:tc>
          <w:tcPr>
            <w:tcW w:w="18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ind w:left="620"/>
              <w:spacing w:after="0"/>
              <w:rPr>
                <w:sz w:val="20"/>
                <w:szCs w:val="20"/>
                <w:color w:val="auto"/>
              </w:rPr>
            </w:pPr>
            <w:r>
              <w:rPr>
                <w:rFonts w:ascii="Arial" w:cs="Arial" w:eastAsia="Arial" w:hAnsi="Arial"/>
                <w:sz w:val="18"/>
                <w:szCs w:val="18"/>
                <w:color w:val="auto"/>
              </w:rPr>
              <w:t>n/a</w:t>
            </w: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Other intangibles</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41"/>
              <w:spacing w:after="0"/>
              <w:rPr>
                <w:sz w:val="20"/>
                <w:szCs w:val="20"/>
                <w:color w:val="auto"/>
              </w:rPr>
            </w:pPr>
            <w:r>
              <w:rPr>
                <w:rFonts w:ascii="Arial" w:cs="Arial" w:eastAsia="Arial" w:hAnsi="Arial"/>
                <w:sz w:val="18"/>
                <w:szCs w:val="18"/>
                <w:color w:val="auto"/>
              </w:rPr>
              <w:t>(189)</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61"/>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105</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r>
      <w:tr>
        <w:trPr>
          <w:trHeight w:val="210"/>
        </w:trPr>
        <w:tc>
          <w:tcPr>
            <w:tcW w:w="370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intangible assets</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463,268</w:t>
            </w:r>
          </w:p>
        </w:tc>
        <w:tc>
          <w:tcPr>
            <w:tcW w:w="1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(269,186</w:t>
            </w:r>
          </w:p>
        </w:tc>
        <w:tc>
          <w:tcPr>
            <w:tcW w:w="180" w:type="dxa"/>
            <w:vAlign w:val="bottom"/>
            <w:tcBorders>
              <w:top w:val="single" w:sz="8" w:color="CFF0FC"/>
            </w:tcBorders>
            <w:shd w:val="clear" w:color="auto" w:fill="CFF0FC"/>
          </w:tcPr>
          <w:p>
            <w:pPr>
              <w:jc w:val="right"/>
              <w:ind w:right="4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194,082</w:t>
            </w:r>
          </w:p>
        </w:tc>
        <w:tc>
          <w:tcPr>
            <w:tcW w:w="2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463,268</w:t>
            </w:r>
          </w:p>
        </w:tc>
        <w:tc>
          <w:tcPr>
            <w:tcW w:w="1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(203,410</w:t>
            </w:r>
          </w:p>
        </w:tc>
        <w:tc>
          <w:tcPr>
            <w:tcW w:w="200" w:type="dxa"/>
            <w:vAlign w:val="bottom"/>
            <w:tcBorders>
              <w:top w:val="single" w:sz="8" w:color="CFF0FC"/>
            </w:tcBorders>
            <w:shd w:val="clear" w:color="auto" w:fill="CFF0FC"/>
          </w:tcPr>
          <w:p>
            <w:pPr>
              <w:jc w:val="right"/>
              <w:ind w:right="6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259,858</w:t>
            </w:r>
          </w:p>
        </w:tc>
        <w:tc>
          <w:tcPr>
            <w:tcW w:w="18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bl>
    <w:p>
      <w:pPr>
        <w:spacing w:after="0" w:line="200" w:lineRule="exact"/>
        <w:rPr>
          <w:sz w:val="20"/>
          <w:szCs w:val="20"/>
          <w:color w:val="auto"/>
        </w:rPr>
      </w:pPr>
    </w:p>
    <w:p>
      <w:pPr>
        <w:spacing w:after="0" w:line="236" w:lineRule="exact"/>
        <w:rPr>
          <w:sz w:val="20"/>
          <w:szCs w:val="20"/>
          <w:color w:val="auto"/>
        </w:rPr>
      </w:pPr>
    </w:p>
    <w:p>
      <w:pPr>
        <w:ind w:right="160" w:firstLine="637"/>
        <w:spacing w:after="0" w:line="255" w:lineRule="auto"/>
        <w:rPr>
          <w:sz w:val="20"/>
          <w:szCs w:val="20"/>
          <w:color w:val="auto"/>
        </w:rPr>
      </w:pPr>
      <w:r>
        <w:rPr>
          <w:rFonts w:ascii="Arial" w:cs="Arial" w:eastAsia="Arial" w:hAnsi="Arial"/>
          <w:sz w:val="18"/>
          <w:szCs w:val="18"/>
          <w:color w:val="auto"/>
        </w:rPr>
        <w:t>The aggregate amortization expense of intangible assets for the three months ended September 30, 2020 and September 30, 2019 was $20.9 million and $22.1 million, respectively, and for the nine months ended September 30, 2020 and September 30, 2019 was $65.7 million and $64.5 million, respectively.</w:t>
      </w:r>
    </w:p>
    <w:p>
      <w:pPr>
        <w:spacing w:after="0" w:line="164" w:lineRule="exact"/>
        <w:rPr>
          <w:sz w:val="20"/>
          <w:szCs w:val="20"/>
          <w:color w:val="auto"/>
        </w:rPr>
      </w:pPr>
    </w:p>
    <w:p>
      <w:pPr>
        <w:ind w:right="520" w:firstLine="637"/>
        <w:spacing w:after="0" w:line="276" w:lineRule="auto"/>
        <w:rPr>
          <w:sz w:val="20"/>
          <w:szCs w:val="20"/>
          <w:color w:val="auto"/>
        </w:rPr>
      </w:pPr>
      <w:r>
        <w:rPr>
          <w:rFonts w:ascii="Arial" w:cs="Arial" w:eastAsia="Arial" w:hAnsi="Arial"/>
          <w:sz w:val="18"/>
          <w:szCs w:val="18"/>
          <w:color w:val="auto"/>
        </w:rPr>
        <w:t>Estimated amortization expense for the remainder of the current fiscal year and in each of the next four years and beyond is as follows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8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4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6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30, 2020</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3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2020 (remaining)</w:t>
            </w:r>
          </w:p>
        </w:tc>
        <w:tc>
          <w:tcPr>
            <w:tcW w:w="476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20,820</w:t>
            </w:r>
          </w:p>
        </w:tc>
        <w:tc>
          <w:tcPr>
            <w:tcW w:w="120" w:type="dxa"/>
            <w:vAlign w:val="bottom"/>
            <w:tcBorders>
              <w:top w:val="single" w:sz="8" w:color="CFF0FC"/>
            </w:tcBorders>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2021</w:t>
            </w:r>
          </w:p>
        </w:tc>
        <w:tc>
          <w:tcPr>
            <w:tcW w:w="4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81,573</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14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47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36,098</w:t>
            </w:r>
          </w:p>
        </w:tc>
        <w:tc>
          <w:tcPr>
            <w:tcW w:w="12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2023</w:t>
            </w:r>
          </w:p>
        </w:tc>
        <w:tc>
          <w:tcPr>
            <w:tcW w:w="4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23,549</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14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47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9,098</w:t>
            </w:r>
          </w:p>
        </w:tc>
        <w:tc>
          <w:tcPr>
            <w:tcW w:w="12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1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476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21,144</w:t>
            </w:r>
          </w:p>
        </w:tc>
        <w:tc>
          <w:tcPr>
            <w:tcW w:w="120" w:type="dxa"/>
            <w:vAlign w:val="bottom"/>
            <w:tcBorders>
              <w:bottom w:val="single" w:sz="8" w:color="CFF0FC"/>
            </w:tcBorders>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31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47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192,282</w:t>
            </w:r>
          </w:p>
        </w:tc>
        <w:tc>
          <w:tcPr>
            <w:tcW w:w="120" w:type="dxa"/>
            <w:vAlign w:val="bottom"/>
            <w:tcBorders>
              <w:bottom w:val="single" w:sz="8" w:color="CFF0FC"/>
            </w:tcBorders>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4760" w:type="dxa"/>
            <w:vAlign w:val="bottom"/>
            <w:vMerge w:val="restart"/>
          </w:tcPr>
          <w:p>
            <w:pPr>
              <w:jc w:val="right"/>
              <w:ind w:right="2670"/>
              <w:spacing w:after="0"/>
              <w:rPr>
                <w:sz w:val="20"/>
                <w:szCs w:val="20"/>
                <w:color w:val="auto"/>
              </w:rPr>
            </w:pPr>
            <w:r>
              <w:rPr>
                <w:rFonts w:ascii="Arial" w:cs="Arial" w:eastAsia="Arial" w:hAnsi="Arial"/>
                <w:sz w:val="18"/>
                <w:szCs w:val="18"/>
                <w:color w:val="auto"/>
              </w:rPr>
              <w:t>15</w:t>
            </w:r>
          </w:p>
        </w:tc>
        <w:tc>
          <w:tcPr>
            <w:tcW w:w="2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9"/>
        </w:trPr>
        <w:tc>
          <w:tcPr>
            <w:tcW w:w="58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47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580" w:type="dxa"/>
            <w:vAlign w:val="bottom"/>
            <w:tcBorders>
              <w:bottom w:val="single" w:sz="8" w:color="9A9A9A"/>
            </w:tcBorders>
          </w:tcPr>
          <w:p>
            <w:pPr>
              <w:spacing w:after="0"/>
              <w:rPr>
                <w:sz w:val="8"/>
                <w:szCs w:val="8"/>
                <w:color w:val="auto"/>
              </w:rPr>
            </w:pPr>
          </w:p>
        </w:tc>
        <w:tc>
          <w:tcPr>
            <w:tcW w:w="3140" w:type="dxa"/>
            <w:vAlign w:val="bottom"/>
            <w:tcBorders>
              <w:bottom w:val="single" w:sz="8" w:color="9A9A9A"/>
            </w:tcBorders>
          </w:tcPr>
          <w:p>
            <w:pPr>
              <w:spacing w:after="0"/>
              <w:rPr>
                <w:sz w:val="8"/>
                <w:szCs w:val="8"/>
                <w:color w:val="auto"/>
              </w:rPr>
            </w:pPr>
          </w:p>
        </w:tc>
        <w:tc>
          <w:tcPr>
            <w:tcW w:w="47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8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655" w:right="339" w:bottom="1440" w:gutter="0" w:footer="0" w:header="0"/>
        </w:sectPr>
      </w:pPr>
    </w:p>
    <w:bookmarkStart w:id="17" w:name="page18"/>
    <w:bookmarkEnd w:id="17"/>
    <w:p>
      <w:pPr>
        <w:ind w:left="640" w:hanging="632"/>
        <w:spacing w:after="0"/>
        <w:tabs>
          <w:tab w:leader="none" w:pos="6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Net</w:t>
      </w:r>
    </w:p>
    <w:p>
      <w:pPr>
        <w:spacing w:after="0" w:line="105"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Property and equipment consisted of the following at September 30, 2020 and December 31, 2019 (in thousands):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60" w:type="dxa"/>
            <w:vAlign w:val="bottom"/>
          </w:tcPr>
          <w:p>
            <w:pPr>
              <w:jc w:val="right"/>
              <w:ind w:right="416"/>
              <w:spacing w:after="0"/>
              <w:rPr>
                <w:sz w:val="20"/>
                <w:szCs w:val="20"/>
                <w:color w:val="auto"/>
              </w:rPr>
            </w:pPr>
            <w:r>
              <w:rPr>
                <w:rFonts w:ascii="Arial" w:cs="Arial" w:eastAsia="Arial" w:hAnsi="Arial"/>
                <w:sz w:val="14"/>
                <w:szCs w:val="14"/>
                <w:b w:val="1"/>
                <w:bCs w:val="1"/>
                <w:color w:val="auto"/>
              </w:rPr>
              <w:t>Useful life</w:t>
            </w:r>
          </w:p>
        </w:tc>
      </w:tr>
      <w:tr>
        <w:trPr>
          <w:trHeight w:val="177"/>
        </w:trPr>
        <w:tc>
          <w:tcPr>
            <w:tcW w:w="6040" w:type="dxa"/>
            <w:vAlign w:val="bottom"/>
          </w:tcPr>
          <w:p>
            <w:pPr>
              <w:spacing w:after="0"/>
              <w:rPr>
                <w:sz w:val="15"/>
                <w:szCs w:val="15"/>
                <w:color w:val="auto"/>
              </w:rPr>
            </w:pPr>
          </w:p>
        </w:tc>
        <w:tc>
          <w:tcPr>
            <w:tcW w:w="178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September 30, 2020</w:t>
            </w:r>
          </w:p>
        </w:tc>
        <w:tc>
          <w:tcPr>
            <w:tcW w:w="100" w:type="dxa"/>
            <w:vAlign w:val="bottom"/>
          </w:tcPr>
          <w:p>
            <w:pPr>
              <w:spacing w:after="0"/>
              <w:rPr>
                <w:sz w:val="15"/>
                <w:szCs w:val="15"/>
                <w:color w:val="auto"/>
              </w:rPr>
            </w:pPr>
          </w:p>
        </w:tc>
        <w:tc>
          <w:tcPr>
            <w:tcW w:w="16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December 31, 2019</w:t>
            </w:r>
          </w:p>
        </w:tc>
        <w:tc>
          <w:tcPr>
            <w:tcW w:w="1660" w:type="dxa"/>
            <w:vAlign w:val="bottom"/>
          </w:tcPr>
          <w:p>
            <w:pPr>
              <w:jc w:val="right"/>
              <w:ind w:right="516"/>
              <w:spacing w:after="0"/>
              <w:rPr>
                <w:sz w:val="20"/>
                <w:szCs w:val="20"/>
                <w:color w:val="auto"/>
              </w:rPr>
            </w:pPr>
            <w:r>
              <w:rPr>
                <w:rFonts w:ascii="Arial" w:cs="Arial" w:eastAsia="Arial" w:hAnsi="Arial"/>
                <w:sz w:val="14"/>
                <w:szCs w:val="14"/>
                <w:b w:val="1"/>
                <w:bCs w:val="1"/>
                <w:color w:val="auto"/>
              </w:rPr>
              <w:t>(years)</w:t>
            </w:r>
          </w:p>
        </w:tc>
      </w:tr>
      <w:tr>
        <w:trPr>
          <w:trHeight w:val="210"/>
        </w:trPr>
        <w:tc>
          <w:tcPr>
            <w:tcW w:w="60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Buildings and leasehold improvements</w:t>
            </w:r>
          </w:p>
        </w:tc>
        <w:tc>
          <w:tcPr>
            <w:tcW w:w="460" w:type="dxa"/>
            <w:vAlign w:val="bottom"/>
            <w:tcBorders>
              <w:top w:val="single" w:sz="8" w:color="auto"/>
            </w:tcBorders>
            <w:shd w:val="clear" w:color="auto" w:fill="CFF0FC"/>
          </w:tcPr>
          <w:p>
            <w:pPr>
              <w:jc w:val="right"/>
              <w:ind w:right="276"/>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93,361</w:t>
            </w:r>
          </w:p>
        </w:tc>
        <w:tc>
          <w:tcPr>
            <w:tcW w:w="2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81,065</w:t>
            </w:r>
          </w:p>
        </w:tc>
        <w:tc>
          <w:tcPr>
            <w:tcW w:w="240" w:type="dxa"/>
            <w:vAlign w:val="bottom"/>
            <w:tcBorders>
              <w:top w:val="single" w:sz="8" w:color="CFF0FC"/>
            </w:tcBorders>
            <w:shd w:val="clear" w:color="auto" w:fill="CFF0FC"/>
          </w:tcPr>
          <w:p>
            <w:pPr>
              <w:spacing w:after="0"/>
              <w:rPr>
                <w:sz w:val="18"/>
                <w:szCs w:val="18"/>
                <w:color w:val="auto"/>
              </w:rPr>
            </w:pPr>
          </w:p>
        </w:tc>
        <w:tc>
          <w:tcPr>
            <w:tcW w:w="1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w:t>
            </w: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Furniture and equipment</w:t>
            </w:r>
          </w:p>
        </w:tc>
        <w:tc>
          <w:tcPr>
            <w:tcW w:w="4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92,199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91,720</w:t>
            </w:r>
          </w:p>
        </w:tc>
        <w:tc>
          <w:tcPr>
            <w:tcW w:w="2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3-10</w:t>
            </w:r>
          </w:p>
        </w:tc>
      </w:tr>
      <w:tr>
        <w:trPr>
          <w:trHeight w:val="216"/>
        </w:trPr>
        <w:tc>
          <w:tcPr>
            <w:tcW w:w="6040" w:type="dxa"/>
            <w:vAlign w:val="bottom"/>
            <w:shd w:val="clear" w:color="auto" w:fill="CFF0FC"/>
          </w:tcPr>
          <w:p>
            <w:pPr>
              <w:spacing w:after="0"/>
              <w:rPr>
                <w:sz w:val="20"/>
                <w:szCs w:val="20"/>
                <w:color w:val="auto"/>
              </w:rPr>
            </w:pPr>
            <w:r>
              <w:rPr>
                <w:rFonts w:ascii="Arial" w:cs="Arial" w:eastAsia="Arial" w:hAnsi="Arial"/>
                <w:sz w:val="18"/>
                <w:szCs w:val="18"/>
                <w:color w:val="auto"/>
              </w:rPr>
              <w:t>Computer systems and equipment</w:t>
            </w:r>
          </w:p>
        </w:tc>
        <w:tc>
          <w:tcPr>
            <w:tcW w:w="4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173,606</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164,161</w:t>
            </w:r>
          </w:p>
        </w:tc>
        <w:tc>
          <w:tcPr>
            <w:tcW w:w="24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w:t>
            </w:r>
          </w:p>
        </w:tc>
      </w:tr>
      <w:tr>
        <w:trPr>
          <w:trHeight w:val="216"/>
        </w:trPr>
        <w:tc>
          <w:tcPr>
            <w:tcW w:w="60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Construction equipment</w:t>
            </w:r>
          </w:p>
        </w:tc>
        <w:tc>
          <w:tcPr>
            <w:tcW w:w="4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9,477</w:t>
            </w:r>
          </w:p>
        </w:tc>
        <w:tc>
          <w:tcPr>
            <w:tcW w:w="26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11,765</w:t>
            </w:r>
          </w:p>
        </w:tc>
        <w:tc>
          <w:tcPr>
            <w:tcW w:w="240" w:type="dxa"/>
            <w:vAlign w:val="bottom"/>
            <w:tcBorders>
              <w:bottom w:val="single" w:sz="8" w:color="CFF0FC"/>
            </w:tcBorders>
          </w:tcPr>
          <w:p>
            <w:pPr>
              <w:spacing w:after="0"/>
              <w:rPr>
                <w:sz w:val="18"/>
                <w:szCs w:val="18"/>
                <w:color w:val="auto"/>
              </w:rPr>
            </w:pPr>
          </w:p>
        </w:tc>
        <w:tc>
          <w:tcPr>
            <w:tcW w:w="166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5-7</w:t>
            </w:r>
          </w:p>
        </w:tc>
      </w:tr>
      <w:tr>
        <w:trPr>
          <w:trHeight w:val="210"/>
        </w:trPr>
        <w:tc>
          <w:tcPr>
            <w:tcW w:w="60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368,643</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348,711</w:t>
            </w:r>
          </w:p>
        </w:tc>
        <w:tc>
          <w:tcPr>
            <w:tcW w:w="24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46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(247,157)</w:t>
            </w:r>
          </w:p>
        </w:tc>
        <w:tc>
          <w:tcPr>
            <w:tcW w:w="100" w:type="dxa"/>
            <w:vAlign w:val="bottom"/>
          </w:tcPr>
          <w:p>
            <w:pPr>
              <w:spacing w:after="0"/>
              <w:rPr>
                <w:sz w:val="18"/>
                <w:szCs w:val="18"/>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(225,960)</w:t>
            </w:r>
          </w:p>
        </w:tc>
        <w:tc>
          <w:tcPr>
            <w:tcW w:w="1660" w:type="dxa"/>
            <w:vAlign w:val="bottom"/>
          </w:tcPr>
          <w:p>
            <w:pPr>
              <w:spacing w:after="0"/>
              <w:rPr>
                <w:sz w:val="18"/>
                <w:szCs w:val="18"/>
                <w:color w:val="auto"/>
              </w:rPr>
            </w:pPr>
          </w:p>
        </w:tc>
      </w:tr>
      <w:tr>
        <w:trPr>
          <w:trHeight w:val="209"/>
        </w:trPr>
        <w:tc>
          <w:tcPr>
            <w:tcW w:w="604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Property and equipment, net</w:t>
            </w:r>
          </w:p>
        </w:tc>
        <w:tc>
          <w:tcPr>
            <w:tcW w:w="460" w:type="dxa"/>
            <w:vAlign w:val="bottom"/>
            <w:tcBorders>
              <w:top w:val="single" w:sz="8" w:color="auto"/>
              <w:bottom w:val="single" w:sz="8" w:color="auto"/>
            </w:tcBorders>
            <w:shd w:val="clear" w:color="auto" w:fill="CFF0FC"/>
          </w:tcPr>
          <w:p>
            <w:pPr>
              <w:jc w:val="right"/>
              <w:ind w:right="276"/>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121,486</w:t>
            </w:r>
          </w:p>
        </w:tc>
        <w:tc>
          <w:tcPr>
            <w:tcW w:w="26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122,751</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66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60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bl>
    <w:p>
      <w:pPr>
        <w:spacing w:after="0" w:line="220" w:lineRule="exact"/>
        <w:rPr>
          <w:sz w:val="20"/>
          <w:szCs w:val="20"/>
          <w:color w:val="auto"/>
        </w:rPr>
      </w:pPr>
    </w:p>
    <w:p>
      <w:pPr>
        <w:ind w:right="240" w:firstLine="637"/>
        <w:spacing w:after="0" w:line="276" w:lineRule="auto"/>
        <w:rPr>
          <w:sz w:val="20"/>
          <w:szCs w:val="20"/>
          <w:color w:val="auto"/>
        </w:rPr>
      </w:pPr>
      <w:r>
        <w:rPr>
          <w:rFonts w:ascii="Arial" w:cs="Arial" w:eastAsia="Arial" w:hAnsi="Arial"/>
          <w:sz w:val="18"/>
          <w:szCs w:val="18"/>
          <w:color w:val="auto"/>
        </w:rPr>
        <w:t>Depreciation expense for the three months ended September 30, 2020 and September 30, 2019 was $9.5 million and $8.9 million, respectively, and $28.9 million and $28.2 million, respectively, for the nine months ended September 30, 2020 and September 30, 2019.</w:t>
      </w:r>
    </w:p>
    <w:p>
      <w:pPr>
        <w:spacing w:after="0" w:line="278" w:lineRule="exact"/>
        <w:rPr>
          <w:sz w:val="20"/>
          <w:szCs w:val="20"/>
          <w:color w:val="auto"/>
        </w:rPr>
      </w:pPr>
    </w:p>
    <w:p>
      <w:pPr>
        <w:ind w:left="640" w:hanging="632"/>
        <w:spacing w:after="0"/>
        <w:tabs>
          <w:tab w:leader="none" w:pos="6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Debt and Credit Facilities</w:t>
      </w:r>
    </w:p>
    <w:p>
      <w:pPr>
        <w:spacing w:after="0" w:line="105"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Debt consisted of the following (in thousands):</w:t>
      </w:r>
    </w:p>
    <w:p>
      <w:pPr>
        <w:spacing w:after="0" w:line="273" w:lineRule="exact"/>
        <w:rPr>
          <w:sz w:val="20"/>
          <w:szCs w:val="20"/>
          <w:color w:val="auto"/>
        </w:rPr>
      </w:pPr>
    </w:p>
    <w:tbl>
      <w:tblPr>
        <w:tblLayout w:type="fixed"/>
        <w:tblInd w:w="580" w:type="dxa"/>
        <w:tblCellMar>
          <w:top w:w="0" w:type="dxa"/>
          <w:left w:w="0" w:type="dxa"/>
          <w:bottom w:w="0" w:type="dxa"/>
          <w:right w:w="0" w:type="dxa"/>
        </w:tblCellMar>
      </w:tblPr>
      <w:tr>
        <w:trPr>
          <w:trHeight w:val="177"/>
        </w:trPr>
        <w:tc>
          <w:tcPr>
            <w:tcW w:w="6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September 30, 2020</w:t>
            </w:r>
          </w:p>
        </w:tc>
        <w:tc>
          <w:tcPr>
            <w:tcW w:w="160" w:type="dxa"/>
            <w:vAlign w:val="bottom"/>
          </w:tcPr>
          <w:p>
            <w:pPr>
              <w:spacing w:after="0"/>
              <w:rPr>
                <w:sz w:val="15"/>
                <w:szCs w:val="15"/>
                <w:color w:val="auto"/>
              </w:rPr>
            </w:pPr>
          </w:p>
        </w:tc>
        <w:tc>
          <w:tcPr>
            <w:tcW w:w="16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December 31, 2019</w:t>
            </w:r>
          </w:p>
        </w:tc>
      </w:tr>
      <w:tr>
        <w:trPr>
          <w:trHeight w:val="236"/>
        </w:trPr>
        <w:tc>
          <w:tcPr>
            <w:tcW w:w="6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Short-Term:</w:t>
            </w:r>
          </w:p>
        </w:tc>
        <w:tc>
          <w:tcPr>
            <w:tcW w:w="160" w:type="dxa"/>
            <w:vAlign w:val="bottom"/>
            <w:tcBorders>
              <w:top w:val="single" w:sz="8" w:color="auto"/>
            </w:tcBorders>
            <w:shd w:val="clear" w:color="auto" w:fill="CFF0FC"/>
          </w:tcPr>
          <w:p>
            <w:pPr>
              <w:spacing w:after="0"/>
              <w:rPr>
                <w:sz w:val="20"/>
                <w:szCs w:val="20"/>
                <w:color w:val="auto"/>
              </w:rPr>
            </w:pPr>
          </w:p>
        </w:tc>
        <w:tc>
          <w:tcPr>
            <w:tcW w:w="1680" w:type="dxa"/>
            <w:vAlign w:val="bottom"/>
            <w:tcBorders>
              <w:top w:val="single" w:sz="8" w:color="auto"/>
            </w:tcBorders>
            <w:shd w:val="clear" w:color="auto" w:fill="CFF0FC"/>
          </w:tcPr>
          <w:p>
            <w:pPr>
              <w:spacing w:after="0"/>
              <w:rPr>
                <w:sz w:val="20"/>
                <w:szCs w:val="20"/>
                <w:color w:val="auto"/>
              </w:rPr>
            </w:pPr>
          </w:p>
        </w:tc>
        <w:tc>
          <w:tcPr>
            <w:tcW w:w="260" w:type="dxa"/>
            <w:vAlign w:val="bottom"/>
            <w:tcBorders>
              <w:top w:val="single" w:sz="8" w:color="CFF0FC"/>
            </w:tcBorders>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158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r>
      <w:tr>
        <w:trPr>
          <w:trHeight w:val="243"/>
        </w:trPr>
        <w:tc>
          <w:tcPr>
            <w:tcW w:w="6160" w:type="dxa"/>
            <w:vAlign w:val="bottom"/>
            <w:tcBorders>
              <w:bottom w:val="single" w:sz="8" w:color="CFF0FC"/>
            </w:tcBorders>
          </w:tcPr>
          <w:p>
            <w:pPr>
              <w:ind w:left="120"/>
              <w:spacing w:after="0"/>
              <w:rPr>
                <w:sz w:val="20"/>
                <w:szCs w:val="20"/>
                <w:color w:val="auto"/>
              </w:rPr>
            </w:pPr>
            <w:r>
              <w:rPr>
                <w:rFonts w:ascii="Arial" w:cs="Arial" w:eastAsia="Arial" w:hAnsi="Arial"/>
                <w:sz w:val="18"/>
                <w:szCs w:val="18"/>
                <w:color w:val="auto"/>
              </w:rPr>
              <w:t>Senior notes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50,000</w:t>
            </w:r>
          </w:p>
        </w:tc>
        <w:tc>
          <w:tcPr>
            <w:tcW w:w="26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21"/>
                <w:szCs w:val="21"/>
                <w:color w:val="auto"/>
              </w:rPr>
            </w:pPr>
          </w:p>
        </w:tc>
      </w:tr>
      <w:tr>
        <w:trPr>
          <w:trHeight w:val="237"/>
        </w:trPr>
        <w:tc>
          <w:tcPr>
            <w:tcW w:w="6160" w:type="dxa"/>
            <w:vAlign w:val="bottom"/>
            <w:shd w:val="clear" w:color="auto" w:fill="CFF0FC"/>
          </w:tcPr>
          <w:p>
            <w:pPr>
              <w:spacing w:after="0"/>
              <w:rPr>
                <w:sz w:val="20"/>
                <w:szCs w:val="20"/>
                <w:color w:val="auto"/>
              </w:rPr>
            </w:pPr>
            <w:r>
              <w:rPr>
                <w:rFonts w:ascii="Arial" w:cs="Arial" w:eastAsia="Arial" w:hAnsi="Arial"/>
                <w:sz w:val="18"/>
                <w:szCs w:val="18"/>
                <w:color w:val="auto"/>
              </w:rPr>
              <w:t>Total Short-Term</w:t>
            </w:r>
          </w:p>
        </w:tc>
        <w:tc>
          <w:tcPr>
            <w:tcW w:w="160" w:type="dxa"/>
            <w:vAlign w:val="bottom"/>
            <w:tcBorders>
              <w:bottom w:val="single" w:sz="8" w:color="auto"/>
            </w:tcBorders>
            <w:shd w:val="clear" w:color="auto" w:fill="CFF0FC"/>
          </w:tcPr>
          <w:p>
            <w:pPr>
              <w:spacing w:after="0"/>
              <w:rPr>
                <w:sz w:val="20"/>
                <w:szCs w:val="20"/>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50,000</w:t>
            </w:r>
          </w:p>
        </w:tc>
        <w:tc>
          <w:tcPr>
            <w:tcW w:w="260" w:type="dxa"/>
            <w:vAlign w:val="bottom"/>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r>
      <w:tr>
        <w:trPr>
          <w:trHeight w:val="200"/>
        </w:trPr>
        <w:tc>
          <w:tcPr>
            <w:tcW w:w="6160" w:type="dxa"/>
            <w:vAlign w:val="bottom"/>
          </w:tcPr>
          <w:p>
            <w:pPr>
              <w:spacing w:after="0" w:line="201" w:lineRule="exact"/>
              <w:rPr>
                <w:sz w:val="20"/>
                <w:szCs w:val="20"/>
                <w:color w:val="auto"/>
              </w:rPr>
            </w:pPr>
            <w:r>
              <w:rPr>
                <w:rFonts w:ascii="Arial" w:cs="Arial" w:eastAsia="Arial" w:hAnsi="Arial"/>
                <w:sz w:val="18"/>
                <w:szCs w:val="18"/>
                <w:color w:val="auto"/>
              </w:rPr>
              <w:t>Long-Term:</w:t>
            </w:r>
          </w:p>
        </w:tc>
        <w:tc>
          <w:tcPr>
            <w:tcW w:w="1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5"/>
        </w:trPr>
        <w:tc>
          <w:tcPr>
            <w:tcW w:w="6160" w:type="dxa"/>
            <w:vAlign w:val="bottom"/>
          </w:tcPr>
          <w:p>
            <w:pPr>
              <w:ind w:left="120"/>
              <w:spacing w:after="0"/>
              <w:rPr>
                <w:sz w:val="20"/>
                <w:szCs w:val="20"/>
                <w:color w:val="auto"/>
              </w:rPr>
            </w:pPr>
            <w:r>
              <w:rPr>
                <w:rFonts w:ascii="Arial" w:cs="Arial" w:eastAsia="Arial" w:hAnsi="Arial"/>
                <w:sz w:val="18"/>
                <w:szCs w:val="18"/>
                <w:color w:val="auto"/>
              </w:rPr>
              <w:t>Senior notes</w:t>
            </w:r>
          </w:p>
        </w:tc>
        <w:tc>
          <w:tcPr>
            <w:tcW w:w="1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200,000</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250,000</w:t>
            </w:r>
          </w:p>
        </w:tc>
        <w:tc>
          <w:tcPr>
            <w:tcW w:w="100" w:type="dxa"/>
            <w:vAlign w:val="bottom"/>
          </w:tcPr>
          <w:p>
            <w:pPr>
              <w:spacing w:after="0"/>
              <w:rPr>
                <w:sz w:val="19"/>
                <w:szCs w:val="19"/>
                <w:color w:val="auto"/>
              </w:rPr>
            </w:pPr>
          </w:p>
        </w:tc>
      </w:tr>
      <w:tr>
        <w:trPr>
          <w:trHeight w:val="216"/>
        </w:trPr>
        <w:tc>
          <w:tcPr>
            <w:tcW w:w="61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Convertible senior notes</w:t>
            </w:r>
          </w:p>
        </w:tc>
        <w:tc>
          <w:tcPr>
            <w:tcW w:w="16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400,000</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6160" w:type="dxa"/>
            <w:vAlign w:val="bottom"/>
          </w:tcPr>
          <w:p>
            <w:pPr>
              <w:ind w:left="120"/>
              <w:spacing w:after="0"/>
              <w:rPr>
                <w:sz w:val="20"/>
                <w:szCs w:val="20"/>
                <w:color w:val="auto"/>
              </w:rPr>
            </w:pPr>
            <w:r>
              <w:rPr>
                <w:rFonts w:ascii="Arial" w:cs="Arial" w:eastAsia="Arial" w:hAnsi="Arial"/>
                <w:sz w:val="18"/>
                <w:szCs w:val="18"/>
                <w:color w:val="auto"/>
              </w:rPr>
              <w:t>Debt discount</w:t>
            </w:r>
          </w:p>
        </w:tc>
        <w:tc>
          <w:tcPr>
            <w:tcW w:w="160" w:type="dxa"/>
            <w:vAlign w:val="bottom"/>
          </w:tcPr>
          <w:p>
            <w:pPr>
              <w:spacing w:after="0"/>
              <w:rPr>
                <w:sz w:val="18"/>
                <w:szCs w:val="18"/>
                <w:color w:val="auto"/>
              </w:rPr>
            </w:pPr>
          </w:p>
        </w:tc>
        <w:tc>
          <w:tcPr>
            <w:tcW w:w="1940" w:type="dxa"/>
            <w:vAlign w:val="bottom"/>
            <w:gridSpan w:val="2"/>
          </w:tcPr>
          <w:p>
            <w:pPr>
              <w:jc w:val="right"/>
              <w:ind w:right="200"/>
              <w:spacing w:after="0"/>
              <w:rPr>
                <w:sz w:val="20"/>
                <w:szCs w:val="20"/>
                <w:color w:val="auto"/>
              </w:rPr>
            </w:pPr>
            <w:r>
              <w:rPr>
                <w:rFonts w:ascii="Arial" w:cs="Arial" w:eastAsia="Arial" w:hAnsi="Arial"/>
                <w:sz w:val="18"/>
                <w:szCs w:val="18"/>
                <w:color w:val="auto"/>
              </w:rPr>
              <w:t>(53,692)</w:t>
            </w: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61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Debt issuance costs</w:t>
            </w:r>
          </w:p>
        </w:tc>
        <w:tc>
          <w:tcPr>
            <w:tcW w:w="160" w:type="dxa"/>
            <w:vAlign w:val="bottom"/>
            <w:shd w:val="clear" w:color="auto" w:fill="CFF0FC"/>
          </w:tcPr>
          <w:p>
            <w:pPr>
              <w:spacing w:after="0"/>
              <w:rPr>
                <w:sz w:val="18"/>
                <w:szCs w:val="18"/>
                <w:color w:val="auto"/>
              </w:rPr>
            </w:pPr>
          </w:p>
        </w:tc>
        <w:tc>
          <w:tcPr>
            <w:tcW w:w="19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(9,189)</w:t>
            </w:r>
          </w:p>
        </w:tc>
        <w:tc>
          <w:tcPr>
            <w:tcW w:w="16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(647)</w:t>
            </w:r>
          </w:p>
        </w:tc>
      </w:tr>
      <w:tr>
        <w:trPr>
          <w:trHeight w:val="209"/>
        </w:trPr>
        <w:tc>
          <w:tcPr>
            <w:tcW w:w="61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long-term</w:t>
            </w:r>
          </w:p>
        </w:tc>
        <w:tc>
          <w:tcPr>
            <w:tcW w:w="160" w:type="dxa"/>
            <w:vAlign w:val="bottom"/>
            <w:tcBorders>
              <w:top w:val="single" w:sz="8" w:color="auto"/>
              <w:bottom w:val="single" w:sz="8" w:color="auto"/>
            </w:tcBorders>
          </w:tcPr>
          <w:p>
            <w:pPr>
              <w:spacing w:after="0"/>
              <w:rPr>
                <w:sz w:val="18"/>
                <w:szCs w:val="18"/>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537,119</w:t>
            </w:r>
          </w:p>
        </w:tc>
        <w:tc>
          <w:tcPr>
            <w:tcW w:w="260" w:type="dxa"/>
            <w:vAlign w:val="bottom"/>
            <w:tcBorders>
              <w:bottom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249,353</w:t>
            </w:r>
          </w:p>
        </w:tc>
        <w:tc>
          <w:tcPr>
            <w:tcW w:w="100" w:type="dxa"/>
            <w:vAlign w:val="bottom"/>
            <w:tcBorders>
              <w:bottom w:val="single" w:sz="8" w:color="CFF0FC"/>
            </w:tcBorders>
          </w:tcPr>
          <w:p>
            <w:pPr>
              <w:spacing w:after="0"/>
              <w:rPr>
                <w:sz w:val="18"/>
                <w:szCs w:val="18"/>
                <w:color w:val="auto"/>
              </w:rPr>
            </w:pPr>
          </w:p>
        </w:tc>
      </w:tr>
      <w:tr>
        <w:trPr>
          <w:trHeight w:val="237"/>
        </w:trPr>
        <w:tc>
          <w:tcPr>
            <w:tcW w:w="61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Debt</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587,119</w:t>
            </w:r>
          </w:p>
        </w:tc>
        <w:tc>
          <w:tcPr>
            <w:tcW w:w="2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249,353</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0"/>
        </w:trPr>
        <w:tc>
          <w:tcPr>
            <w:tcW w:w="6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212" w:lineRule="exact"/>
        <w:rPr>
          <w:sz w:val="20"/>
          <w:szCs w:val="20"/>
          <w:color w:val="auto"/>
        </w:rPr>
      </w:pPr>
    </w:p>
    <w:p>
      <w:pPr>
        <w:ind w:right="80" w:firstLine="637"/>
        <w:spacing w:after="0" w:line="238" w:lineRule="auto"/>
        <w:rPr>
          <w:sz w:val="20"/>
          <w:szCs w:val="20"/>
          <w:color w:val="auto"/>
        </w:rPr>
      </w:pPr>
      <w:r>
        <w:rPr>
          <w:rFonts w:ascii="Arial" w:cs="Arial" w:eastAsia="Arial" w:hAnsi="Arial"/>
          <w:sz w:val="18"/>
          <w:szCs w:val="18"/>
          <w:color w:val="auto"/>
        </w:rPr>
        <w:t>In November 2017, the Company entered into an amended and restated Credit Agreement. The Company incurred $2.0 million of costs in connection with this amendment. Under the agreement, the Company’s revolving credit facility was increased from $500 million to $550 million and the term of the agreement was extended through November 2022. The borrowings under the Credit Agreement bear interest, at the Company’s option, at either the Base Rate (as defined in the Credit Agreement), plus an applicable margin, or LIBOR plus an applicable margin. The applicable margin for Base Rate loans is a range of 0.125% to 1.00% and the applicable margin for LIBOR loans is a range of 1.125% to 2.00%, both based on the leverage ratio of the Company at the end of each fiscal quarter. The rates at September 30, 2020 and December 31, 2019 were 1.44% and 3.02%, respectively. Borrowings under this Credit Agreement are guaranteed by certain Company operating subsidiaries. Letters of credit commitments outstanding under this agreement aggregated to $44.9 million and $43.7 million at September 30, 2020 and December 31, 2019, respectively, which reduced borrowing limits available to the Company. Interest expense related to the Credit Agreement was $ 0.2 million and $0.9 million for the three and nine months ended September 30, 2020, respectively, and for the three and nine months ended September 30, 2019 was $1.1 million and $6.4 million, respectively. There were no loan amounts outstanding under the Credit Agreement at September 30, 2020.</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39" w:right="339" w:bottom="1440" w:gutter="0" w:footer="0" w:header="0"/>
        </w:sectPr>
      </w:pPr>
    </w:p>
    <w:bookmarkStart w:id="18" w:name="page19"/>
    <w:bookmarkEnd w:id="18"/>
    <w:p>
      <w:pPr>
        <w:ind w:left="660"/>
        <w:spacing w:after="0"/>
        <w:rPr>
          <w:sz w:val="20"/>
          <w:szCs w:val="20"/>
          <w:color w:val="auto"/>
        </w:rPr>
      </w:pPr>
      <w:r>
        <w:rPr>
          <w:rFonts w:ascii="Arial" w:cs="Arial" w:eastAsia="Arial" w:hAnsi="Arial"/>
          <w:sz w:val="18"/>
          <w:szCs w:val="18"/>
          <w:b w:val="1"/>
          <w:bCs w:val="1"/>
          <w:i w:val="1"/>
          <w:iCs w:val="1"/>
          <w:color w:val="auto"/>
        </w:rPr>
        <w:t>Term Loan</w:t>
      </w:r>
    </w:p>
    <w:p>
      <w:pPr>
        <w:spacing w:after="0" w:line="212" w:lineRule="exact"/>
        <w:rPr>
          <w:sz w:val="20"/>
          <w:szCs w:val="20"/>
          <w:color w:val="auto"/>
        </w:rPr>
      </w:pPr>
    </w:p>
    <w:p>
      <w:pPr>
        <w:ind w:right="60" w:firstLine="644"/>
        <w:spacing w:after="0" w:line="248" w:lineRule="auto"/>
        <w:rPr>
          <w:sz w:val="20"/>
          <w:szCs w:val="20"/>
          <w:color w:val="auto"/>
        </w:rPr>
      </w:pPr>
      <w:r>
        <w:rPr>
          <w:rFonts w:ascii="Arial" w:cs="Arial" w:eastAsia="Arial" w:hAnsi="Arial"/>
          <w:sz w:val="18"/>
          <w:szCs w:val="18"/>
          <w:color w:val="auto"/>
        </w:rPr>
        <w:t>In January 2019, the Company borrowed $150.0 million under our Term Loan Agreement to partially finance the OGSystems acquisition. On May 10, 2019, the Company used proceeds from its May 8, 2019 IPO to repay the $150.0 million outstanding balance under the Term Loan and this loan is now closed. Interest expense related to the Term Loan was $0 and $2.3 million for the three and nine months ended September 30, 2019, respectively. There were no amounts outstanding in fiscal 2020.</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Private Placement</w:t>
      </w:r>
    </w:p>
    <w:p>
      <w:pPr>
        <w:spacing w:after="0" w:line="212" w:lineRule="exact"/>
        <w:rPr>
          <w:sz w:val="20"/>
          <w:szCs w:val="20"/>
          <w:color w:val="auto"/>
        </w:rPr>
      </w:pPr>
    </w:p>
    <w:p>
      <w:pPr>
        <w:ind w:right="140" w:firstLine="637"/>
        <w:spacing w:after="0" w:line="276" w:lineRule="auto"/>
        <w:rPr>
          <w:sz w:val="20"/>
          <w:szCs w:val="20"/>
          <w:color w:val="auto"/>
        </w:rPr>
      </w:pPr>
      <w:r>
        <w:rPr>
          <w:rFonts w:ascii="Arial" w:cs="Arial" w:eastAsia="Arial" w:hAnsi="Arial"/>
          <w:sz w:val="18"/>
          <w:szCs w:val="18"/>
          <w:color w:val="auto"/>
        </w:rPr>
        <w:t>On July 1, 2014, the Company finalized a private placement whereby the Company raised an aggregate amount of $250.0 million in debt as follows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5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9"/>
              </w:rPr>
              <w:t>Tranche</w:t>
            </w:r>
          </w:p>
        </w:tc>
        <w:tc>
          <w:tcPr>
            <w:tcW w:w="5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gridSpan w:val="2"/>
          </w:tcPr>
          <w:p>
            <w:pPr>
              <w:ind w:left="120"/>
              <w:spacing w:after="0"/>
              <w:rPr>
                <w:sz w:val="20"/>
                <w:szCs w:val="20"/>
                <w:color w:val="auto"/>
              </w:rPr>
            </w:pPr>
            <w:r>
              <w:rPr>
                <w:rFonts w:ascii="Arial" w:cs="Arial" w:eastAsia="Arial" w:hAnsi="Arial"/>
                <w:sz w:val="14"/>
                <w:szCs w:val="14"/>
                <w:b w:val="1"/>
                <w:bCs w:val="1"/>
                <w:color w:val="auto"/>
              </w:rPr>
              <w:t>Debt Amount</w:t>
            </w:r>
          </w:p>
        </w:tc>
        <w:tc>
          <w:tcPr>
            <w:tcW w:w="1860" w:type="dxa"/>
            <w:vAlign w:val="bottom"/>
            <w:gridSpan w:val="2"/>
          </w:tcPr>
          <w:p>
            <w:pPr>
              <w:ind w:left="380"/>
              <w:spacing w:after="0"/>
              <w:rPr>
                <w:sz w:val="20"/>
                <w:szCs w:val="20"/>
                <w:color w:val="auto"/>
              </w:rPr>
            </w:pPr>
            <w:r>
              <w:rPr>
                <w:rFonts w:ascii="Arial" w:cs="Arial" w:eastAsia="Arial" w:hAnsi="Arial"/>
                <w:sz w:val="14"/>
                <w:szCs w:val="14"/>
                <w:b w:val="1"/>
                <w:bCs w:val="1"/>
                <w:color w:val="auto"/>
              </w:rPr>
              <w:t>Maturity Date</w:t>
            </w:r>
          </w:p>
        </w:tc>
        <w:tc>
          <w:tcPr>
            <w:tcW w:w="17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Interest Rates</w:t>
            </w:r>
          </w:p>
        </w:tc>
        <w:tc>
          <w:tcPr>
            <w:tcW w:w="0" w:type="dxa"/>
            <w:vAlign w:val="bottom"/>
          </w:tcPr>
          <w:p>
            <w:pPr>
              <w:spacing w:after="0"/>
              <w:rPr>
                <w:sz w:val="1"/>
                <w:szCs w:val="1"/>
                <w:color w:val="auto"/>
              </w:rPr>
            </w:pPr>
          </w:p>
        </w:tc>
      </w:tr>
      <w:tr>
        <w:trPr>
          <w:trHeight w:val="20"/>
        </w:trPr>
        <w:tc>
          <w:tcPr>
            <w:tcW w:w="5800" w:type="dxa"/>
            <w:vAlign w:val="bottom"/>
            <w:gridSpan w:val="2"/>
            <w:vMerge w:val="restart"/>
            <w:shd w:val="clear" w:color="auto" w:fill="CFF0FC"/>
          </w:tcPr>
          <w:p>
            <w:pPr>
              <w:spacing w:after="0"/>
              <w:rPr>
                <w:sz w:val="20"/>
                <w:szCs w:val="20"/>
                <w:color w:val="auto"/>
              </w:rPr>
            </w:pPr>
            <w:r>
              <w:rPr>
                <w:rFonts w:ascii="Arial" w:cs="Arial" w:eastAsia="Arial" w:hAnsi="Arial"/>
                <w:sz w:val="18"/>
                <w:szCs w:val="18"/>
                <w:color w:val="auto"/>
              </w:rPr>
              <w:t>Senior Note, Series A</w:t>
            </w:r>
          </w:p>
        </w:tc>
        <w:tc>
          <w:tcPr>
            <w:tcW w:w="2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FF0FC"/>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FF0FC"/>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800" w:type="dxa"/>
            <w:vAlign w:val="bottom"/>
            <w:gridSpan w:val="2"/>
            <w:vMerge w:val="continue"/>
            <w:shd w:val="clear" w:color="auto" w:fill="CFF0FC"/>
          </w:tcPr>
          <w:p>
            <w:pPr>
              <w:spacing w:after="0"/>
              <w:rPr>
                <w:sz w:val="17"/>
                <w:szCs w:val="17"/>
                <w:color w:val="auto"/>
              </w:rPr>
            </w:pPr>
          </w:p>
        </w:tc>
        <w:tc>
          <w:tcPr>
            <w:tcW w:w="200" w:type="dxa"/>
            <w:vAlign w:val="bottom"/>
            <w:shd w:val="clear" w:color="auto" w:fill="CFF0FC"/>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50,000</w:t>
            </w:r>
          </w:p>
        </w:tc>
        <w:tc>
          <w:tcPr>
            <w:tcW w:w="260" w:type="dxa"/>
            <w:vAlign w:val="bottom"/>
            <w:vMerge w:val="continue"/>
            <w:shd w:val="clear" w:color="auto" w:fill="CFF0FC"/>
          </w:tcPr>
          <w:p>
            <w:pPr>
              <w:spacing w:after="0"/>
              <w:rPr>
                <w:sz w:val="17"/>
                <w:szCs w:val="17"/>
                <w:color w:val="auto"/>
              </w:rPr>
            </w:pPr>
          </w:p>
        </w:tc>
        <w:tc>
          <w:tcPr>
            <w:tcW w:w="1700" w:type="dxa"/>
            <w:vAlign w:val="bottom"/>
            <w:shd w:val="clear" w:color="auto" w:fill="CFF0FC"/>
          </w:tcPr>
          <w:p>
            <w:pPr>
              <w:ind w:left="620"/>
              <w:spacing w:after="0" w:line="203" w:lineRule="exact"/>
              <w:rPr>
                <w:sz w:val="20"/>
                <w:szCs w:val="20"/>
                <w:color w:val="auto"/>
              </w:rPr>
            </w:pPr>
            <w:r>
              <w:rPr>
                <w:rFonts w:ascii="Arial" w:cs="Arial" w:eastAsia="Arial" w:hAnsi="Arial"/>
                <w:sz w:val="18"/>
                <w:szCs w:val="18"/>
                <w:color w:val="auto"/>
                <w:w w:val="98"/>
              </w:rPr>
              <w:t>July 15, 2021</w:t>
            </w:r>
          </w:p>
        </w:tc>
        <w:tc>
          <w:tcPr>
            <w:tcW w:w="160" w:type="dxa"/>
            <w:vAlign w:val="bottom"/>
            <w:vMerge w:val="continue"/>
            <w:shd w:val="clear" w:color="auto" w:fill="CFF0FC"/>
          </w:tcPr>
          <w:p>
            <w:pPr>
              <w:spacing w:after="0"/>
              <w:rPr>
                <w:sz w:val="17"/>
                <w:szCs w:val="17"/>
                <w:color w:val="auto"/>
              </w:rPr>
            </w:pPr>
          </w:p>
        </w:tc>
        <w:tc>
          <w:tcPr>
            <w:tcW w:w="1780" w:type="dxa"/>
            <w:vAlign w:val="bottom"/>
            <w:gridSpan w:val="2"/>
            <w:shd w:val="clear" w:color="auto" w:fill="CFF0FC"/>
          </w:tcPr>
          <w:p>
            <w:pPr>
              <w:jc w:val="right"/>
              <w:ind w:right="20"/>
              <w:spacing w:after="0" w:line="203" w:lineRule="exact"/>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16"/>
        </w:trPr>
        <w:tc>
          <w:tcPr>
            <w:tcW w:w="5800" w:type="dxa"/>
            <w:vAlign w:val="bottom"/>
            <w:gridSpan w:val="2"/>
          </w:tcPr>
          <w:p>
            <w:pPr>
              <w:spacing w:after="0"/>
              <w:rPr>
                <w:sz w:val="20"/>
                <w:szCs w:val="20"/>
                <w:color w:val="auto"/>
              </w:rPr>
            </w:pPr>
            <w:r>
              <w:rPr>
                <w:rFonts w:ascii="Arial" w:cs="Arial" w:eastAsia="Arial" w:hAnsi="Arial"/>
                <w:sz w:val="18"/>
                <w:szCs w:val="18"/>
                <w:color w:val="auto"/>
              </w:rPr>
              <w:t>Senior Note, Series B</w:t>
            </w: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100,000</w:t>
            </w:r>
          </w:p>
        </w:tc>
        <w:tc>
          <w:tcPr>
            <w:tcW w:w="260" w:type="dxa"/>
            <w:vAlign w:val="bottom"/>
          </w:tcPr>
          <w:p>
            <w:pPr>
              <w:spacing w:after="0"/>
              <w:rPr>
                <w:sz w:val="18"/>
                <w:szCs w:val="18"/>
                <w:color w:val="auto"/>
              </w:rPr>
            </w:pPr>
          </w:p>
        </w:tc>
        <w:tc>
          <w:tcPr>
            <w:tcW w:w="1860" w:type="dxa"/>
            <w:vAlign w:val="bottom"/>
            <w:gridSpan w:val="2"/>
          </w:tcPr>
          <w:p>
            <w:pPr>
              <w:ind w:left="620"/>
              <w:spacing w:after="0"/>
              <w:rPr>
                <w:sz w:val="20"/>
                <w:szCs w:val="20"/>
                <w:color w:val="auto"/>
              </w:rPr>
            </w:pPr>
            <w:r>
              <w:rPr>
                <w:rFonts w:ascii="Arial" w:cs="Arial" w:eastAsia="Arial" w:hAnsi="Arial"/>
                <w:sz w:val="18"/>
                <w:szCs w:val="18"/>
                <w:color w:val="auto"/>
              </w:rPr>
              <w:t>July 15, 2024</w:t>
            </w: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Senior Note, Series C</w:t>
            </w: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60,000</w:t>
            </w:r>
          </w:p>
        </w:tc>
        <w:tc>
          <w:tcPr>
            <w:tcW w:w="260" w:type="dxa"/>
            <w:vAlign w:val="bottom"/>
            <w:shd w:val="clear" w:color="auto" w:fill="CFF0FC"/>
          </w:tcPr>
          <w:p>
            <w:pPr>
              <w:spacing w:after="0"/>
              <w:rPr>
                <w:sz w:val="18"/>
                <w:szCs w:val="18"/>
                <w:color w:val="auto"/>
              </w:rPr>
            </w:pPr>
          </w:p>
        </w:tc>
        <w:tc>
          <w:tcPr>
            <w:tcW w:w="1860" w:type="dxa"/>
            <w:vAlign w:val="bottom"/>
            <w:gridSpan w:val="2"/>
            <w:shd w:val="clear" w:color="auto" w:fill="CFF0FC"/>
          </w:tcPr>
          <w:p>
            <w:pPr>
              <w:ind w:left="620"/>
              <w:spacing w:after="0"/>
              <w:rPr>
                <w:sz w:val="20"/>
                <w:szCs w:val="20"/>
                <w:color w:val="auto"/>
              </w:rPr>
            </w:pPr>
            <w:r>
              <w:rPr>
                <w:rFonts w:ascii="Arial" w:cs="Arial" w:eastAsia="Arial" w:hAnsi="Arial"/>
                <w:sz w:val="18"/>
                <w:szCs w:val="18"/>
                <w:color w:val="auto"/>
              </w:rPr>
              <w:t>July 15, 2026</w:t>
            </w:r>
          </w:p>
        </w:tc>
        <w:tc>
          <w:tcPr>
            <w:tcW w:w="17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43"/>
        </w:trPr>
        <w:tc>
          <w:tcPr>
            <w:tcW w:w="5800" w:type="dxa"/>
            <w:vAlign w:val="bottom"/>
            <w:gridSpan w:val="2"/>
          </w:tcPr>
          <w:p>
            <w:pPr>
              <w:spacing w:after="0"/>
              <w:rPr>
                <w:sz w:val="20"/>
                <w:szCs w:val="20"/>
                <w:color w:val="auto"/>
              </w:rPr>
            </w:pPr>
            <w:r>
              <w:rPr>
                <w:rFonts w:ascii="Arial" w:cs="Arial" w:eastAsia="Arial" w:hAnsi="Arial"/>
                <w:sz w:val="18"/>
                <w:szCs w:val="18"/>
                <w:color w:val="auto"/>
              </w:rPr>
              <w:t>Senior Note, Series D</w:t>
            </w: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40,000</w:t>
            </w:r>
          </w:p>
        </w:tc>
        <w:tc>
          <w:tcPr>
            <w:tcW w:w="260" w:type="dxa"/>
            <w:vAlign w:val="bottom"/>
          </w:tcPr>
          <w:p>
            <w:pPr>
              <w:spacing w:after="0"/>
              <w:rPr>
                <w:sz w:val="21"/>
                <w:szCs w:val="21"/>
                <w:color w:val="auto"/>
              </w:rPr>
            </w:pPr>
          </w:p>
        </w:tc>
        <w:tc>
          <w:tcPr>
            <w:tcW w:w="1860" w:type="dxa"/>
            <w:vAlign w:val="bottom"/>
            <w:gridSpan w:val="2"/>
          </w:tcPr>
          <w:p>
            <w:pPr>
              <w:ind w:left="620"/>
              <w:spacing w:after="0"/>
              <w:rPr>
                <w:sz w:val="20"/>
                <w:szCs w:val="20"/>
                <w:color w:val="auto"/>
              </w:rPr>
            </w:pPr>
            <w:r>
              <w:rPr>
                <w:rFonts w:ascii="Arial" w:cs="Arial" w:eastAsia="Arial" w:hAnsi="Arial"/>
                <w:sz w:val="18"/>
                <w:szCs w:val="18"/>
                <w:color w:val="auto"/>
              </w:rPr>
              <w:t>July 15, 2029</w:t>
            </w: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bl>
    <w:p>
      <w:pPr>
        <w:spacing w:after="0" w:line="166" w:lineRule="exact"/>
        <w:rPr>
          <w:sz w:val="20"/>
          <w:szCs w:val="20"/>
          <w:color w:val="auto"/>
        </w:rPr>
      </w:pPr>
    </w:p>
    <w:p>
      <w:pPr>
        <w:ind w:right="80" w:firstLine="637"/>
        <w:spacing w:after="0" w:line="239" w:lineRule="auto"/>
        <w:rPr>
          <w:sz w:val="20"/>
          <w:szCs w:val="20"/>
          <w:color w:val="auto"/>
        </w:rPr>
      </w:pPr>
      <w:r>
        <w:rPr>
          <w:rFonts w:ascii="Arial" w:cs="Arial" w:eastAsia="Arial" w:hAnsi="Arial"/>
          <w:sz w:val="18"/>
          <w:szCs w:val="18"/>
          <w:color w:val="auto"/>
        </w:rPr>
        <w:t>The Company incurred $1.1 million of debt issuance costs in connection with the private placement. On August 10, 2018, the Company finalized an amended and restated intercreditor agreement related to this private placement to more closely align certain covenants and definitions with the terms under the 2017 amended and restated Credit Agreement and incurred $0.5 million of additional issuance costs. These costs are presented as a direct deduction from the debt on the face of the consolidated balance sheets. Interest expense related to the Senior Notes for both the three and nine months ended September 30, 2020 and September 30, 2019 was $3.1 million and $9.3 million, respectively. The amortization of debt issuance costs and interest expense are recorded in “Interest expense” on the consolidated statements of income. The Company made interest payments of $6.2 million for both the three months ended September 30, 2020 and September 30, 2019. The Company made interest payments related to the Senior Notes for both the nine months ended September 30, 2020 and September 30, 2019 of $12.4 million. Interest payable of $2.4 million and $2.6 million is recorded in “Accrued expenses and other current liabilities” on the consolidated balance sheets at September 30, 2020 and December 31, 2019, respectively, related to the Senior Notes.</w:t>
      </w:r>
    </w:p>
    <w:p>
      <w:pPr>
        <w:spacing w:after="0" w:line="176" w:lineRule="exact"/>
        <w:rPr>
          <w:sz w:val="20"/>
          <w:szCs w:val="20"/>
          <w:color w:val="auto"/>
        </w:rPr>
      </w:pPr>
    </w:p>
    <w:p>
      <w:pPr>
        <w:ind w:right="140" w:firstLine="637"/>
        <w:spacing w:after="0" w:line="255" w:lineRule="auto"/>
        <w:rPr>
          <w:sz w:val="20"/>
          <w:szCs w:val="20"/>
          <w:color w:val="auto"/>
        </w:rPr>
      </w:pPr>
      <w:r>
        <w:rPr>
          <w:rFonts w:ascii="Arial" w:cs="Arial" w:eastAsia="Arial" w:hAnsi="Arial"/>
          <w:sz w:val="18"/>
          <w:szCs w:val="18"/>
          <w:color w:val="auto"/>
        </w:rPr>
        <w:t>The Credit Agreement and private placement includes various covenants, including restrictions on indebtedness, liens, acquisitions, investments or dispositions, payment of dividends and maintenance of certain financial ratios and conditions. The Company was in compliance with these covenants at September 30, 2020 and December 31, 2019.</w:t>
      </w:r>
    </w:p>
    <w:p>
      <w:pPr>
        <w:spacing w:after="0" w:line="164" w:lineRule="exact"/>
        <w:rPr>
          <w:sz w:val="20"/>
          <w:szCs w:val="20"/>
          <w:color w:val="auto"/>
        </w:rPr>
      </w:pPr>
    </w:p>
    <w:p>
      <w:pPr>
        <w:ind w:right="320" w:firstLine="637"/>
        <w:spacing w:after="0" w:line="255" w:lineRule="auto"/>
        <w:rPr>
          <w:sz w:val="20"/>
          <w:szCs w:val="20"/>
          <w:color w:val="auto"/>
        </w:rPr>
      </w:pPr>
      <w:r>
        <w:rPr>
          <w:rFonts w:ascii="Arial" w:cs="Arial" w:eastAsia="Arial" w:hAnsi="Arial"/>
          <w:sz w:val="18"/>
          <w:szCs w:val="18"/>
          <w:color w:val="auto"/>
        </w:rPr>
        <w:t>The Company also has in place several secondary bank credit lines for issuing letters of credit, principally for foreign contracts, to support performance and completion guarantees. Letters of credit commitments outstanding under these bank lines aggregated $198.0 million and $197.3 million at September 30, 2020 and December 31, 2019, respectively.</w:t>
      </w:r>
    </w:p>
    <w:p>
      <w:pPr>
        <w:spacing w:after="0" w:line="164" w:lineRule="exact"/>
        <w:rPr>
          <w:sz w:val="20"/>
          <w:szCs w:val="20"/>
          <w:color w:val="auto"/>
        </w:rPr>
      </w:pPr>
    </w:p>
    <w:p>
      <w:pPr>
        <w:jc w:val="both"/>
        <w:ind w:right="40" w:firstLine="637"/>
        <w:spacing w:after="0" w:line="255" w:lineRule="auto"/>
        <w:rPr>
          <w:sz w:val="20"/>
          <w:szCs w:val="20"/>
          <w:color w:val="auto"/>
        </w:rPr>
      </w:pPr>
      <w:r>
        <w:rPr>
          <w:rFonts w:ascii="Arial" w:cs="Arial" w:eastAsia="Arial" w:hAnsi="Arial"/>
          <w:sz w:val="18"/>
          <w:szCs w:val="18"/>
          <w:color w:val="auto"/>
        </w:rPr>
        <w:t>Using a discounted cash flow technique that incorporates a market interest yield curve with adjustments for duration, optionality, and risk profile, the Company estimated the fair value (Level 2) of its senior notes at September 30, 2020 approximates $277.6 million. See “Note 16 – Fair Value of Financial Instruments” for the definition of Level 2 of the fair value hierarchy.</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9" w:name="page20"/>
    <w:bookmarkEnd w:id="19"/>
    <w:p>
      <w:pPr>
        <w:ind w:left="660"/>
        <w:spacing w:after="0"/>
        <w:rPr>
          <w:sz w:val="20"/>
          <w:szCs w:val="20"/>
          <w:color w:val="auto"/>
        </w:rPr>
      </w:pPr>
      <w:r>
        <w:rPr>
          <w:rFonts w:ascii="Arial" w:cs="Arial" w:eastAsia="Arial" w:hAnsi="Arial"/>
          <w:sz w:val="18"/>
          <w:szCs w:val="18"/>
          <w:b w:val="1"/>
          <w:bCs w:val="1"/>
          <w:i w:val="1"/>
          <w:iCs w:val="1"/>
          <w:color w:val="auto"/>
        </w:rPr>
        <w:t>Convertible Senior Notes</w:t>
      </w:r>
    </w:p>
    <w:p>
      <w:pPr>
        <w:spacing w:after="0" w:line="212" w:lineRule="exact"/>
        <w:rPr>
          <w:sz w:val="20"/>
          <w:szCs w:val="20"/>
          <w:color w:val="auto"/>
        </w:rPr>
      </w:pPr>
    </w:p>
    <w:p>
      <w:pPr>
        <w:ind w:right="80" w:firstLine="644"/>
        <w:spacing w:after="0" w:line="245" w:lineRule="auto"/>
        <w:rPr>
          <w:sz w:val="20"/>
          <w:szCs w:val="20"/>
          <w:color w:val="auto"/>
        </w:rPr>
      </w:pPr>
      <w:r>
        <w:rPr>
          <w:rFonts w:ascii="Arial" w:cs="Arial" w:eastAsia="Arial" w:hAnsi="Arial"/>
          <w:sz w:val="18"/>
          <w:szCs w:val="18"/>
          <w:color w:val="auto"/>
        </w:rPr>
        <w:t>In August 2020, the Company issued an aggregate $400.0 million of 0.25% Convertible Senior Notes due 2025, including the exercise of a $50.0 million initial purchasers’ option. The Company received proceeds from the issuance and sale of the Convertible Senior Notes of $ 389.7 million, net of $10.3 million of transaction fees and other third-party offering expenses. The Convertible Senior Notes accrue interest at a rate of 0.25% per annum, payable semi-annually on February 15 and August 15 of each year beginning on February 15, 2021, and will mature on August 15, 2025, unless earlier repurchased, redeemed or converted.</w:t>
      </w:r>
    </w:p>
    <w:p>
      <w:pPr>
        <w:spacing w:after="0" w:line="172" w:lineRule="exact"/>
        <w:rPr>
          <w:sz w:val="20"/>
          <w:szCs w:val="20"/>
          <w:color w:val="auto"/>
        </w:rPr>
      </w:pPr>
    </w:p>
    <w:p>
      <w:pPr>
        <w:ind w:right="140" w:firstLine="644"/>
        <w:spacing w:after="0" w:line="245" w:lineRule="auto"/>
        <w:rPr>
          <w:sz w:val="20"/>
          <w:szCs w:val="20"/>
          <w:color w:val="auto"/>
        </w:rPr>
      </w:pPr>
      <w:r>
        <w:rPr>
          <w:rFonts w:ascii="Arial" w:cs="Arial" w:eastAsia="Arial" w:hAnsi="Arial"/>
          <w:sz w:val="18"/>
          <w:szCs w:val="18"/>
          <w:color w:val="auto"/>
        </w:rPr>
        <w:t>The Convertible Senior Notes are the Company’s senior unsecured obligations and will rank senior in right of payment to any of the Company’s indebtedness that is expressly subordinated in right of payment to the Notes; equal in right of payment to any of the Company’s unsecured indebtedness that is not so subordinated; effectively junior in right of payment to any of the Company’s secured indebtedness, to the extent of the value of the assets securing such indebtedness; and structurally junior to all indebtedness and other liabilities (including trade payables) of the Company’s subsidiaries</w:t>
      </w:r>
    </w:p>
    <w:p>
      <w:pPr>
        <w:spacing w:after="0" w:line="172" w:lineRule="exact"/>
        <w:rPr>
          <w:sz w:val="20"/>
          <w:szCs w:val="20"/>
          <w:color w:val="auto"/>
        </w:rPr>
      </w:pPr>
    </w:p>
    <w:p>
      <w:pPr>
        <w:ind w:right="80" w:firstLine="644"/>
        <w:spacing w:after="0" w:line="248" w:lineRule="auto"/>
        <w:rPr>
          <w:sz w:val="20"/>
          <w:szCs w:val="20"/>
          <w:color w:val="auto"/>
        </w:rPr>
      </w:pPr>
      <w:r>
        <w:rPr>
          <w:rFonts w:ascii="Arial" w:cs="Arial" w:eastAsia="Arial" w:hAnsi="Arial"/>
          <w:sz w:val="18"/>
          <w:szCs w:val="18"/>
          <w:color w:val="auto"/>
        </w:rPr>
        <w:t>Each $1,000 of principal of the Notes will initially be convertible into 22.2913 shares of our common stock, which is equivalent to an initial conversion price of $44.86 per share, subject to adjustment upon the occurrence of specified events. On or after March 15, 2025 until the close of business on the second scheduled trading day immediately preceding the maturity date of the Convertible Senior Notes, holders may convert all or a portion of their Convertible Senior Notes, regardless of the conditions below.</w:t>
      </w:r>
    </w:p>
    <w:p>
      <w:pPr>
        <w:spacing w:after="0" w:line="170" w:lineRule="exact"/>
        <w:rPr>
          <w:sz w:val="20"/>
          <w:szCs w:val="20"/>
          <w:color w:val="auto"/>
        </w:rPr>
      </w:pPr>
    </w:p>
    <w:p>
      <w:pPr>
        <w:ind w:right="100" w:firstLine="644"/>
        <w:spacing w:after="0" w:line="276" w:lineRule="auto"/>
        <w:rPr>
          <w:sz w:val="20"/>
          <w:szCs w:val="20"/>
          <w:color w:val="auto"/>
        </w:rPr>
      </w:pPr>
      <w:r>
        <w:rPr>
          <w:rFonts w:ascii="Arial" w:cs="Arial" w:eastAsia="Arial" w:hAnsi="Arial"/>
          <w:sz w:val="18"/>
          <w:szCs w:val="18"/>
          <w:color w:val="auto"/>
        </w:rPr>
        <w:t>Prior to the close of business on the business day immediately preceding March 15, 2025, the Notes will be convertible at the option of the holders thereof only under the following circumstances:</w:t>
      </w:r>
    </w:p>
    <w:p>
      <w:pPr>
        <w:spacing w:after="0" w:line="145" w:lineRule="exact"/>
        <w:rPr>
          <w:sz w:val="20"/>
          <w:szCs w:val="20"/>
          <w:color w:val="auto"/>
        </w:rPr>
      </w:pPr>
    </w:p>
    <w:p>
      <w:pPr>
        <w:ind w:left="1380" w:right="120" w:hanging="360"/>
        <w:spacing w:after="0" w:line="248" w:lineRule="auto"/>
        <w:tabs>
          <w:tab w:leader="none" w:pos="138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during any calendar quarter commencing after the calendar quarter ending on December 31, 2020, if the last reported sale price of the Company’s common stock for at least 20 trading days, whether or not consecutive, during a period of 30 consecutive trading days ending on, and including the last trading day of the immediately preceding calendar quarter is greater than or equal to 130% of the conversion price on each applicable trading day;</w:t>
      </w:r>
    </w:p>
    <w:p>
      <w:pPr>
        <w:spacing w:after="0" w:line="169" w:lineRule="exact"/>
        <w:rPr>
          <w:rFonts w:ascii="Times New Roman" w:cs="Times New Roman" w:eastAsia="Times New Roman" w:hAnsi="Times New Roman"/>
          <w:sz w:val="18"/>
          <w:szCs w:val="18"/>
          <w:color w:val="auto"/>
        </w:rPr>
      </w:pPr>
    </w:p>
    <w:p>
      <w:pPr>
        <w:ind w:left="1380" w:right="60" w:hanging="360"/>
        <w:spacing w:after="0" w:line="248" w:lineRule="auto"/>
        <w:tabs>
          <w:tab w:leader="none" w:pos="138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during the five business day period after any five consecutive trading day period in which, for each trading day of that period, the trading price per $1,000 principal amount of Convertible Senior Notes for such trading day was less than 98% of the product of the last reported sale price of the Company’s common stock and the conversion rate on each such trading day;</w:t>
      </w:r>
    </w:p>
    <w:p>
      <w:pPr>
        <w:spacing w:after="0" w:line="169" w:lineRule="exact"/>
        <w:rPr>
          <w:rFonts w:ascii="Times New Roman" w:cs="Times New Roman" w:eastAsia="Times New Roman" w:hAnsi="Times New Roman"/>
          <w:sz w:val="18"/>
          <w:szCs w:val="18"/>
          <w:color w:val="auto"/>
        </w:rPr>
      </w:pPr>
    </w:p>
    <w:p>
      <w:pPr>
        <w:ind w:left="1380" w:hanging="360"/>
        <w:spacing w:after="0"/>
        <w:tabs>
          <w:tab w:leader="none" w:pos="138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if the Company calls such Convertible Senior Notes for redemption; or</w:t>
      </w:r>
    </w:p>
    <w:p>
      <w:pPr>
        <w:spacing w:after="0" w:line="224" w:lineRule="exact"/>
        <w:rPr>
          <w:rFonts w:ascii="Times New Roman" w:cs="Times New Roman" w:eastAsia="Times New Roman" w:hAnsi="Times New Roman"/>
          <w:sz w:val="18"/>
          <w:szCs w:val="18"/>
          <w:color w:val="auto"/>
        </w:rPr>
      </w:pPr>
    </w:p>
    <w:p>
      <w:pPr>
        <w:ind w:left="1380" w:hanging="360"/>
        <w:spacing w:after="0"/>
        <w:tabs>
          <w:tab w:leader="none" w:pos="138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upon the occurrence of specified corporate events described in the Indenture.</w:t>
      </w:r>
    </w:p>
    <w:p>
      <w:pPr>
        <w:spacing w:after="0" w:line="224" w:lineRule="exact"/>
        <w:rPr>
          <w:sz w:val="20"/>
          <w:szCs w:val="20"/>
          <w:color w:val="auto"/>
        </w:rPr>
      </w:pPr>
    </w:p>
    <w:p>
      <w:pPr>
        <w:ind w:right="40" w:firstLine="652"/>
        <w:spacing w:after="0" w:line="243" w:lineRule="auto"/>
        <w:tabs>
          <w:tab w:leader="none" w:pos="744"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Company may redeem all or any portion of the Convertible Senior Notes for cash, at its option, on or after August 21, 2023 and before the 51</w:t>
      </w:r>
      <w:r>
        <w:rPr>
          <w:rFonts w:ascii="Arial" w:cs="Arial" w:eastAsia="Arial" w:hAnsi="Arial"/>
          <w:sz w:val="15"/>
          <w:szCs w:val="15"/>
          <w:color w:val="auto"/>
        </w:rPr>
        <w:t>st</w:t>
      </w:r>
      <w:r>
        <w:rPr>
          <w:rFonts w:ascii="Arial" w:cs="Arial" w:eastAsia="Arial" w:hAnsi="Arial"/>
          <w:sz w:val="18"/>
          <w:szCs w:val="18"/>
          <w:color w:val="auto"/>
        </w:rPr>
        <w:t xml:space="preserve"> scheduled trading day immediately before the maturity date at a redemption price equal to 100% of the principal amount of the Notes to be redeemed, plus accrued and unpaid interest, but only if the last reported sale price per share of the Company’s common stock exceeds 130% of the conversion price for a specified period of time. In addition, calling any Convertible Senior Note for redemption will constitute a Make-Whole Fundamental Change with respect to that Convertible Senior Note, in which case the conversion rate applicable to the conversion of that Convertible Senior Note will be increased in certain circumstances if it is converted after it is called for redemption.</w:t>
      </w:r>
    </w:p>
    <w:p>
      <w:pPr>
        <w:spacing w:after="0" w:line="174" w:lineRule="exact"/>
        <w:rPr>
          <w:sz w:val="20"/>
          <w:szCs w:val="20"/>
          <w:color w:val="auto"/>
        </w:rPr>
      </w:pPr>
    </w:p>
    <w:p>
      <w:pPr>
        <w:ind w:firstLine="644"/>
        <w:spacing w:after="0" w:line="248" w:lineRule="auto"/>
        <w:rPr>
          <w:sz w:val="20"/>
          <w:szCs w:val="20"/>
          <w:color w:val="auto"/>
        </w:rPr>
      </w:pPr>
      <w:r>
        <w:rPr>
          <w:rFonts w:ascii="Arial" w:cs="Arial" w:eastAsia="Arial" w:hAnsi="Arial"/>
          <w:sz w:val="18"/>
          <w:szCs w:val="18"/>
          <w:color w:val="auto"/>
        </w:rPr>
        <w:t>Upon the occurrence of a fundamental change prior to the maturity date of the Convertible Senior Notes, holders of the Convertible Senior Notes may require the Company to repurchase all or a portion of the Convertible Senior Notes for cash at a price equal to 100% of the principal amount of the Convertible Senior Notes to be repurchased, plus any accrued and unpaid interest to, but excluding, the fundamental change repurchase date.</w:t>
      </w:r>
    </w:p>
    <w:p>
      <w:pPr>
        <w:spacing w:after="0" w:line="170" w:lineRule="exact"/>
        <w:rPr>
          <w:sz w:val="20"/>
          <w:szCs w:val="20"/>
          <w:color w:val="auto"/>
        </w:rPr>
      </w:pPr>
    </w:p>
    <w:p>
      <w:pPr>
        <w:jc w:val="both"/>
        <w:ind w:right="460" w:firstLine="644"/>
        <w:spacing w:after="0" w:line="255" w:lineRule="auto"/>
        <w:rPr>
          <w:sz w:val="20"/>
          <w:szCs w:val="20"/>
          <w:color w:val="auto"/>
        </w:rPr>
      </w:pPr>
      <w:r>
        <w:rPr>
          <w:rFonts w:ascii="Arial" w:cs="Arial" w:eastAsia="Arial" w:hAnsi="Arial"/>
          <w:sz w:val="18"/>
          <w:szCs w:val="18"/>
          <w:color w:val="auto"/>
        </w:rPr>
        <w:t>Upon conversion, the Company may settle the Convertible Senior Notes for cash, shares of the Company’s common stock, or a combination thereof, at the Company’s option. If the Company satisfies its conversion obligation solely in cash or through payment and delivery of a combination of cash and shares of the Company’s common stock, the</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0" w:name="page21"/>
    <w:bookmarkEnd w:id="20"/>
    <w:p>
      <w:pPr>
        <w:ind w:right="240"/>
        <w:spacing w:after="0" w:line="276" w:lineRule="auto"/>
        <w:rPr>
          <w:sz w:val="20"/>
          <w:szCs w:val="20"/>
          <w:color w:val="auto"/>
        </w:rPr>
      </w:pPr>
      <w:r>
        <w:rPr>
          <w:rFonts w:ascii="Arial" w:cs="Arial" w:eastAsia="Arial" w:hAnsi="Arial"/>
          <w:sz w:val="18"/>
          <w:szCs w:val="18"/>
          <w:color w:val="auto"/>
        </w:rPr>
        <w:t>amount of cash and shares of common stock due upon conversion will be based on a daily conversion value calculated on a proportionate basis for each trading day in a 50-trading day observation period.</w:t>
      </w:r>
    </w:p>
    <w:p>
      <w:pPr>
        <w:spacing w:after="0" w:line="145" w:lineRule="exact"/>
        <w:rPr>
          <w:sz w:val="20"/>
          <w:szCs w:val="20"/>
          <w:color w:val="auto"/>
        </w:rPr>
      </w:pPr>
    </w:p>
    <w:p>
      <w:pPr>
        <w:ind w:right="60" w:firstLine="644"/>
        <w:spacing w:after="0" w:line="239" w:lineRule="auto"/>
        <w:rPr>
          <w:sz w:val="20"/>
          <w:szCs w:val="20"/>
          <w:color w:val="auto"/>
        </w:rPr>
      </w:pPr>
      <w:r>
        <w:rPr>
          <w:rFonts w:ascii="Arial" w:cs="Arial" w:eastAsia="Arial" w:hAnsi="Arial"/>
          <w:sz w:val="18"/>
          <w:szCs w:val="18"/>
          <w:color w:val="auto"/>
        </w:rPr>
        <w:t>Under GAAP, convertible debt instruments that may be settled in cash on conversion are required to be separated into liability and equity components in a manner that reflects the issuer’s non-convertible debt borrowing rate. The carrying amount of the liability component is based on the fair value of a similar instrument that does not contain an equity conversion option. The carrying amount allocated to the equity component, which is recognized as a debt discount, represents the difference between the proceeds from the issuance of the notes and the fair value of the liability component of the notes. Based on this debt to equity ratio, debt issuance costs are then allocated to the liability and equity components in a similar manner. Accordingly, at issuance the Company allocated $336.1 million to the debt liability and $53.6 million to additional paid in capital. The difference between the principal amount of the Convertible Senior Notes and the liability component, inclusive of issuance costs, represents the debt discount, which the Company amortizes to interest expense over the term of the Convertible Senior Notes using an effective interest rate of 3.25%. During the three and nine months ended September 20, 2020, the Company recognized interest expense of $1.5 million related to the amortization of debt discount and issuance costs. As of September 30, 2020, the net carrying value of the Notes was $337.6 million.</w:t>
      </w:r>
    </w:p>
    <w:p>
      <w:pPr>
        <w:spacing w:after="0" w:line="176" w:lineRule="exact"/>
        <w:rPr>
          <w:sz w:val="20"/>
          <w:szCs w:val="20"/>
          <w:color w:val="auto"/>
        </w:rPr>
      </w:pPr>
    </w:p>
    <w:p>
      <w:pPr>
        <w:ind w:right="220" w:firstLine="644"/>
        <w:spacing w:after="0" w:line="258" w:lineRule="auto"/>
        <w:rPr>
          <w:sz w:val="20"/>
          <w:szCs w:val="20"/>
          <w:color w:val="auto"/>
        </w:rPr>
      </w:pPr>
      <w:r>
        <w:rPr>
          <w:rFonts w:ascii="Arial" w:cs="Arial" w:eastAsia="Arial" w:hAnsi="Arial"/>
          <w:sz w:val="18"/>
          <w:szCs w:val="18"/>
          <w:color w:val="auto"/>
        </w:rPr>
        <w:t>A summary as of September 30, 2020 of the gross carrying amount, unamortized debt discount including debt issuance costs, and net carrying value of the liability component of the Convertible Senior Notes is as follows:</w:t>
      </w:r>
    </w:p>
    <w:tbl>
      <w:tblPr>
        <w:tblLayout w:type="fixed"/>
        <w:tblInd w:w="0" w:type="dxa"/>
        <w:tblCellMar>
          <w:top w:w="0" w:type="dxa"/>
          <w:left w:w="0" w:type="dxa"/>
          <w:bottom w:w="0" w:type="dxa"/>
          <w:right w:w="0" w:type="dxa"/>
        </w:tblCellMar>
      </w:tblPr>
      <w:tr>
        <w:trPr>
          <w:trHeight w:val="158"/>
        </w:trPr>
        <w:tc>
          <w:tcPr>
            <w:tcW w:w="85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320" w:type="dxa"/>
            <w:vAlign w:val="bottom"/>
            <w:gridSpan w:val="2"/>
          </w:tcPr>
          <w:p>
            <w:pPr>
              <w:jc w:val="right"/>
              <w:ind w:right="720"/>
              <w:spacing w:after="0" w:line="159" w:lineRule="exact"/>
              <w:rPr>
                <w:sz w:val="20"/>
                <w:szCs w:val="20"/>
                <w:color w:val="auto"/>
              </w:rPr>
            </w:pPr>
            <w:r>
              <w:rPr>
                <w:rFonts w:ascii="Arial" w:cs="Arial" w:eastAsia="Arial" w:hAnsi="Arial"/>
                <w:sz w:val="14"/>
                <w:szCs w:val="14"/>
                <w:b w:val="1"/>
                <w:bCs w:val="1"/>
                <w:color w:val="auto"/>
              </w:rPr>
              <w:t>September 30, 2020</w:t>
            </w:r>
          </w:p>
        </w:tc>
      </w:tr>
      <w:tr>
        <w:trPr>
          <w:trHeight w:val="209"/>
        </w:trPr>
        <w:tc>
          <w:tcPr>
            <w:tcW w:w="8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Par value</w:t>
            </w:r>
          </w:p>
        </w:tc>
        <w:tc>
          <w:tcPr>
            <w:tcW w:w="360" w:type="dxa"/>
            <w:vAlign w:val="bottom"/>
            <w:tcBorders>
              <w:top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2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400,000</w:t>
            </w: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8560" w:type="dxa"/>
            <w:vAlign w:val="bottom"/>
          </w:tcPr>
          <w:p>
            <w:pPr>
              <w:spacing w:after="0"/>
              <w:rPr>
                <w:sz w:val="20"/>
                <w:szCs w:val="20"/>
                <w:color w:val="auto"/>
              </w:rPr>
            </w:pPr>
            <w:r>
              <w:rPr>
                <w:rFonts w:ascii="Arial" w:cs="Arial" w:eastAsia="Arial" w:hAnsi="Arial"/>
                <w:sz w:val="18"/>
                <w:szCs w:val="18"/>
                <w:color w:val="auto"/>
              </w:rPr>
              <w:t>Debt discount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2320" w:type="dxa"/>
            <w:vAlign w:val="bottom"/>
            <w:gridSpan w:val="2"/>
          </w:tcPr>
          <w:p>
            <w:pPr>
              <w:jc w:val="right"/>
              <w:ind w:right="40"/>
              <w:spacing w:after="0"/>
              <w:rPr>
                <w:sz w:val="20"/>
                <w:szCs w:val="20"/>
                <w:color w:val="auto"/>
              </w:rPr>
            </w:pPr>
            <w:r>
              <w:rPr>
                <w:rFonts w:ascii="Arial" w:cs="Arial" w:eastAsia="Arial" w:hAnsi="Arial"/>
                <w:sz w:val="18"/>
                <w:szCs w:val="18"/>
                <w:color w:val="auto"/>
              </w:rPr>
              <w:t>(62,376)</w:t>
            </w:r>
          </w:p>
        </w:tc>
      </w:tr>
      <w:tr>
        <w:trPr>
          <w:trHeight w:val="210"/>
        </w:trPr>
        <w:tc>
          <w:tcPr>
            <w:tcW w:w="8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Carrying amount</w:t>
            </w:r>
          </w:p>
        </w:tc>
        <w:tc>
          <w:tcPr>
            <w:tcW w:w="360" w:type="dxa"/>
            <w:vAlign w:val="bottom"/>
            <w:tcBorders>
              <w:top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2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337,624</w:t>
            </w:r>
          </w:p>
        </w:tc>
        <w:tc>
          <w:tcPr>
            <w:tcW w:w="100" w:type="dxa"/>
            <w:vAlign w:val="bottom"/>
            <w:tcBorders>
              <w:top w:val="single" w:sz="8" w:color="CFF0FC"/>
            </w:tcBorders>
            <w:shd w:val="clear" w:color="auto" w:fill="CFF0FC"/>
          </w:tcPr>
          <w:p>
            <w:pPr>
              <w:spacing w:after="0"/>
              <w:rPr>
                <w:sz w:val="18"/>
                <w:szCs w:val="18"/>
                <w:color w:val="auto"/>
              </w:rPr>
            </w:pPr>
          </w:p>
        </w:tc>
      </w:tr>
      <w:tr>
        <w:trPr>
          <w:trHeight w:val="243"/>
        </w:trPr>
        <w:tc>
          <w:tcPr>
            <w:tcW w:w="8560" w:type="dxa"/>
            <w:vAlign w:val="bottom"/>
          </w:tcPr>
          <w:p>
            <w:pPr>
              <w:spacing w:after="0"/>
              <w:rPr>
                <w:sz w:val="20"/>
                <w:szCs w:val="20"/>
                <w:color w:val="auto"/>
              </w:rPr>
            </w:pPr>
            <w:r>
              <w:rPr>
                <w:rFonts w:ascii="Arial" w:cs="Arial" w:eastAsia="Arial" w:hAnsi="Arial"/>
                <w:sz w:val="18"/>
                <w:szCs w:val="18"/>
                <w:color w:val="auto"/>
              </w:rPr>
              <w:t>Equity component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2220" w:type="dxa"/>
            <w:vAlign w:val="bottom"/>
          </w:tcPr>
          <w:p>
            <w:pPr>
              <w:jc w:val="right"/>
              <w:spacing w:after="0"/>
              <w:rPr>
                <w:sz w:val="20"/>
                <w:szCs w:val="20"/>
                <w:color w:val="auto"/>
              </w:rPr>
            </w:pPr>
            <w:r>
              <w:rPr>
                <w:rFonts w:ascii="Arial" w:cs="Arial" w:eastAsia="Arial" w:hAnsi="Arial"/>
                <w:sz w:val="18"/>
                <w:szCs w:val="18"/>
                <w:color w:val="auto"/>
              </w:rPr>
              <w:t>53,552</w:t>
            </w:r>
          </w:p>
        </w:tc>
        <w:tc>
          <w:tcPr>
            <w:tcW w:w="100" w:type="dxa"/>
            <w:vAlign w:val="bottom"/>
          </w:tcPr>
          <w:p>
            <w:pPr>
              <w:spacing w:after="0"/>
              <w:rPr>
                <w:sz w:val="21"/>
                <w:szCs w:val="21"/>
                <w:color w:val="auto"/>
              </w:rPr>
            </w:pPr>
          </w:p>
        </w:tc>
      </w:tr>
    </w:tbl>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Convertible Note Hedge and Warrant Transactions</w:t>
      </w:r>
    </w:p>
    <w:p>
      <w:pPr>
        <w:spacing w:after="0" w:line="212" w:lineRule="exact"/>
        <w:rPr>
          <w:sz w:val="20"/>
          <w:szCs w:val="20"/>
          <w:color w:val="auto"/>
        </w:rPr>
      </w:pPr>
    </w:p>
    <w:p>
      <w:pPr>
        <w:ind w:right="20" w:firstLine="644"/>
        <w:spacing w:after="0" w:line="243" w:lineRule="auto"/>
        <w:rPr>
          <w:sz w:val="20"/>
          <w:szCs w:val="20"/>
          <w:color w:val="auto"/>
        </w:rPr>
      </w:pPr>
      <w:r>
        <w:rPr>
          <w:rFonts w:ascii="Arial" w:cs="Arial" w:eastAsia="Arial" w:hAnsi="Arial"/>
          <w:sz w:val="18"/>
          <w:szCs w:val="18"/>
          <w:color w:val="auto"/>
        </w:rPr>
        <w:t>In connection with the sale of the Convertible Senior Notes, the Company purchased a bond hedge designed to mitigate the potential dilution from the conversion of the Convertible Senior Notes. Under the five-year term of the bond hedge, upon a conversion of the bonds, the Company will receive the number of shares of common stock equal to the remaining common stock deliverable upon conversion of the Convertible Senior Notes if the conversion value exceeds the principal amount of the Notes. The aggregate number of shares that the Company could be obligated to issue upon conversion of the Convertible Senior Notes is approximately 8.9 million shares. The cost of the convertible note hedge transactions was $55.0 million.</w:t>
      </w:r>
    </w:p>
    <w:p>
      <w:pPr>
        <w:spacing w:after="0" w:line="174" w:lineRule="exact"/>
        <w:rPr>
          <w:sz w:val="20"/>
          <w:szCs w:val="20"/>
          <w:color w:val="auto"/>
        </w:rPr>
      </w:pPr>
    </w:p>
    <w:p>
      <w:pPr>
        <w:jc w:val="both"/>
        <w:ind w:right="320" w:firstLine="644"/>
        <w:spacing w:after="0" w:line="248" w:lineRule="auto"/>
        <w:rPr>
          <w:sz w:val="20"/>
          <w:szCs w:val="20"/>
          <w:color w:val="auto"/>
        </w:rPr>
      </w:pPr>
      <w:r>
        <w:rPr>
          <w:rFonts w:ascii="Arial" w:cs="Arial" w:eastAsia="Arial" w:hAnsi="Arial"/>
          <w:sz w:val="18"/>
          <w:szCs w:val="18"/>
          <w:color w:val="auto"/>
        </w:rPr>
        <w:t>The cost of the convertible note hedge was partially offset by the Company’s sale of warrants to acquire approximately 8.9 million shares of the Company’s common stock. The warrants were initially exercisable at a price of at least $ 66.46 per share and are subject to customary adjustments upon the occurrence of certain events, such as the payment of dividends. The Company received $13.8 million in cash proceeds from the sales of these warrants.</w:t>
      </w:r>
    </w:p>
    <w:p>
      <w:pPr>
        <w:spacing w:after="0" w:line="170" w:lineRule="exact"/>
        <w:rPr>
          <w:sz w:val="20"/>
          <w:szCs w:val="20"/>
          <w:color w:val="auto"/>
        </w:rPr>
      </w:pPr>
    </w:p>
    <w:p>
      <w:pPr>
        <w:ind w:right="280" w:firstLine="644"/>
        <w:spacing w:after="0" w:line="255" w:lineRule="auto"/>
        <w:rPr>
          <w:sz w:val="20"/>
          <w:szCs w:val="20"/>
          <w:color w:val="auto"/>
        </w:rPr>
      </w:pPr>
      <w:r>
        <w:rPr>
          <w:rFonts w:ascii="Arial" w:cs="Arial" w:eastAsia="Arial" w:hAnsi="Arial"/>
          <w:sz w:val="18"/>
          <w:szCs w:val="18"/>
          <w:color w:val="auto"/>
        </w:rPr>
        <w:t>The bond hedge and warrant transactions effectively increased the conversion price associated with the Convertible Senior Notes during the term of these transactions from 35%, or $44.86, to 100%, or $66.46, at their issuance, thereby reducing the dilutive economic effect to shareholders upon actual conversion.</w:t>
      </w:r>
    </w:p>
    <w:p>
      <w:pPr>
        <w:spacing w:after="0" w:line="164" w:lineRule="exact"/>
        <w:rPr>
          <w:sz w:val="20"/>
          <w:szCs w:val="20"/>
          <w:color w:val="auto"/>
        </w:rPr>
      </w:pPr>
    </w:p>
    <w:p>
      <w:pPr>
        <w:jc w:val="both"/>
        <w:ind w:right="280" w:firstLine="644"/>
        <w:spacing w:after="0" w:line="255" w:lineRule="auto"/>
        <w:rPr>
          <w:sz w:val="20"/>
          <w:szCs w:val="20"/>
          <w:color w:val="auto"/>
        </w:rPr>
      </w:pPr>
      <w:r>
        <w:rPr>
          <w:rFonts w:ascii="Arial" w:cs="Arial" w:eastAsia="Arial" w:hAnsi="Arial"/>
          <w:sz w:val="18"/>
          <w:szCs w:val="18"/>
          <w:color w:val="auto"/>
        </w:rPr>
        <w:t>The bond hedges and warrants are indexed to, and potentially settled in, shares of the Company’s common stock. The net cost of $41.2 million for the purchase of the bond hedges and sale of the warrants was recorded as a reduction to additional paid-in capital in the consolidated balance sheets.</w:t>
      </w:r>
    </w:p>
    <w:p>
      <w:pPr>
        <w:spacing w:after="0" w:line="164" w:lineRule="exact"/>
        <w:rPr>
          <w:sz w:val="20"/>
          <w:szCs w:val="20"/>
          <w:color w:val="auto"/>
        </w:rPr>
      </w:pPr>
    </w:p>
    <w:p>
      <w:pPr>
        <w:ind w:right="100" w:firstLine="637"/>
        <w:spacing w:after="0" w:line="255" w:lineRule="auto"/>
        <w:rPr>
          <w:sz w:val="20"/>
          <w:szCs w:val="20"/>
          <w:color w:val="auto"/>
        </w:rPr>
      </w:pPr>
      <w:r>
        <w:rPr>
          <w:rFonts w:ascii="Arial" w:cs="Arial" w:eastAsia="Arial" w:hAnsi="Arial"/>
          <w:sz w:val="18"/>
          <w:szCs w:val="18"/>
          <w:color w:val="auto"/>
        </w:rPr>
        <w:t>At issuance, the Company recorded a deferred tax liability of $16.2 million related to the Convertible Senior Notes debt discount and a deferred tax asset of $16.5 million related to the convertible note hedge transactions. The deferred tax liability and deferred tax asset are included net in “Deferred tax assets” on the consolidated balance sheets</w:t>
      </w:r>
    </w:p>
    <w:p>
      <w:pPr>
        <w:spacing w:after="0" w:line="270" w:lineRule="exact"/>
        <w:rPr>
          <w:sz w:val="20"/>
          <w:szCs w:val="20"/>
          <w:color w:val="auto"/>
        </w:rPr>
      </w:pPr>
    </w:p>
    <w:p>
      <w:pPr>
        <w:ind w:left="640" w:hanging="632"/>
        <w:spacing w:after="0"/>
        <w:tabs>
          <w:tab w:leader="none" w:pos="64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14" w:lineRule="exact"/>
        <w:rPr>
          <w:sz w:val="20"/>
          <w:szCs w:val="20"/>
          <w:color w:val="auto"/>
        </w:rPr>
      </w:pPr>
    </w:p>
    <w:p>
      <w:pPr>
        <w:ind w:right="40" w:firstLine="823"/>
        <w:spacing w:after="0" w:line="263" w:lineRule="auto"/>
        <w:rPr>
          <w:sz w:val="20"/>
          <w:szCs w:val="20"/>
          <w:color w:val="auto"/>
        </w:rPr>
      </w:pPr>
      <w:r>
        <w:rPr>
          <w:rFonts w:ascii="Arial" w:cs="Arial" w:eastAsia="Arial" w:hAnsi="Arial"/>
          <w:sz w:val="18"/>
          <w:szCs w:val="18"/>
          <w:color w:val="auto"/>
        </w:rPr>
        <w:t>On March 27, 2020, the Coronavirus Aid, Relief, and Economic Security Act (“CARES Act”) was enacted in response to the COVID-19 pandemic. The CARES Act, among other things, permits Net Operating Loss (“NOL“) carryovers to offset 100% of taxable income for tax years beginning before 2021. In addition, the CARES Act allows NOLs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1" w:name="page22"/>
    <w:bookmarkEnd w:id="21"/>
    <w:p>
      <w:pPr>
        <w:ind w:right="160"/>
        <w:spacing w:after="0" w:line="241" w:lineRule="auto"/>
        <w:rPr>
          <w:sz w:val="20"/>
          <w:szCs w:val="20"/>
          <w:color w:val="auto"/>
        </w:rPr>
      </w:pPr>
      <w:r>
        <w:rPr>
          <w:rFonts w:ascii="Arial" w:cs="Arial" w:eastAsia="Arial" w:hAnsi="Arial"/>
          <w:sz w:val="18"/>
          <w:szCs w:val="18"/>
          <w:color w:val="auto"/>
        </w:rPr>
        <w:t>incurred in 2018, 2019, and 2020 to be carried back to each of the five preceding tax years to generate a refund of previously paid income taxes. The CARES Act contains modifications on the limitation of business interest for tax years beginning in 2019 and 2020. The modifications to Section 163(j) increase the allowable business interest deduction from 30% of adjusted taxable income to 50% of adjusted taxable income. The CARES Act also accelerates the refund of alternative minimum tax (“AMT”) credits that were previously accumulated. The Company does not expect that the modifications on the limitation of business interest or AMT credits would have any impact to the Company. Under the NOL carryback provision, the Company carried back some of its NOLs claiming a tax refund of $3.9 million relating to certain amounts associated with the acquisition of OGSystems which may be subject to certain shareholders’ claims.</w:t>
      </w:r>
    </w:p>
    <w:p>
      <w:pPr>
        <w:spacing w:after="0" w:line="179" w:lineRule="exact"/>
        <w:rPr>
          <w:sz w:val="20"/>
          <w:szCs w:val="20"/>
          <w:color w:val="auto"/>
        </w:rPr>
      </w:pPr>
    </w:p>
    <w:p>
      <w:pPr>
        <w:ind w:firstLine="644"/>
        <w:spacing w:after="0" w:line="239" w:lineRule="auto"/>
        <w:rPr>
          <w:sz w:val="20"/>
          <w:szCs w:val="20"/>
          <w:color w:val="auto"/>
        </w:rPr>
      </w:pPr>
      <w:r>
        <w:rPr>
          <w:rFonts w:ascii="Arial" w:cs="Arial" w:eastAsia="Arial" w:hAnsi="Arial"/>
          <w:sz w:val="18"/>
          <w:szCs w:val="18"/>
          <w:color w:val="auto"/>
        </w:rPr>
        <w:t>On July 9, 2020, the U.S. Treasury Department issued final tax regulations related to the foreign-derived intangible income and global intangible low-taxed income (“GILTI”) provisions. Also, on July 20, 2020 the U.S. Treasury Department released final tax regulations permitting a taxpayer to elect to exclude from its GILTI inclusion items of income subject to a high effective rate of foreign tax. Additionally, on August 21, 2020, the U.S. Treasury Department finalized anti-abuse regulations limiting deductions of foreign-source dividends. Separately, on September 2, 2020, the U.S. Treasury Department finalized regulations on the base erosion anti-abuse tax (“BEAT”) under IRC Section 59A. The U.S. Treasury Department also finalized a second set of regulations on the allowance for the additional first-year depreciation deduction under IRC Section 168(k) on September 16, 2020, as amended by the Tax Cuts and Jobs Act (“TCJA”), for qualified property acquired and placed in service after September 27, 2017. Lastly, on September 29, 2020, the U.S. Treasury Department issued final tax regulations addressing various aspects of the foreign tax credit regime. The Company is currently assessing the impact of the new regulations to its consolidated financial statements but does not expect a material change of its income tax expense due to the new regulations.</w:t>
      </w:r>
    </w:p>
    <w:p>
      <w:pPr>
        <w:spacing w:after="0" w:line="176" w:lineRule="exact"/>
        <w:rPr>
          <w:sz w:val="20"/>
          <w:szCs w:val="20"/>
          <w:color w:val="auto"/>
        </w:rPr>
      </w:pPr>
    </w:p>
    <w:p>
      <w:pPr>
        <w:ind w:right="180" w:firstLine="674"/>
        <w:spacing w:after="0" w:line="246" w:lineRule="auto"/>
        <w:rPr>
          <w:sz w:val="20"/>
          <w:szCs w:val="20"/>
          <w:color w:val="auto"/>
        </w:rPr>
      </w:pPr>
      <w:r>
        <w:rPr>
          <w:rFonts w:ascii="Arial" w:cs="Arial" w:eastAsia="Arial" w:hAnsi="Arial"/>
          <w:sz w:val="18"/>
          <w:szCs w:val="18"/>
          <w:color w:val="auto"/>
        </w:rPr>
        <w:t>Prior to the Company’s IPO, the Company had elected to be taxed under the provisions of Subchapter “S” of the Internal Revenue Code for federal tax purposes. As a result, income had not been subject to U.S. federal income taxes or state income taxes in those states where the “S” Corporation status is recognized. Therefore, previously, no provision or liability for federal or state income tax had been provided in the consolidated financial statements except for those states where the “S” Corporation status was not recognized, or where</w:t>
      </w:r>
    </w:p>
    <w:p>
      <w:pPr>
        <w:spacing w:after="0" w:line="2" w:lineRule="exact"/>
        <w:rPr>
          <w:sz w:val="20"/>
          <w:szCs w:val="20"/>
          <w:color w:val="auto"/>
        </w:rPr>
      </w:pPr>
    </w:p>
    <w:p>
      <w:pPr>
        <w:ind w:right="40"/>
        <w:spacing w:after="0" w:line="276" w:lineRule="auto"/>
        <w:rPr>
          <w:sz w:val="20"/>
          <w:szCs w:val="20"/>
          <w:color w:val="auto"/>
        </w:rPr>
      </w:pPr>
      <w:r>
        <w:rPr>
          <w:rFonts w:ascii="Arial" w:cs="Arial" w:eastAsia="Arial" w:hAnsi="Arial"/>
          <w:sz w:val="18"/>
          <w:szCs w:val="18"/>
          <w:color w:val="auto"/>
        </w:rPr>
        <w:t>states imposed a tax on “S” Corporations. The provision for income tax in the historical periods prior to the IPO consists of these state taxes and taxes from certain foreign jurisdictions where the Company is subject to tax.</w:t>
      </w:r>
    </w:p>
    <w:p>
      <w:pPr>
        <w:spacing w:after="0" w:line="145" w:lineRule="exact"/>
        <w:rPr>
          <w:sz w:val="20"/>
          <w:szCs w:val="20"/>
          <w:color w:val="auto"/>
        </w:rPr>
      </w:pPr>
    </w:p>
    <w:p>
      <w:pPr>
        <w:ind w:right="60" w:firstLine="674"/>
        <w:spacing w:after="0" w:line="245" w:lineRule="auto"/>
        <w:rPr>
          <w:sz w:val="20"/>
          <w:szCs w:val="20"/>
          <w:color w:val="auto"/>
        </w:rPr>
      </w:pPr>
      <w:r>
        <w:rPr>
          <w:rFonts w:ascii="Arial" w:cs="Arial" w:eastAsia="Arial" w:hAnsi="Arial"/>
          <w:sz w:val="18"/>
          <w:szCs w:val="18"/>
          <w:color w:val="auto"/>
        </w:rPr>
        <w:t>In connection with the Company’s IPO on May 8, 2019, the “S” Corporation status was terminated, and the Company is now treated as a “C” Corporation under the Code. The termination of the “S” Corporation election has had a material impact on the Company’s results of operations, financial condition, and cash flows as reflected in the September 30, 2020 consolidated financial statements. The effective tax rate has increased, and net income has decreased as compared to the Company’s “S” Corporation tax years, since the Company is now subject to both U.S. federal and state corporate income taxes on its earnings.</w:t>
      </w:r>
    </w:p>
    <w:p>
      <w:pPr>
        <w:spacing w:after="0" w:line="172" w:lineRule="exact"/>
        <w:rPr>
          <w:sz w:val="20"/>
          <w:szCs w:val="20"/>
          <w:color w:val="auto"/>
        </w:rPr>
      </w:pPr>
    </w:p>
    <w:p>
      <w:pPr>
        <w:ind w:right="40" w:firstLine="674"/>
        <w:spacing w:after="0"/>
        <w:rPr>
          <w:sz w:val="20"/>
          <w:szCs w:val="20"/>
          <w:color w:val="auto"/>
        </w:rPr>
      </w:pPr>
      <w:r>
        <w:rPr>
          <w:rFonts w:ascii="Arial" w:cs="Arial" w:eastAsia="Arial" w:hAnsi="Arial"/>
          <w:sz w:val="18"/>
          <w:szCs w:val="18"/>
          <w:color w:val="auto"/>
        </w:rPr>
        <w:t>The Company’s effective tax rate was 25.61% and (33.71)% for the three months ended September 30, 2020 and 2019, respectively. The change in the effective tax rate was due primarily to nonrecurring tax items included in the third quarter 2019 income taxes associated with an additional $ 29 million tax benefit from the remeasurement of deferred taxes associated with the Company’s change in “S” Corporation to “C” Corporation status. The Company’s effective tax rate for the nine months ended September 30, 2020 and 2019 was 26.39% and (140.42)%. The change in the effective tax rate was due primarily to the nonrecurring tax items included in 2019 for the remeasurement of deferred taxes associated with the change in tax status. The difference between the effective tax rate and the statutory U.S. Federal income tax rate of 21.0% for the quarter ended September 30, 2020 primarily relates to state income taxes and a recorded valuation allowance on foreign tax credits, partially offset by benefits related to income attributable to noncontrolling interest and federal research tax credits.</w:t>
      </w:r>
    </w:p>
    <w:p>
      <w:pPr>
        <w:spacing w:after="0" w:line="176" w:lineRule="exact"/>
        <w:rPr>
          <w:sz w:val="20"/>
          <w:szCs w:val="20"/>
          <w:color w:val="auto"/>
        </w:rPr>
      </w:pPr>
    </w:p>
    <w:p>
      <w:pPr>
        <w:ind w:right="40" w:firstLine="674"/>
        <w:spacing w:after="0" w:line="243" w:lineRule="auto"/>
        <w:rPr>
          <w:sz w:val="20"/>
          <w:szCs w:val="20"/>
          <w:color w:val="auto"/>
        </w:rPr>
      </w:pPr>
      <w:r>
        <w:rPr>
          <w:rFonts w:ascii="Arial" w:cs="Arial" w:eastAsia="Arial" w:hAnsi="Arial"/>
          <w:sz w:val="18"/>
          <w:szCs w:val="18"/>
          <w:color w:val="auto"/>
        </w:rPr>
        <w:t>As of September 30, 2020, the Company’s deferred tax assets included a valuation allowance of $17.5 million primarily related to foreign net operating loss carryforwards, foreign tax credit carryforwards, and capital losses that the Company has determined are not more-likely-than-not to be realized. The factors used to assess the likelihood of realization include: the past performance of the entities, forecasts of future taxable income, future reversals of existing taxable temporary differences, and available tax planning strategies that could be implemented to realize the deferred tax assets. The ability or failure to achieve the forecasted taxable income in these entities could affect the ultimate realization of deferred tax assets.</w:t>
      </w:r>
    </w:p>
    <w:p>
      <w:pPr>
        <w:spacing w:after="0" w:line="174" w:lineRule="exact"/>
        <w:rPr>
          <w:sz w:val="20"/>
          <w:szCs w:val="20"/>
          <w:color w:val="auto"/>
        </w:rPr>
      </w:pPr>
    </w:p>
    <w:p>
      <w:pPr>
        <w:ind w:right="140" w:firstLine="674"/>
        <w:spacing w:after="0" w:line="255" w:lineRule="auto"/>
        <w:rPr>
          <w:sz w:val="20"/>
          <w:szCs w:val="20"/>
          <w:color w:val="auto"/>
        </w:rPr>
      </w:pPr>
      <w:r>
        <w:rPr>
          <w:rFonts w:ascii="Arial" w:cs="Arial" w:eastAsia="Arial" w:hAnsi="Arial"/>
          <w:sz w:val="18"/>
          <w:szCs w:val="18"/>
          <w:color w:val="auto"/>
        </w:rPr>
        <w:t>As of September 30, 2020 and December 31, 2019, the liability for income taxes associated with uncertain tax positions was $14.7 million and $15.5 million, respectively. It is reasonably possible that the Company may realize a decrease in our uncertain tax positions of approximately $1.0 million during the next 12 months as a result of concluding various tax audits and closing tax years.</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49" w:right="379" w:bottom="1440" w:gutter="0" w:footer="0" w:header="0"/>
        </w:sectPr>
      </w:pPr>
    </w:p>
    <w:bookmarkStart w:id="22" w:name="page23"/>
    <w:bookmarkEnd w:id="22"/>
    <w:p>
      <w:pPr>
        <w:ind w:right="40" w:firstLine="674"/>
        <w:spacing w:after="0" w:line="248" w:lineRule="auto"/>
        <w:rPr>
          <w:sz w:val="20"/>
          <w:szCs w:val="20"/>
          <w:color w:val="auto"/>
        </w:rPr>
      </w:pPr>
      <w:r>
        <w:rPr>
          <w:rFonts w:ascii="Arial" w:cs="Arial" w:eastAsia="Arial" w:hAnsi="Arial"/>
          <w:sz w:val="18"/>
          <w:szCs w:val="18"/>
          <w:color w:val="auto"/>
        </w:rPr>
        <w:t>Although the Company believes its reserves for its tax positions are reasonable, the final outcome of tax audits could be materially different, both favorably and unfavorably. It is reasonably possible that certain audits may conclude in the next 12 months and that the unrecognized tax benefits the Company has recorded in relation to these tax years may change compared to the liabilities recorded for these periods. However, it is not currently possible to estimate the amount, if any, of such change.</w:t>
      </w:r>
    </w:p>
    <w:p>
      <w:pPr>
        <w:spacing w:after="0" w:line="276" w:lineRule="exact"/>
        <w:rPr>
          <w:sz w:val="20"/>
          <w:szCs w:val="20"/>
          <w:color w:val="auto"/>
        </w:rPr>
      </w:pPr>
    </w:p>
    <w:p>
      <w:pPr>
        <w:ind w:left="640" w:hanging="632"/>
        <w:spacing w:after="0"/>
        <w:tabs>
          <w:tab w:leader="none" w:pos="64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Contingencies</w:t>
      </w:r>
    </w:p>
    <w:p>
      <w:pPr>
        <w:spacing w:after="0" w:line="106" w:lineRule="exact"/>
        <w:rPr>
          <w:sz w:val="20"/>
          <w:szCs w:val="20"/>
          <w:color w:val="auto"/>
        </w:rPr>
      </w:pPr>
    </w:p>
    <w:p>
      <w:pPr>
        <w:ind w:right="60" w:firstLine="644"/>
        <w:spacing w:after="0" w:line="239" w:lineRule="auto"/>
        <w:rPr>
          <w:sz w:val="20"/>
          <w:szCs w:val="20"/>
          <w:color w:val="auto"/>
        </w:rPr>
      </w:pPr>
      <w:r>
        <w:rPr>
          <w:rFonts w:ascii="Arial" w:cs="Arial" w:eastAsia="Arial" w:hAnsi="Arial"/>
          <w:sz w:val="18"/>
          <w:szCs w:val="18"/>
          <w:color w:val="auto"/>
        </w:rPr>
        <w:t>The Company is subject to certain lawsuits, claims and assessments that arise in the ordinary course of business. Additionally, the Company has been named as a defendant in lawsuits alleging personal injuries as a result of contact with asbestos products at various project sites. Management believes that any significant costs relating to these claims will be reimbursed by applicable insurance and, although there can be no assurance that these matters will be resolved favorably, management believes that the ultimate resolution of any of these claims will not have a material adverse effect on our consolidated financial position, results of operations, or cash flows. A liability is recorded when it is both probable that a loss has been incurred and the amount of loss or range of loss can be reasonably estimated. When using a range of loss estimate, the Company records the liability using the low end of the range. The Company records a corresponding receivable for costs covered under its insurance policies. Management judgment is required to determine the outcome and the estimated amount of a loss related to such matters. Management believes that there are no claims or assessments outstanding which would materially affect the consolidated results of operations or the Company’s financial position.</w:t>
      </w:r>
    </w:p>
    <w:p>
      <w:pPr>
        <w:spacing w:after="0" w:line="99" w:lineRule="exact"/>
        <w:rPr>
          <w:sz w:val="20"/>
          <w:szCs w:val="20"/>
          <w:color w:val="auto"/>
        </w:rPr>
      </w:pPr>
    </w:p>
    <w:p>
      <w:pPr>
        <w:ind w:firstLine="698"/>
        <w:spacing w:after="0" w:line="241" w:lineRule="auto"/>
        <w:rPr>
          <w:sz w:val="20"/>
          <w:szCs w:val="20"/>
          <w:color w:val="auto"/>
        </w:rPr>
      </w:pPr>
      <w:r>
        <w:rPr>
          <w:rFonts w:ascii="Arial" w:cs="Arial" w:eastAsia="Arial" w:hAnsi="Arial"/>
          <w:sz w:val="18"/>
          <w:szCs w:val="18"/>
          <w:color w:val="auto"/>
        </w:rPr>
        <w:t>On or about March 1, 2017, the Peninsula Corridor Joint Powers Board, or the JPB, filed a lawsuit against Parsons Transportation Group, Inc., or PTG, in the Superior Court of California, County of San Mateo, in connection with a positive train control project on which PTG was engaged prior to termination of its contract by the JPB. PTG had previously filed a lawsuit against the JPB for breach of contract and wrongful termination. The JPB seeks damages in excess of $100.0 million, which the Company is currently disputing. In addition to filing a complaint for breach of contract and wrongful termination, the Company has denied the allegations raised by the JPB and, accordingly, filed affirmative defenses. The Company is currently defending against the JPB’s claims and the parties are still engaged in discovery. The Company also has a professional liability insurance policy to the extent the JPB proves any errors or omissions occurred. At this time, the Company is unable to determine the probability of the outcome of the litigation or determine a potential range of loss, if any. The Company has also filed a third-party claim against a subcontractor for indemnification in connection with this matter.</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September 2015, a former Parsons employee filed an action in the United States District Court for the Northern District of Alabama</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against us as a qui tam relator on behalf of the United States (the “Relator”) alleging violation of the False Claims Act. The United States</w:t>
      </w:r>
    </w:p>
    <w:p>
      <w:pPr>
        <w:spacing w:after="0" w:line="234" w:lineRule="auto"/>
        <w:rPr>
          <w:sz w:val="20"/>
          <w:szCs w:val="20"/>
          <w:color w:val="auto"/>
        </w:rPr>
      </w:pPr>
      <w:r>
        <w:rPr>
          <w:rFonts w:ascii="Arial" w:cs="Arial" w:eastAsia="Arial" w:hAnsi="Arial"/>
          <w:sz w:val="18"/>
          <w:szCs w:val="18"/>
          <w:color w:val="auto"/>
        </w:rPr>
        <w:t>government did not intervene in this matter as it is allowed to do so under the statute. The Company filed a motion to dismiss the lawsuit on</w:t>
      </w:r>
    </w:p>
    <w:p>
      <w:pPr>
        <w:spacing w:after="0" w:line="235" w:lineRule="auto"/>
        <w:rPr>
          <w:sz w:val="20"/>
          <w:szCs w:val="20"/>
          <w:color w:val="auto"/>
        </w:rPr>
      </w:pPr>
      <w:r>
        <w:rPr>
          <w:rFonts w:ascii="Arial" w:cs="Arial" w:eastAsia="Arial" w:hAnsi="Arial"/>
          <w:sz w:val="18"/>
          <w:szCs w:val="18"/>
          <w:color w:val="auto"/>
        </w:rPr>
        <w:t>the grounds that the Relator did not meet the applicable statute of limitations. The District Court granted the motion to dismiss. The Relator’s</w:t>
      </w:r>
    </w:p>
    <w:p>
      <w:pPr>
        <w:spacing w:after="0" w:line="235" w:lineRule="auto"/>
        <w:rPr>
          <w:sz w:val="20"/>
          <w:szCs w:val="20"/>
          <w:color w:val="auto"/>
        </w:rPr>
      </w:pPr>
      <w:r>
        <w:rPr>
          <w:rFonts w:ascii="Arial" w:cs="Arial" w:eastAsia="Arial" w:hAnsi="Arial"/>
          <w:sz w:val="18"/>
          <w:szCs w:val="18"/>
          <w:color w:val="auto"/>
        </w:rPr>
        <w:t>attorney appealed the decision to the United States Court of Appeals of the Eleventh Circuit, which ultimately ruled in favor of the Relator,</w:t>
      </w:r>
    </w:p>
    <w:p>
      <w:pPr>
        <w:spacing w:after="0" w:line="235" w:lineRule="auto"/>
        <w:rPr>
          <w:sz w:val="20"/>
          <w:szCs w:val="20"/>
          <w:color w:val="auto"/>
        </w:rPr>
      </w:pPr>
      <w:r>
        <w:rPr>
          <w:rFonts w:ascii="Arial" w:cs="Arial" w:eastAsia="Arial" w:hAnsi="Arial"/>
          <w:sz w:val="18"/>
          <w:szCs w:val="18"/>
          <w:color w:val="auto"/>
        </w:rPr>
        <w:t>and the Company petitioned the United States Supreme Court to review the decision. The Supreme Court reviewed the decision and</w:t>
      </w:r>
    </w:p>
    <w:p>
      <w:pPr>
        <w:spacing w:after="0" w:line="235" w:lineRule="auto"/>
        <w:rPr>
          <w:sz w:val="20"/>
          <w:szCs w:val="20"/>
          <w:color w:val="auto"/>
        </w:rPr>
      </w:pPr>
      <w:r>
        <w:rPr>
          <w:rFonts w:ascii="Arial" w:cs="Arial" w:eastAsia="Arial" w:hAnsi="Arial"/>
          <w:sz w:val="18"/>
          <w:szCs w:val="18"/>
          <w:color w:val="auto"/>
        </w:rPr>
        <w:t>accepted the position of the Relator. The case was thus remanded to the United States District Court for the Northern District of</w:t>
      </w:r>
    </w:p>
    <w:p>
      <w:pPr>
        <w:spacing w:after="0" w:line="234" w:lineRule="auto"/>
        <w:rPr>
          <w:sz w:val="20"/>
          <w:szCs w:val="20"/>
          <w:color w:val="auto"/>
        </w:rPr>
      </w:pPr>
      <w:r>
        <w:rPr>
          <w:rFonts w:ascii="Arial" w:cs="Arial" w:eastAsia="Arial" w:hAnsi="Arial"/>
          <w:sz w:val="18"/>
          <w:szCs w:val="18"/>
          <w:color w:val="auto"/>
        </w:rPr>
        <w:t>Alabama. The defendants, including Parsons, will file appropriate pleadings opposing the allegations. At this time, the Company is unable to</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determine the probability of the outcome of the litigation or determine a potential range of loss, if any.</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3" w:name="page24"/>
    <w:bookmarkEnd w:id="23"/>
    <w:p>
      <w:pPr>
        <w:ind w:firstLine="637"/>
        <w:spacing w:after="0" w:line="245" w:lineRule="auto"/>
        <w:rPr>
          <w:sz w:val="20"/>
          <w:szCs w:val="20"/>
          <w:color w:val="auto"/>
        </w:rPr>
      </w:pPr>
      <w:r>
        <w:rPr>
          <w:rFonts w:ascii="Arial" w:cs="Arial" w:eastAsia="Arial" w:hAnsi="Arial"/>
          <w:sz w:val="18"/>
          <w:szCs w:val="18"/>
          <w:color w:val="auto"/>
        </w:rPr>
        <w:t>On or about October 4, 2019, LBH Engineers, LLC (“LBH”) filed a lawsuit against Parsons, PTG, and various other parties in the US District Court of for the Northern District of Georgia, in connection with an alleged infringement of LBH’s patent. LBH seeks damages and costs incurred by LBH, a post-judgment royalty, treble damages if the infringement is found to be willful, among other damages, which the Company and the other defendants are currently disputing. At this time, the Company is unable to determine the probability of the outcome of the litigation or determine a potential range of loss, if any.</w:t>
      </w:r>
    </w:p>
    <w:p>
      <w:pPr>
        <w:spacing w:after="0" w:line="172" w:lineRule="exact"/>
        <w:rPr>
          <w:sz w:val="20"/>
          <w:szCs w:val="20"/>
          <w:color w:val="auto"/>
        </w:rPr>
      </w:pPr>
    </w:p>
    <w:p>
      <w:pPr>
        <w:ind w:right="80" w:firstLine="637"/>
        <w:spacing w:after="0"/>
        <w:rPr>
          <w:sz w:val="20"/>
          <w:szCs w:val="20"/>
          <w:color w:val="auto"/>
        </w:rPr>
      </w:pPr>
      <w:r>
        <w:rPr>
          <w:rFonts w:ascii="Arial" w:cs="Arial" w:eastAsia="Arial" w:hAnsi="Arial"/>
          <w:sz w:val="18"/>
          <w:szCs w:val="18"/>
          <w:color w:val="auto"/>
        </w:rPr>
        <w:t>Federal government contracts are subject to audits, which are performed for the most part by the Defense Contract Audit Agency (“DCAA”). Audits by the DCAA and other agencies consist of reviews of our overhead rates, operating systems and cost proposals to ensure that we account for such costs in accordance with the Cost Accounting Standards (“CAS”). If the DCAA determines we have not accounted for such costs in accordance with the CAS, the DCAA may disallow these costs. The disallowance of such costs may result in a reduction of revenue and additional liability for the Company. Historically, the Company has not experienced any material disallowed costs as a result of government audits. However, the Company can provide no assurance that the DCAA or other government audits will not result in material disallowances for incurred costs in the future. All audits of costs incurred on work performed through 2010 have been closed, and years thereafter remain open.</w:t>
      </w:r>
    </w:p>
    <w:p>
      <w:pPr>
        <w:spacing w:after="0" w:line="180" w:lineRule="exact"/>
        <w:rPr>
          <w:sz w:val="20"/>
          <w:szCs w:val="20"/>
          <w:color w:val="auto"/>
        </w:rPr>
      </w:pPr>
    </w:p>
    <w:p>
      <w:pPr>
        <w:ind w:right="40" w:firstLine="637"/>
        <w:spacing w:after="0" w:line="276" w:lineRule="auto"/>
        <w:rPr>
          <w:sz w:val="20"/>
          <w:szCs w:val="20"/>
          <w:color w:val="auto"/>
        </w:rPr>
      </w:pPr>
      <w:r>
        <w:rPr>
          <w:rFonts w:ascii="Arial" w:cs="Arial" w:eastAsia="Arial" w:hAnsi="Arial"/>
          <w:sz w:val="18"/>
          <w:szCs w:val="18"/>
          <w:color w:val="auto"/>
        </w:rPr>
        <w:t>Although there can be no assurance that these matters will be resolved favorably, management believes that their ultimate resolution will not have a material adverse impact on the Company’s consolidated financial position, results of operations, or cash flows.</w:t>
      </w:r>
    </w:p>
    <w:p>
      <w:pPr>
        <w:spacing w:after="0" w:line="251" w:lineRule="exact"/>
        <w:rPr>
          <w:sz w:val="20"/>
          <w:szCs w:val="20"/>
          <w:color w:val="auto"/>
        </w:rPr>
      </w:pPr>
    </w:p>
    <w:p>
      <w:pPr>
        <w:ind w:left="640" w:hanging="632"/>
        <w:spacing w:after="0"/>
        <w:tabs>
          <w:tab w:leader="none" w:pos="64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Retirement Benefit Plan</w:t>
      </w:r>
    </w:p>
    <w:p>
      <w:pPr>
        <w:spacing w:after="0" w:line="106" w:lineRule="exact"/>
        <w:rPr>
          <w:sz w:val="20"/>
          <w:szCs w:val="20"/>
          <w:color w:val="auto"/>
        </w:rPr>
      </w:pPr>
    </w:p>
    <w:p>
      <w:pPr>
        <w:ind w:right="120" w:firstLine="637"/>
        <w:spacing w:after="0" w:line="258" w:lineRule="auto"/>
        <w:rPr>
          <w:sz w:val="20"/>
          <w:szCs w:val="20"/>
          <w:color w:val="auto"/>
        </w:rPr>
      </w:pPr>
      <w:r>
        <w:rPr>
          <w:rFonts w:ascii="Arial" w:cs="Arial" w:eastAsia="Arial" w:hAnsi="Arial"/>
          <w:sz w:val="17"/>
          <w:szCs w:val="17"/>
          <w:color w:val="auto"/>
        </w:rPr>
        <w:t>The Company’s principal retirement benefit plan is the Parsons Employee Stock Ownership Plan (“ESOP”), a stock bonus plan, established in 1975 to cover eligible employees of the Company and certain affiliated companies. Contributions of treasury stock to the ESOP are made annually in amounts determined by the Company’s board of directors and are held in trust for the sole benefit of the participants. Shares allocated to a participant’s account are fully vested after three years of credited service, or in the event(s) of reaching age 65, death or disability while an active employee of the Company. As of September 30, 2020 and December 31, 2019, total shares of the</w:t>
      </w:r>
    </w:p>
    <w:p>
      <w:pPr>
        <w:spacing w:after="0" w:line="2" w:lineRule="exact"/>
        <w:rPr>
          <w:sz w:val="20"/>
          <w:szCs w:val="20"/>
          <w:color w:val="auto"/>
        </w:rPr>
      </w:pPr>
    </w:p>
    <w:p>
      <w:pPr>
        <w:ind w:right="20"/>
        <w:spacing w:after="0" w:line="276" w:lineRule="auto"/>
        <w:rPr>
          <w:sz w:val="20"/>
          <w:szCs w:val="20"/>
          <w:color w:val="auto"/>
        </w:rPr>
      </w:pPr>
      <w:r>
        <w:rPr>
          <w:rFonts w:ascii="Arial" w:cs="Arial" w:eastAsia="Arial" w:hAnsi="Arial"/>
          <w:sz w:val="18"/>
          <w:szCs w:val="18"/>
          <w:color w:val="auto"/>
        </w:rPr>
        <w:t>Company’s common stock were 100,727,574 and 100,669,694, respectively, of which 76,090,531 and 78,896,806, respectively, were held by the ESOP.</w:t>
      </w:r>
    </w:p>
    <w:p>
      <w:pPr>
        <w:spacing w:after="0" w:line="145" w:lineRule="exact"/>
        <w:rPr>
          <w:sz w:val="20"/>
          <w:szCs w:val="20"/>
          <w:color w:val="auto"/>
        </w:rPr>
      </w:pPr>
    </w:p>
    <w:p>
      <w:pPr>
        <w:ind w:right="420" w:firstLine="644"/>
        <w:spacing w:after="0" w:line="245" w:lineRule="auto"/>
        <w:rPr>
          <w:sz w:val="20"/>
          <w:szCs w:val="20"/>
          <w:color w:val="auto"/>
        </w:rPr>
      </w:pPr>
      <w:r>
        <w:rPr>
          <w:rFonts w:ascii="Arial" w:cs="Arial" w:eastAsia="Arial" w:hAnsi="Arial"/>
          <w:sz w:val="18"/>
          <w:szCs w:val="18"/>
          <w:color w:val="auto"/>
        </w:rPr>
        <w:t>A participant’s interest in their ESOP account is redeemable upon certain events, including retirement, death, termination due to permanent disability, a severe financial hardship following termination of employment, certain conflicts of interest following termination of employment, or the exercise of diversification rights. Distributions from the ESOP of participants’ interests are made in the Company’s common stock based on quoted prices of a share of the Company’s common stock on the NYSE. A participant will be able to sell such shares of common stock in the market, subject to any requirements of the federal securities laws.</w:t>
      </w:r>
    </w:p>
    <w:p>
      <w:pPr>
        <w:spacing w:after="0" w:line="172" w:lineRule="exact"/>
        <w:rPr>
          <w:sz w:val="20"/>
          <w:szCs w:val="20"/>
          <w:color w:val="auto"/>
        </w:rPr>
      </w:pPr>
    </w:p>
    <w:p>
      <w:pPr>
        <w:ind w:right="300" w:firstLine="644"/>
        <w:spacing w:after="0" w:line="273" w:lineRule="auto"/>
        <w:rPr>
          <w:sz w:val="20"/>
          <w:szCs w:val="20"/>
          <w:color w:val="auto"/>
        </w:rPr>
      </w:pPr>
      <w:r>
        <w:rPr>
          <w:rFonts w:ascii="Arial" w:cs="Arial" w:eastAsia="Arial" w:hAnsi="Arial"/>
          <w:sz w:val="17"/>
          <w:szCs w:val="17"/>
          <w:color w:val="auto"/>
        </w:rPr>
        <w:t>Total ESOP contribution expense was $12.5 million and $12.3 million for the three months ended September 30, 2020 and September 30, 2019, respectively, and $42.0 million and $36.8 million for the nine months ended September 30, 2020 and September 30,</w:t>
      </w:r>
    </w:p>
    <w:p>
      <w:pPr>
        <w:spacing w:after="0" w:line="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2019, respectively. The expense is recorded in “Direct costs of contracts” and “Indirect, general and administrative expense” in the consolidated statements of income. The fiscal 2020 ESOP contribution has not yet been made. The amount is currently included in accrued liabilities.</w:t>
      </w:r>
    </w:p>
    <w:p>
      <w:pPr>
        <w:spacing w:after="0" w:line="191" w:lineRule="exact"/>
        <w:rPr>
          <w:sz w:val="20"/>
          <w:szCs w:val="20"/>
          <w:color w:val="auto"/>
        </w:rPr>
      </w:pPr>
    </w:p>
    <w:p>
      <w:pPr>
        <w:ind w:right="80" w:firstLine="752"/>
        <w:spacing w:after="0" w:line="259" w:lineRule="auto"/>
        <w:rPr>
          <w:sz w:val="20"/>
          <w:szCs w:val="20"/>
          <w:color w:val="auto"/>
        </w:rPr>
      </w:pPr>
      <w:r>
        <w:rPr>
          <w:rFonts w:ascii="Arial" w:cs="Arial" w:eastAsia="Arial" w:hAnsi="Arial"/>
          <w:sz w:val="17"/>
          <w:szCs w:val="17"/>
          <w:color w:val="auto"/>
        </w:rPr>
        <w:t>On April 3, 2019, the board of directors of the Company declared a cash dividend to the Company’s sole existing shareholder at that time, the ESOP, in the amount of $2.00 per share, or $52.1 million in the aggregate (the “IPO Dividend”). The IPO Dividend was paid on May 10, 2019. On April 15, 2019, the board of directors of the Company declared a common stock dividend in a ratio of two shares of common stock for every one share of common stock then held by the Company’s shareholder (the “Stock Dividend”). The record date of the Stock Dividend was May 7, 2019, the day immediately prior to the consummation of the Company’s IPO on May 8, 2019, and the payment date of the Stock Dividend was May 8, 2019. Purchasers of the Company’s common stock in the Company’s public offering were not entitled</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to receive any portion of the Stock Dividend.</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4" w:name="page25"/>
    <w:bookmarkEnd w:id="24"/>
    <w:p>
      <w:pPr>
        <w:ind w:left="640" w:hanging="632"/>
        <w:spacing w:after="0"/>
        <w:tabs>
          <w:tab w:leader="none" w:pos="64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in and Advances to Joint Ventures</w:t>
      </w:r>
    </w:p>
    <w:p>
      <w:pPr>
        <w:spacing w:after="0" w:line="106" w:lineRule="exact"/>
        <w:rPr>
          <w:sz w:val="20"/>
          <w:szCs w:val="20"/>
          <w:color w:val="auto"/>
        </w:rPr>
      </w:pPr>
    </w:p>
    <w:p>
      <w:pPr>
        <w:ind w:right="120" w:firstLine="637"/>
        <w:spacing w:after="0" w:line="255" w:lineRule="auto"/>
        <w:rPr>
          <w:sz w:val="20"/>
          <w:szCs w:val="20"/>
          <w:color w:val="auto"/>
        </w:rPr>
      </w:pPr>
      <w:r>
        <w:rPr>
          <w:rFonts w:ascii="Arial" w:cs="Arial" w:eastAsia="Arial" w:hAnsi="Arial"/>
          <w:sz w:val="18"/>
          <w:szCs w:val="18"/>
          <w:color w:val="auto"/>
        </w:rPr>
        <w:t>The Company participates in joint ventures to bid, negotiate and complete specific projects. The Company is required to consolidate these joint ventures if it holds the majority voting interest or if the Company meets the criteria under the consolidation model, as described below.</w:t>
      </w:r>
    </w:p>
    <w:p>
      <w:pPr>
        <w:spacing w:after="0" w:line="164" w:lineRule="exact"/>
        <w:rPr>
          <w:sz w:val="20"/>
          <w:szCs w:val="20"/>
          <w:color w:val="auto"/>
        </w:rPr>
      </w:pPr>
    </w:p>
    <w:p>
      <w:pPr>
        <w:ind w:right="140" w:firstLine="637"/>
        <w:spacing w:after="0" w:line="248" w:lineRule="auto"/>
        <w:rPr>
          <w:sz w:val="20"/>
          <w:szCs w:val="20"/>
          <w:color w:val="auto"/>
        </w:rPr>
      </w:pPr>
      <w:r>
        <w:rPr>
          <w:rFonts w:ascii="Arial" w:cs="Arial" w:eastAsia="Arial" w:hAnsi="Arial"/>
          <w:sz w:val="18"/>
          <w:szCs w:val="18"/>
          <w:color w:val="auto"/>
        </w:rPr>
        <w:t>The Company performs an analysis to determine whether its variable interests give the Company a controlling financial interest in a Variable Interest Entity (“VIE”) for which the Company is the primary beneficiary and should, therefore, be consolidated. Such analysis requires the Company to assess whether it has the power to direct the activities of the VIE and the obligation to absorb losses or the right to receive benefits that could potentially be significant to the VIE.</w:t>
      </w:r>
    </w:p>
    <w:p>
      <w:pPr>
        <w:spacing w:after="0" w:line="170" w:lineRule="exact"/>
        <w:rPr>
          <w:sz w:val="20"/>
          <w:szCs w:val="20"/>
          <w:color w:val="auto"/>
        </w:rPr>
      </w:pPr>
    </w:p>
    <w:p>
      <w:pPr>
        <w:ind w:right="300" w:firstLine="637"/>
        <w:spacing w:after="0" w:line="248" w:lineRule="auto"/>
        <w:rPr>
          <w:sz w:val="20"/>
          <w:szCs w:val="20"/>
          <w:color w:val="auto"/>
        </w:rPr>
      </w:pPr>
      <w:r>
        <w:rPr>
          <w:rFonts w:ascii="Arial" w:cs="Arial" w:eastAsia="Arial" w:hAnsi="Arial"/>
          <w:sz w:val="18"/>
          <w:szCs w:val="18"/>
          <w:color w:val="auto"/>
        </w:rPr>
        <w:t>The Company analyzed all of its joint ventures and classified them into two groups: (1) joint ventures that must be consolidated because they are either not VIEs and the Company holds the majority voting interest, or because they are VIEs and the Company is the primary beneficiary; and (2) joint ventures that do not need to be consolidated because they are either not VIEs and the Company holds a minority voting interest, or because they are VIEs and the Company is not the primary beneficiary.</w:t>
      </w:r>
    </w:p>
    <w:p>
      <w:pPr>
        <w:spacing w:after="0" w:line="170" w:lineRule="exact"/>
        <w:rPr>
          <w:sz w:val="20"/>
          <w:szCs w:val="20"/>
          <w:color w:val="auto"/>
        </w:rPr>
      </w:pPr>
    </w:p>
    <w:p>
      <w:pPr>
        <w:ind w:right="80" w:firstLine="637"/>
        <w:spacing w:after="0" w:line="276" w:lineRule="auto"/>
        <w:rPr>
          <w:sz w:val="20"/>
          <w:szCs w:val="20"/>
          <w:color w:val="auto"/>
        </w:rPr>
      </w:pPr>
      <w:r>
        <w:rPr>
          <w:rFonts w:ascii="Arial" w:cs="Arial" w:eastAsia="Arial" w:hAnsi="Arial"/>
          <w:sz w:val="18"/>
          <w:szCs w:val="18"/>
          <w:color w:val="auto"/>
        </w:rPr>
        <w:t>Many of the Company’s joint venture agreements provide for capital calls to fund operations, as necessary; however, such funding is infrequent and is not anticipated to be material.</w:t>
      </w:r>
    </w:p>
    <w:p>
      <w:pPr>
        <w:spacing w:after="0" w:line="172" w:lineRule="exact"/>
        <w:rPr>
          <w:sz w:val="20"/>
          <w:szCs w:val="20"/>
          <w:color w:val="auto"/>
        </w:rPr>
      </w:pPr>
    </w:p>
    <w:p>
      <w:pPr>
        <w:ind w:right="240" w:firstLine="637"/>
        <w:spacing w:after="0" w:line="292" w:lineRule="auto"/>
        <w:rPr>
          <w:sz w:val="20"/>
          <w:szCs w:val="20"/>
          <w:color w:val="auto"/>
        </w:rPr>
      </w:pPr>
      <w:r>
        <w:rPr>
          <w:rFonts w:ascii="Arial" w:cs="Arial" w:eastAsia="Arial" w:hAnsi="Arial"/>
          <w:sz w:val="18"/>
          <w:szCs w:val="18"/>
          <w:color w:val="auto"/>
        </w:rPr>
        <w:t>Letters of credit outstanding described in “Note 10 – Debt and Credit Facilities” that relate to project ventures are $59.9 million and $55.0 million at September 30, 2020 and December 31, 2019, respectively.</w:t>
      </w:r>
    </w:p>
    <w:p>
      <w:pPr>
        <w:spacing w:after="0" w:line="131" w:lineRule="exact"/>
        <w:rPr>
          <w:sz w:val="20"/>
          <w:szCs w:val="20"/>
          <w:color w:val="auto"/>
        </w:rPr>
      </w:pPr>
    </w:p>
    <w:p>
      <w:pPr>
        <w:jc w:val="both"/>
        <w:ind w:right="320" w:firstLine="637"/>
        <w:spacing w:after="0" w:line="255" w:lineRule="auto"/>
        <w:rPr>
          <w:sz w:val="20"/>
          <w:szCs w:val="20"/>
          <w:color w:val="auto"/>
        </w:rPr>
      </w:pPr>
      <w:r>
        <w:rPr>
          <w:rFonts w:ascii="Arial" w:cs="Arial" w:eastAsia="Arial" w:hAnsi="Arial"/>
          <w:sz w:val="18"/>
          <w:szCs w:val="18"/>
          <w:color w:val="auto"/>
        </w:rPr>
        <w:t>In the table below, aggregated financial information relating to the Company’s joint ventures is provided because their nature, risk and reward characteristics are similar. None of the Company’s current joint ventures that meet the characteristics of a VIE are individually significant to the consolidated financial statements.</w:t>
      </w:r>
    </w:p>
    <w:p>
      <w:pPr>
        <w:spacing w:after="0" w:line="27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Consolidated Joint Ventures</w:t>
      </w:r>
    </w:p>
    <w:p>
      <w:pPr>
        <w:spacing w:after="0" w:line="104" w:lineRule="exact"/>
        <w:rPr>
          <w:sz w:val="20"/>
          <w:szCs w:val="20"/>
          <w:color w:val="auto"/>
        </w:rPr>
      </w:pPr>
    </w:p>
    <w:p>
      <w:pPr>
        <w:ind w:right="380" w:firstLine="637"/>
        <w:spacing w:after="0" w:line="276" w:lineRule="auto"/>
        <w:rPr>
          <w:sz w:val="20"/>
          <w:szCs w:val="20"/>
          <w:color w:val="auto"/>
        </w:rPr>
      </w:pPr>
      <w:r>
        <w:rPr>
          <w:rFonts w:ascii="Arial" w:cs="Arial" w:eastAsia="Arial" w:hAnsi="Arial"/>
          <w:sz w:val="18"/>
          <w:szCs w:val="18"/>
          <w:color w:val="auto"/>
        </w:rPr>
        <w:t>The following represents financial information for consolidated joint ventures included in the consolidated financial statements (in thousands):</w:t>
      </w:r>
    </w:p>
    <w:p>
      <w:pPr>
        <w:spacing w:after="0" w:line="247" w:lineRule="exact"/>
        <w:rPr>
          <w:sz w:val="20"/>
          <w:szCs w:val="20"/>
          <w:color w:val="auto"/>
        </w:rPr>
      </w:pPr>
    </w:p>
    <w:tbl>
      <w:tblPr>
        <w:tblLayout w:type="fixed"/>
        <w:tblInd w:w="580" w:type="dxa"/>
        <w:tblCellMar>
          <w:top w:w="0" w:type="dxa"/>
          <w:left w:w="0" w:type="dxa"/>
          <w:bottom w:w="0" w:type="dxa"/>
          <w:right w:w="0" w:type="dxa"/>
        </w:tblCellMar>
      </w:tblPr>
      <w:tr>
        <w:trPr>
          <w:trHeight w:val="177"/>
        </w:trPr>
        <w:tc>
          <w:tcPr>
            <w:tcW w:w="418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8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2020</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2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2019</w:t>
            </w:r>
          </w:p>
        </w:tc>
      </w:tr>
      <w:tr>
        <w:trPr>
          <w:trHeight w:val="209"/>
        </w:trPr>
        <w:tc>
          <w:tcPr>
            <w:tcW w:w="4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Current assets</w:t>
            </w:r>
          </w:p>
        </w:tc>
        <w:tc>
          <w:tcPr>
            <w:tcW w:w="20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343,304</w:t>
            </w:r>
          </w:p>
        </w:tc>
        <w:tc>
          <w:tcPr>
            <w:tcW w:w="26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255,167</w:t>
            </w:r>
          </w:p>
        </w:tc>
        <w:tc>
          <w:tcPr>
            <w:tcW w:w="120" w:type="dxa"/>
            <w:vAlign w:val="bottom"/>
            <w:tcBorders>
              <w:top w:val="single" w:sz="8" w:color="CFF0FC"/>
            </w:tcBorders>
            <w:shd w:val="clear" w:color="auto" w:fill="CFF0FC"/>
          </w:tcPr>
          <w:p>
            <w:pPr>
              <w:spacing w:after="0"/>
              <w:rPr>
                <w:sz w:val="18"/>
                <w:szCs w:val="18"/>
                <w:color w:val="auto"/>
              </w:rPr>
            </w:pPr>
          </w:p>
        </w:tc>
      </w:tr>
      <w:tr>
        <w:trPr>
          <w:trHeight w:val="216"/>
        </w:trPr>
        <w:tc>
          <w:tcPr>
            <w:tcW w:w="41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Noncurrent assets</w:t>
            </w:r>
          </w:p>
        </w:tc>
        <w:tc>
          <w:tcPr>
            <w:tcW w:w="202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2,935</w:t>
            </w:r>
          </w:p>
        </w:tc>
        <w:tc>
          <w:tcPr>
            <w:tcW w:w="26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2,860</w:t>
            </w:r>
          </w:p>
        </w:tc>
        <w:tc>
          <w:tcPr>
            <w:tcW w:w="120" w:type="dxa"/>
            <w:vAlign w:val="bottom"/>
            <w:tcBorders>
              <w:bottom w:val="single" w:sz="8" w:color="CFF0FC"/>
            </w:tcBorders>
          </w:tcPr>
          <w:p>
            <w:pPr>
              <w:spacing w:after="0"/>
              <w:rPr>
                <w:sz w:val="18"/>
                <w:szCs w:val="18"/>
                <w:color w:val="auto"/>
              </w:rPr>
            </w:pPr>
          </w:p>
        </w:tc>
      </w:tr>
      <w:tr>
        <w:trPr>
          <w:trHeight w:val="209"/>
        </w:trPr>
        <w:tc>
          <w:tcPr>
            <w:tcW w:w="41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assets</w:t>
            </w:r>
          </w:p>
        </w:tc>
        <w:tc>
          <w:tcPr>
            <w:tcW w:w="202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346,239</w:t>
            </w: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258,027</w:t>
            </w:r>
          </w:p>
        </w:tc>
        <w:tc>
          <w:tcPr>
            <w:tcW w:w="120" w:type="dxa"/>
            <w:vAlign w:val="bottom"/>
            <w:shd w:val="clear" w:color="auto" w:fill="CFF0FC"/>
          </w:tcPr>
          <w:p>
            <w:pPr>
              <w:spacing w:after="0"/>
              <w:rPr>
                <w:sz w:val="18"/>
                <w:szCs w:val="18"/>
                <w:color w:val="auto"/>
              </w:rPr>
            </w:pPr>
          </w:p>
        </w:tc>
      </w:tr>
      <w:tr>
        <w:trPr>
          <w:trHeight w:val="210"/>
        </w:trPr>
        <w:tc>
          <w:tcPr>
            <w:tcW w:w="41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Current liabilities</w:t>
            </w:r>
          </w:p>
        </w:tc>
        <w:tc>
          <w:tcPr>
            <w:tcW w:w="202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260,175</w:t>
            </w:r>
          </w:p>
        </w:tc>
        <w:tc>
          <w:tcPr>
            <w:tcW w:w="26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193,583</w:t>
            </w:r>
          </w:p>
        </w:tc>
        <w:tc>
          <w:tcPr>
            <w:tcW w:w="120" w:type="dxa"/>
            <w:vAlign w:val="bottom"/>
            <w:tcBorders>
              <w:bottom w:val="single" w:sz="8" w:color="CFF0FC"/>
            </w:tcBorders>
          </w:tcPr>
          <w:p>
            <w:pPr>
              <w:spacing w:after="0"/>
              <w:rPr>
                <w:sz w:val="18"/>
                <w:szCs w:val="18"/>
                <w:color w:val="auto"/>
              </w:rPr>
            </w:pPr>
          </w:p>
        </w:tc>
      </w:tr>
      <w:tr>
        <w:trPr>
          <w:trHeight w:val="210"/>
        </w:trPr>
        <w:tc>
          <w:tcPr>
            <w:tcW w:w="41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liabilities</w:t>
            </w:r>
          </w:p>
        </w:tc>
        <w:tc>
          <w:tcPr>
            <w:tcW w:w="202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260,175</w:t>
            </w: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193,583</w:t>
            </w:r>
          </w:p>
        </w:tc>
        <w:tc>
          <w:tcPr>
            <w:tcW w:w="120" w:type="dxa"/>
            <w:vAlign w:val="bottom"/>
            <w:shd w:val="clear" w:color="auto" w:fill="CFF0FC"/>
          </w:tcPr>
          <w:p>
            <w:pPr>
              <w:spacing w:after="0"/>
              <w:rPr>
                <w:sz w:val="18"/>
                <w:szCs w:val="18"/>
                <w:color w:val="auto"/>
              </w:rPr>
            </w:pPr>
          </w:p>
        </w:tc>
      </w:tr>
      <w:tr>
        <w:trPr>
          <w:trHeight w:val="210"/>
        </w:trPr>
        <w:tc>
          <w:tcPr>
            <w:tcW w:w="4180" w:type="dxa"/>
            <w:vAlign w:val="bottom"/>
          </w:tcPr>
          <w:p>
            <w:pPr>
              <w:ind w:left="240"/>
              <w:spacing w:after="0"/>
              <w:rPr>
                <w:sz w:val="20"/>
                <w:szCs w:val="20"/>
                <w:color w:val="auto"/>
              </w:rPr>
            </w:pPr>
            <w:r>
              <w:rPr>
                <w:rFonts w:ascii="Arial" w:cs="Arial" w:eastAsia="Arial" w:hAnsi="Arial"/>
                <w:sz w:val="18"/>
                <w:szCs w:val="18"/>
                <w:color w:val="auto"/>
              </w:rPr>
              <w:t>Total joint venture equity</w:t>
            </w:r>
          </w:p>
        </w:tc>
        <w:tc>
          <w:tcPr>
            <w:tcW w:w="20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86,064</w:t>
            </w:r>
          </w:p>
        </w:tc>
        <w:tc>
          <w:tcPr>
            <w:tcW w:w="2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64,444</w:t>
            </w:r>
          </w:p>
        </w:tc>
        <w:tc>
          <w:tcPr>
            <w:tcW w:w="120" w:type="dxa"/>
            <w:vAlign w:val="bottom"/>
          </w:tcPr>
          <w:p>
            <w:pPr>
              <w:spacing w:after="0"/>
              <w:rPr>
                <w:sz w:val="18"/>
                <w:szCs w:val="18"/>
                <w:color w:val="auto"/>
              </w:rPr>
            </w:pPr>
          </w:p>
        </w:tc>
      </w:tr>
      <w:tr>
        <w:trPr>
          <w:trHeight w:val="20"/>
        </w:trPr>
        <w:tc>
          <w:tcPr>
            <w:tcW w:w="41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94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3"/>
          </w:tcPr>
          <w:p>
            <w:pPr>
              <w:ind w:left="380"/>
              <w:spacing w:after="0"/>
              <w:rPr>
                <w:sz w:val="20"/>
                <w:szCs w:val="20"/>
                <w:color w:val="auto"/>
              </w:rPr>
            </w:pPr>
            <w:r>
              <w:rPr>
                <w:rFonts w:ascii="Arial" w:cs="Arial" w:eastAsia="Arial" w:hAnsi="Arial"/>
                <w:sz w:val="14"/>
                <w:szCs w:val="14"/>
                <w:b w:val="1"/>
                <w:bCs w:val="1"/>
                <w:color w:val="auto"/>
              </w:rPr>
              <w:t>Three Months Ended</w:t>
            </w:r>
          </w:p>
        </w:tc>
        <w:tc>
          <w:tcPr>
            <w:tcW w:w="7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3"/>
          </w:tcPr>
          <w:p>
            <w:pPr>
              <w:ind w:left="400"/>
              <w:spacing w:after="0"/>
              <w:rPr>
                <w:sz w:val="20"/>
                <w:szCs w:val="20"/>
                <w:color w:val="auto"/>
              </w:rPr>
            </w:pPr>
            <w:r>
              <w:rPr>
                <w:rFonts w:ascii="Arial" w:cs="Arial" w:eastAsia="Arial" w:hAnsi="Arial"/>
                <w:sz w:val="14"/>
                <w:szCs w:val="14"/>
                <w:b w:val="1"/>
                <w:bCs w:val="1"/>
                <w:color w:val="auto"/>
              </w:rPr>
              <w:t>Nine Months Ended</w:t>
            </w:r>
          </w:p>
        </w:tc>
        <w:tc>
          <w:tcPr>
            <w:tcW w:w="7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940" w:type="dxa"/>
            <w:vAlign w:val="bottom"/>
          </w:tcPr>
          <w:p>
            <w:pPr>
              <w:spacing w:after="0"/>
              <w:rPr>
                <w:sz w:val="14"/>
                <w:szCs w:val="14"/>
                <w:color w:val="auto"/>
              </w:rPr>
            </w:pPr>
          </w:p>
        </w:tc>
        <w:tc>
          <w:tcPr>
            <w:tcW w:w="160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 2020</w:t>
            </w:r>
          </w:p>
        </w:tc>
        <w:tc>
          <w:tcPr>
            <w:tcW w:w="138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 2019</w:t>
            </w:r>
          </w:p>
        </w:tc>
        <w:tc>
          <w:tcPr>
            <w:tcW w:w="220" w:type="dxa"/>
            <w:vAlign w:val="bottom"/>
          </w:tcPr>
          <w:p>
            <w:pPr>
              <w:spacing w:after="0"/>
              <w:rPr>
                <w:sz w:val="14"/>
                <w:szCs w:val="14"/>
                <w:color w:val="auto"/>
              </w:rPr>
            </w:pPr>
          </w:p>
        </w:tc>
        <w:tc>
          <w:tcPr>
            <w:tcW w:w="162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 2020</w:t>
            </w:r>
          </w:p>
        </w:tc>
        <w:tc>
          <w:tcPr>
            <w:tcW w:w="1380" w:type="dxa"/>
            <w:vAlign w:val="bottom"/>
            <w:gridSpan w:val="2"/>
          </w:tcPr>
          <w:p>
            <w:pPr>
              <w:spacing w:after="0"/>
              <w:rPr>
                <w:sz w:val="20"/>
                <w:szCs w:val="20"/>
                <w:color w:val="auto"/>
              </w:rPr>
            </w:pPr>
            <w:r>
              <w:rPr>
                <w:rFonts w:ascii="Arial" w:cs="Arial" w:eastAsia="Arial" w:hAnsi="Arial"/>
                <w:sz w:val="14"/>
                <w:szCs w:val="14"/>
                <w:b w:val="1"/>
                <w:bCs w:val="1"/>
                <w:color w:val="auto"/>
              </w:rPr>
              <w:t>September 30, 2019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w:t>
            </w:r>
          </w:p>
        </w:tc>
        <w:tc>
          <w:tcPr>
            <w:tcW w:w="4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117,344</w:t>
            </w:r>
          </w:p>
        </w:tc>
        <w:tc>
          <w:tcPr>
            <w:tcW w:w="220" w:type="dxa"/>
            <w:vAlign w:val="bottom"/>
            <w:tcBorders>
              <w:top w:val="single" w:sz="8" w:color="CFF0FC"/>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117,611</w:t>
            </w:r>
          </w:p>
        </w:tc>
        <w:tc>
          <w:tcPr>
            <w:tcW w:w="220" w:type="dxa"/>
            <w:vAlign w:val="bottom"/>
            <w:tcBorders>
              <w:top w:val="single" w:sz="8" w:color="CFF0FC"/>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335,511</w:t>
            </w:r>
          </w:p>
        </w:tc>
        <w:tc>
          <w:tcPr>
            <w:tcW w:w="240" w:type="dxa"/>
            <w:vAlign w:val="bottom"/>
            <w:tcBorders>
              <w:top w:val="single" w:sz="8" w:color="CFF0FC"/>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341,719</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Costs</w:t>
            </w:r>
          </w:p>
        </w:tc>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105,223</w:t>
            </w:r>
          </w:p>
        </w:tc>
        <w:tc>
          <w:tcPr>
            <w:tcW w:w="220" w:type="dxa"/>
            <w:vAlign w:val="bottom"/>
            <w:tcBorders>
              <w:bottom w:val="single" w:sz="8" w:color="CFF0FC"/>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108,839</w:t>
            </w:r>
          </w:p>
        </w:tc>
        <w:tc>
          <w:tcPr>
            <w:tcW w:w="220" w:type="dxa"/>
            <w:vAlign w:val="bottom"/>
            <w:tcBorders>
              <w:bottom w:val="single" w:sz="8" w:color="CFF0FC"/>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304,308</w:t>
            </w:r>
          </w:p>
        </w:tc>
        <w:tc>
          <w:tcPr>
            <w:tcW w:w="240" w:type="dxa"/>
            <w:vAlign w:val="bottom"/>
            <w:tcBorders>
              <w:bottom w:val="single" w:sz="8" w:color="CFF0FC"/>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322,826</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w:t>
            </w:r>
          </w:p>
        </w:tc>
        <w:tc>
          <w:tcPr>
            <w:tcW w:w="4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12,121</w:t>
            </w:r>
          </w:p>
        </w:tc>
        <w:tc>
          <w:tcPr>
            <w:tcW w:w="220" w:type="dxa"/>
            <w:vAlign w:val="bottom"/>
            <w:tcBorders>
              <w:bottom w:val="single" w:sz="8" w:color="CFF0FC"/>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8,772</w:t>
            </w:r>
          </w:p>
        </w:tc>
        <w:tc>
          <w:tcPr>
            <w:tcW w:w="22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31,203</w:t>
            </w:r>
          </w:p>
        </w:tc>
        <w:tc>
          <w:tcPr>
            <w:tcW w:w="240" w:type="dxa"/>
            <w:vAlign w:val="bottom"/>
            <w:tcBorders>
              <w:bottom w:val="single" w:sz="8" w:color="CFF0FC"/>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18,893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40" w:type="dxa"/>
            <w:vAlign w:val="bottom"/>
            <w:vMerge w:val="restart"/>
          </w:tcPr>
          <w:p>
            <w:pPr>
              <w:spacing w:after="0"/>
              <w:rPr>
                <w:sz w:val="20"/>
                <w:szCs w:val="20"/>
                <w:color w:val="auto"/>
              </w:rPr>
            </w:pPr>
            <w:r>
              <w:rPr>
                <w:rFonts w:ascii="Arial" w:cs="Arial" w:eastAsia="Arial" w:hAnsi="Arial"/>
                <w:sz w:val="18"/>
                <w:szCs w:val="18"/>
                <w:color w:val="auto"/>
              </w:rPr>
              <w:t>Net income attributable to noncontrolling interests</w:t>
            </w: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940" w:type="dxa"/>
            <w:vAlign w:val="bottom"/>
            <w:vMerge w:val="continue"/>
          </w:tcPr>
          <w:p>
            <w:pPr>
              <w:spacing w:after="0"/>
              <w:rPr>
                <w:sz w:val="19"/>
                <w:szCs w:val="19"/>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5,862</w:t>
            </w:r>
          </w:p>
        </w:tc>
        <w:tc>
          <w:tcPr>
            <w:tcW w:w="220" w:type="dxa"/>
            <w:vAlign w:val="bottom"/>
          </w:tcPr>
          <w:p>
            <w:pPr>
              <w:spacing w:after="0"/>
              <w:rPr>
                <w:sz w:val="19"/>
                <w:szCs w:val="19"/>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4,481</w:t>
            </w:r>
          </w:p>
        </w:tc>
        <w:tc>
          <w:tcPr>
            <w:tcW w:w="220" w:type="dxa"/>
            <w:vAlign w:val="bottom"/>
          </w:tcPr>
          <w:p>
            <w:pPr>
              <w:spacing w:after="0"/>
              <w:rPr>
                <w:sz w:val="19"/>
                <w:szCs w:val="19"/>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15,086</w:t>
            </w:r>
          </w:p>
        </w:tc>
        <w:tc>
          <w:tcPr>
            <w:tcW w:w="240" w:type="dxa"/>
            <w:vAlign w:val="bottom"/>
          </w:tcPr>
          <w:p>
            <w:pPr>
              <w:spacing w:after="0"/>
              <w:rPr>
                <w:sz w:val="19"/>
                <w:szCs w:val="19"/>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ind w:right="320" w:firstLine="637"/>
        <w:spacing w:after="0" w:line="276" w:lineRule="auto"/>
        <w:rPr>
          <w:sz w:val="20"/>
          <w:szCs w:val="20"/>
          <w:color w:val="auto"/>
        </w:rPr>
      </w:pPr>
      <w:r>
        <w:rPr>
          <w:rFonts w:ascii="Arial" w:cs="Arial" w:eastAsia="Arial" w:hAnsi="Arial"/>
          <w:sz w:val="18"/>
          <w:szCs w:val="18"/>
          <w:color w:val="auto"/>
        </w:rPr>
        <w:t>The assets of the consolidated joint ventures are restricted for use only by the particular joint venture and are not available for the Company’s general operations.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5" w:right="339" w:bottom="1440" w:gutter="0" w:footer="0" w:header="0"/>
        </w:sectPr>
      </w:pPr>
    </w:p>
    <w:bookmarkStart w:id="25" w:name="page26"/>
    <w:bookmarkEnd w:id="25"/>
    <w:p>
      <w:pPr>
        <w:ind w:left="640"/>
        <w:spacing w:after="0"/>
        <w:rPr>
          <w:sz w:val="20"/>
          <w:szCs w:val="20"/>
          <w:color w:val="auto"/>
        </w:rPr>
      </w:pPr>
      <w:r>
        <w:rPr>
          <w:rFonts w:ascii="Arial" w:cs="Arial" w:eastAsia="Arial" w:hAnsi="Arial"/>
          <w:sz w:val="18"/>
          <w:szCs w:val="18"/>
          <w:b w:val="1"/>
          <w:bCs w:val="1"/>
          <w:i w:val="1"/>
          <w:iCs w:val="1"/>
          <w:color w:val="auto"/>
        </w:rPr>
        <w:t>Unconsolidated Joint Ventures</w:t>
      </w:r>
    </w:p>
    <w:p>
      <w:pPr>
        <w:spacing w:after="0" w:line="104" w:lineRule="exact"/>
        <w:rPr>
          <w:sz w:val="20"/>
          <w:szCs w:val="20"/>
          <w:color w:val="auto"/>
        </w:rPr>
      </w:pPr>
    </w:p>
    <w:p>
      <w:pPr>
        <w:ind w:firstLine="637"/>
        <w:spacing w:after="0" w:line="248" w:lineRule="auto"/>
        <w:rPr>
          <w:sz w:val="20"/>
          <w:szCs w:val="20"/>
          <w:color w:val="auto"/>
        </w:rPr>
      </w:pPr>
      <w:r>
        <w:rPr>
          <w:rFonts w:ascii="Arial" w:cs="Arial" w:eastAsia="Arial" w:hAnsi="Arial"/>
          <w:sz w:val="18"/>
          <w:szCs w:val="18"/>
          <w:color w:val="auto"/>
        </w:rPr>
        <w:t>The Company accounts for its unconsolidated joint ventures using the equity method of accounting. Under this method, the Company recognizes its proportionate share of the net earnings of these joint ventures as “Equity in earnings (loss) of unconsolidated joint ventures” in the consolidated statements of income. The Company’s maximum exposure to loss as a result of its investments in unconsolidated VIEs is typically limited to the aggregate of the carrying value of the investment and future funding commitments.</w:t>
      </w:r>
    </w:p>
    <w:p>
      <w:pPr>
        <w:spacing w:after="0" w:line="170" w:lineRule="exact"/>
        <w:rPr>
          <w:sz w:val="20"/>
          <w:szCs w:val="20"/>
          <w:color w:val="auto"/>
        </w:rPr>
      </w:pPr>
    </w:p>
    <w:p>
      <w:pPr>
        <w:ind w:right="340" w:firstLine="637"/>
        <w:spacing w:after="0" w:line="276" w:lineRule="auto"/>
        <w:rPr>
          <w:sz w:val="20"/>
          <w:szCs w:val="20"/>
          <w:color w:val="auto"/>
        </w:rPr>
      </w:pPr>
      <w:r>
        <w:rPr>
          <w:rFonts w:ascii="Arial" w:cs="Arial" w:eastAsia="Arial" w:hAnsi="Arial"/>
          <w:sz w:val="18"/>
          <w:szCs w:val="18"/>
          <w:color w:val="auto"/>
        </w:rPr>
        <w:t>The following represents the financial information of the Company’s unconsolidated joint ventures as presented in their unaudited financial statements (in thousands):</w:t>
      </w:r>
    </w:p>
    <w:p>
      <w:pPr>
        <w:spacing w:after="0" w:line="247" w:lineRule="exact"/>
        <w:rPr>
          <w:sz w:val="20"/>
          <w:szCs w:val="20"/>
          <w:color w:val="auto"/>
        </w:rPr>
      </w:pPr>
    </w:p>
    <w:tbl>
      <w:tblPr>
        <w:tblLayout w:type="fixed"/>
        <w:tblInd w:w="580" w:type="dxa"/>
        <w:tblCellMar>
          <w:top w:w="0" w:type="dxa"/>
          <w:left w:w="0" w:type="dxa"/>
          <w:bottom w:w="0" w:type="dxa"/>
          <w:right w:w="0" w:type="dxa"/>
        </w:tblCellMar>
      </w:tblPr>
      <w:tr>
        <w:trPr>
          <w:trHeight w:val="177"/>
        </w:trPr>
        <w:tc>
          <w:tcPr>
            <w:tcW w:w="55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20" w:type="dxa"/>
            <w:vAlign w:val="bottom"/>
          </w:tcPr>
          <w:p>
            <w:pPr>
              <w:jc w:val="right"/>
              <w:ind w:right="132"/>
              <w:spacing w:after="0"/>
              <w:rPr>
                <w:sz w:val="20"/>
                <w:szCs w:val="20"/>
                <w:color w:val="auto"/>
              </w:rPr>
            </w:pPr>
            <w:r>
              <w:rPr>
                <w:rFonts w:ascii="Arial" w:cs="Arial" w:eastAsia="Arial" w:hAnsi="Arial"/>
                <w:sz w:val="14"/>
                <w:szCs w:val="14"/>
                <w:b w:val="1"/>
                <w:bCs w:val="1"/>
                <w:color w:val="auto"/>
              </w:rPr>
              <w:t>September 30, 2020</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2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210"/>
        </w:trPr>
        <w:tc>
          <w:tcPr>
            <w:tcW w:w="5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Current assets</w:t>
            </w:r>
          </w:p>
        </w:tc>
        <w:tc>
          <w:tcPr>
            <w:tcW w:w="66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792,763</w:t>
            </w:r>
          </w:p>
        </w:tc>
        <w:tc>
          <w:tcPr>
            <w:tcW w:w="26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801,335</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Noncurrent assets</w:t>
            </w:r>
          </w:p>
        </w:tc>
        <w:tc>
          <w:tcPr>
            <w:tcW w:w="66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567,919</w:t>
            </w:r>
          </w:p>
        </w:tc>
        <w:tc>
          <w:tcPr>
            <w:tcW w:w="26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564,160</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5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assets</w:t>
            </w:r>
          </w:p>
        </w:tc>
        <w:tc>
          <w:tcPr>
            <w:tcW w:w="66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1,360,682</w:t>
            </w:r>
          </w:p>
        </w:tc>
        <w:tc>
          <w:tcPr>
            <w:tcW w:w="26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1,365,495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40" w:type="dxa"/>
            <w:vAlign w:val="bottom"/>
          </w:tcPr>
          <w:p>
            <w:pPr>
              <w:spacing w:after="0"/>
              <w:rPr>
                <w:sz w:val="20"/>
                <w:szCs w:val="20"/>
                <w:color w:val="auto"/>
              </w:rPr>
            </w:pPr>
            <w:r>
              <w:rPr>
                <w:rFonts w:ascii="Arial" w:cs="Arial" w:eastAsia="Arial" w:hAnsi="Arial"/>
                <w:sz w:val="18"/>
                <w:szCs w:val="18"/>
                <w:color w:val="auto"/>
              </w:rPr>
              <w:t>Current liabilities</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753,623</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655,495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FF0FC"/>
          </w:tcPr>
          <w:p>
            <w:pPr>
              <w:spacing w:after="0"/>
              <w:rPr>
                <w:sz w:val="20"/>
                <w:szCs w:val="20"/>
                <w:color w:val="auto"/>
              </w:rPr>
            </w:pPr>
            <w:r>
              <w:rPr>
                <w:rFonts w:ascii="Arial" w:cs="Arial" w:eastAsia="Arial" w:hAnsi="Arial"/>
                <w:sz w:val="18"/>
                <w:szCs w:val="18"/>
                <w:color w:val="auto"/>
              </w:rPr>
              <w:t>Noncurrent liabilities</w:t>
            </w:r>
          </w:p>
        </w:tc>
        <w:tc>
          <w:tcPr>
            <w:tcW w:w="66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493,576</w:t>
            </w:r>
          </w:p>
        </w:tc>
        <w:tc>
          <w:tcPr>
            <w:tcW w:w="26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507,131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5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Total liabilities</w:t>
            </w:r>
          </w:p>
        </w:tc>
        <w:tc>
          <w:tcPr>
            <w:tcW w:w="66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1,247,199</w:t>
            </w:r>
          </w:p>
        </w:tc>
        <w:tc>
          <w:tcPr>
            <w:tcW w:w="26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1,162,626</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4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joint venture equity</w:t>
            </w:r>
          </w:p>
        </w:tc>
        <w:tc>
          <w:tcPr>
            <w:tcW w:w="6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113,483</w:t>
            </w:r>
          </w:p>
        </w:tc>
        <w:tc>
          <w:tcPr>
            <w:tcW w:w="2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202,869</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40" w:type="dxa"/>
            <w:vAlign w:val="bottom"/>
            <w:vMerge w:val="restart"/>
          </w:tcPr>
          <w:p>
            <w:pPr>
              <w:spacing w:after="0"/>
              <w:rPr>
                <w:sz w:val="20"/>
                <w:szCs w:val="20"/>
                <w:color w:val="auto"/>
              </w:rPr>
            </w:pPr>
            <w:r>
              <w:rPr>
                <w:rFonts w:ascii="Arial" w:cs="Arial" w:eastAsia="Arial" w:hAnsi="Arial"/>
                <w:sz w:val="18"/>
                <w:szCs w:val="18"/>
                <w:color w:val="auto"/>
              </w:rPr>
              <w:t>Investments in and advances to unconsolidated joint ventures</w:t>
            </w: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5540" w:type="dxa"/>
            <w:vAlign w:val="bottom"/>
            <w:vMerge w:val="continue"/>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71,289</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68,620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78" w:lineRule="exact"/>
        <w:rPr>
          <w:sz w:val="20"/>
          <w:szCs w:val="20"/>
          <w:color w:val="auto"/>
        </w:rPr>
      </w:pPr>
    </w:p>
    <w:tbl>
      <w:tblPr>
        <w:tblLayout w:type="fixed"/>
        <w:tblInd w:w="580" w:type="dxa"/>
        <w:tblCellMar>
          <w:top w:w="0" w:type="dxa"/>
          <w:left w:w="0" w:type="dxa"/>
          <w:bottom w:w="0" w:type="dxa"/>
          <w:right w:w="0" w:type="dxa"/>
        </w:tblCellMar>
      </w:tblPr>
      <w:tr>
        <w:trPr>
          <w:trHeight w:val="177"/>
        </w:trPr>
        <w:tc>
          <w:tcPr>
            <w:tcW w:w="4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80" w:type="dxa"/>
            <w:vAlign w:val="bottom"/>
            <w:gridSpan w:val="4"/>
          </w:tcPr>
          <w:p>
            <w:pPr>
              <w:jc w:val="right"/>
              <w:ind w:right="556"/>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00" w:type="dxa"/>
            <w:vAlign w:val="bottom"/>
            <w:gridSpan w:val="5"/>
          </w:tcPr>
          <w:p>
            <w:pPr>
              <w:ind w:left="5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54"/>
        </w:trPr>
        <w:tc>
          <w:tcPr>
            <w:tcW w:w="4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gridSpan w:val="2"/>
          </w:tcPr>
          <w:p>
            <w:pPr>
              <w:ind w:left="20"/>
              <w:spacing w:after="0" w:line="154" w:lineRule="exact"/>
              <w:rPr>
                <w:sz w:val="20"/>
                <w:szCs w:val="20"/>
                <w:color w:val="auto"/>
              </w:rPr>
            </w:pPr>
            <w:r>
              <w:rPr>
                <w:rFonts w:ascii="Arial" w:cs="Arial" w:eastAsia="Arial" w:hAnsi="Arial"/>
                <w:sz w:val="14"/>
                <w:szCs w:val="14"/>
                <w:b w:val="1"/>
                <w:bCs w:val="1"/>
                <w:color w:val="auto"/>
              </w:rPr>
              <w:t>September 30,</w:t>
            </w:r>
          </w:p>
        </w:tc>
        <w:tc>
          <w:tcPr>
            <w:tcW w:w="10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right"/>
              <w:ind w:right="56"/>
              <w:spacing w:after="0" w:line="154" w:lineRule="exact"/>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gridSpan w:val="2"/>
          </w:tcPr>
          <w:p>
            <w:pPr>
              <w:ind w:left="20"/>
              <w:spacing w:after="0" w:line="154" w:lineRule="exact"/>
              <w:rPr>
                <w:sz w:val="20"/>
                <w:szCs w:val="20"/>
                <w:color w:val="auto"/>
              </w:rPr>
            </w:pPr>
            <w:r>
              <w:rPr>
                <w:rFonts w:ascii="Arial" w:cs="Arial" w:eastAsia="Arial" w:hAnsi="Arial"/>
                <w:sz w:val="14"/>
                <w:szCs w:val="14"/>
                <w:b w:val="1"/>
                <w:bCs w:val="1"/>
                <w:color w:val="auto"/>
              </w:rPr>
              <w:t>September 30,</w:t>
            </w:r>
          </w:p>
        </w:tc>
        <w:tc>
          <w:tcPr>
            <w:tcW w:w="1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right"/>
              <w:ind w:right="56"/>
              <w:spacing w:after="0" w:line="154" w:lineRule="exact"/>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4200" w:type="dxa"/>
            <w:vAlign w:val="bottom"/>
            <w:tcBorders>
              <w:bottom w:val="single" w:sz="8" w:color="CFF0FC"/>
            </w:tcBorders>
          </w:tcPr>
          <w:p>
            <w:pPr>
              <w:spacing w:after="0"/>
              <w:rPr>
                <w:sz w:val="15"/>
                <w:szCs w:val="15"/>
                <w:color w:val="auto"/>
              </w:rPr>
            </w:pPr>
          </w:p>
        </w:tc>
        <w:tc>
          <w:tcPr>
            <w:tcW w:w="20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594,640</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474,600</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1,286,087</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1,225,284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Costs</w:t>
            </w:r>
          </w:p>
        </w:tc>
        <w:tc>
          <w:tcPr>
            <w:tcW w:w="20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551,624</w:t>
            </w:r>
          </w:p>
        </w:tc>
        <w:tc>
          <w:tcPr>
            <w:tcW w:w="20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452,001</w:t>
            </w:r>
          </w:p>
        </w:tc>
        <w:tc>
          <w:tcPr>
            <w:tcW w:w="20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1,202,315</w:t>
            </w:r>
          </w:p>
        </w:tc>
        <w:tc>
          <w:tcPr>
            <w:tcW w:w="20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1,166,008</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43,016</w:t>
            </w:r>
          </w:p>
        </w:tc>
        <w:tc>
          <w:tcPr>
            <w:tcW w:w="2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22,599</w:t>
            </w:r>
          </w:p>
        </w:tc>
        <w:tc>
          <w:tcPr>
            <w:tcW w:w="2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83,772</w:t>
            </w:r>
          </w:p>
        </w:tc>
        <w:tc>
          <w:tcPr>
            <w:tcW w:w="2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59,276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0" w:type="dxa"/>
            <w:vAlign w:val="bottom"/>
            <w:vMerge w:val="restart"/>
          </w:tcPr>
          <w:p>
            <w:pPr>
              <w:spacing w:after="0"/>
              <w:rPr>
                <w:sz w:val="20"/>
                <w:szCs w:val="20"/>
                <w:color w:val="auto"/>
              </w:rPr>
            </w:pPr>
            <w:r>
              <w:rPr>
                <w:rFonts w:ascii="Arial" w:cs="Arial" w:eastAsia="Arial" w:hAnsi="Arial"/>
                <w:sz w:val="18"/>
                <w:szCs w:val="18"/>
                <w:color w:val="auto"/>
              </w:rPr>
              <w:t>Equity in earnings of unconsolidated joint ventures</w:t>
            </w: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20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16,741</w:t>
            </w: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7,274</w:t>
            </w: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26,624</w:t>
            </w: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29,305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jc w:val="both"/>
        <w:ind w:right="100" w:firstLine="637"/>
        <w:spacing w:after="0" w:line="273" w:lineRule="auto"/>
        <w:rPr>
          <w:sz w:val="20"/>
          <w:szCs w:val="20"/>
          <w:color w:val="auto"/>
        </w:rPr>
      </w:pPr>
      <w:r>
        <w:rPr>
          <w:rFonts w:ascii="Arial" w:cs="Arial" w:eastAsia="Arial" w:hAnsi="Arial"/>
          <w:sz w:val="17"/>
          <w:szCs w:val="17"/>
          <w:color w:val="auto"/>
        </w:rPr>
        <w:t>The Company received net distributions from its unconsolidated joint ventures for the three months ended September 30, 2020 and September 30, 2019 of $11.2 million and $13.7 million, respectively, and for the nine months ended September 30, 2020 and September 30,</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2019 of $23.2 million and $28.0 million, respectively.</w:t>
      </w:r>
    </w:p>
    <w:p>
      <w:pPr>
        <w:spacing w:after="0" w:line="318" w:lineRule="exact"/>
        <w:rPr>
          <w:sz w:val="20"/>
          <w:szCs w:val="20"/>
          <w:color w:val="auto"/>
        </w:rPr>
      </w:pPr>
    </w:p>
    <w:p>
      <w:pPr>
        <w:ind w:left="640" w:hanging="632"/>
        <w:spacing w:after="0"/>
        <w:tabs>
          <w:tab w:leader="none" w:pos="64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06" w:lineRule="exact"/>
        <w:rPr>
          <w:sz w:val="20"/>
          <w:szCs w:val="20"/>
          <w:color w:val="auto"/>
        </w:rPr>
      </w:pPr>
    </w:p>
    <w:p>
      <w:pPr>
        <w:ind w:firstLine="637"/>
        <w:spacing w:after="0" w:line="241" w:lineRule="auto"/>
        <w:rPr>
          <w:sz w:val="20"/>
          <w:szCs w:val="20"/>
          <w:color w:val="auto"/>
        </w:rPr>
      </w:pPr>
      <w:r>
        <w:rPr>
          <w:rFonts w:ascii="Arial" w:cs="Arial" w:eastAsia="Arial" w:hAnsi="Arial"/>
          <w:sz w:val="18"/>
          <w:szCs w:val="18"/>
          <w:color w:val="auto"/>
        </w:rPr>
        <w:t>The Company often provides services to unconsolidated joint ventures and revenues include amounts related to recovering overhead costs for these services. Revenues related to services the Company provided to unconsolidated joint ventures for the three months ended September 30, 2020 and September 30, 2019 were $42.0 million and $28.8 million, respectively, and for the nine months ended September 30, 2020 and September 30, 2019 were $124.7 million and $113.1 million, respectively. For the three months ended September 30, 2020 and September 30, 2019, the Company incurred $32.3 million and $20.5 million, respectively, and for the nine months ended September 30, 2020 and September 30, 2019, $98.3 million and $86.3 million, respectively, of reimbursable costs. Amounts included in the consolidated balance sheets related to services the Company provided to unconsolidated joint ventures are as follows (in thousands):</w:t>
      </w:r>
    </w:p>
    <w:p>
      <w:pPr>
        <w:spacing w:after="0" w:line="281" w:lineRule="exact"/>
        <w:rPr>
          <w:sz w:val="20"/>
          <w:szCs w:val="20"/>
          <w:color w:val="auto"/>
        </w:rPr>
      </w:pPr>
    </w:p>
    <w:tbl>
      <w:tblPr>
        <w:tblLayout w:type="fixed"/>
        <w:tblInd w:w="580" w:type="dxa"/>
        <w:tblCellMar>
          <w:top w:w="0" w:type="dxa"/>
          <w:left w:w="0" w:type="dxa"/>
          <w:bottom w:w="0" w:type="dxa"/>
          <w:right w:w="0" w:type="dxa"/>
        </w:tblCellMar>
      </w:tblPr>
      <w:tr>
        <w:trPr>
          <w:trHeight w:val="177"/>
        </w:trPr>
        <w:tc>
          <w:tcPr>
            <w:tcW w:w="6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jc w:val="right"/>
              <w:ind w:right="15"/>
              <w:spacing w:after="0"/>
              <w:rPr>
                <w:sz w:val="20"/>
                <w:szCs w:val="20"/>
                <w:color w:val="auto"/>
              </w:rPr>
            </w:pPr>
            <w:r>
              <w:rPr>
                <w:rFonts w:ascii="Arial" w:cs="Arial" w:eastAsia="Arial" w:hAnsi="Arial"/>
                <w:sz w:val="14"/>
                <w:szCs w:val="14"/>
                <w:b w:val="1"/>
                <w:bCs w:val="1"/>
                <w:color w:val="auto"/>
              </w:rPr>
              <w:t>September 30, 2020</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2019</w:t>
            </w:r>
          </w:p>
        </w:tc>
      </w:tr>
      <w:tr>
        <w:trPr>
          <w:trHeight w:val="210"/>
        </w:trPr>
        <w:tc>
          <w:tcPr>
            <w:tcW w:w="6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Accounts receivable</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35,838</w:t>
            </w:r>
          </w:p>
        </w:tc>
        <w:tc>
          <w:tcPr>
            <w:tcW w:w="2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37,425</w:t>
            </w: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Contract assets</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5,703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6,955</w:t>
            </w:r>
          </w:p>
        </w:tc>
        <w:tc>
          <w:tcPr>
            <w:tcW w:w="100" w:type="dxa"/>
            <w:vAlign w:val="bottom"/>
          </w:tcPr>
          <w:p>
            <w:pPr>
              <w:spacing w:after="0"/>
              <w:rPr>
                <w:sz w:val="18"/>
                <w:szCs w:val="18"/>
                <w:color w:val="auto"/>
              </w:rPr>
            </w:pPr>
          </w:p>
        </w:tc>
      </w:tr>
      <w:tr>
        <w:trPr>
          <w:trHeight w:val="216"/>
        </w:trPr>
        <w:tc>
          <w:tcPr>
            <w:tcW w:w="6620" w:type="dxa"/>
            <w:vAlign w:val="bottom"/>
            <w:shd w:val="clear" w:color="auto" w:fill="CFF0FC"/>
          </w:tcPr>
          <w:p>
            <w:pPr>
              <w:spacing w:after="0"/>
              <w:rPr>
                <w:sz w:val="20"/>
                <w:szCs w:val="20"/>
                <w:color w:val="auto"/>
              </w:rPr>
            </w:pPr>
            <w:r>
              <w:rPr>
                <w:rFonts w:ascii="Arial" w:cs="Arial" w:eastAsia="Arial" w:hAnsi="Arial"/>
                <w:sz w:val="18"/>
                <w:szCs w:val="18"/>
                <w:color w:val="auto"/>
              </w:rPr>
              <w:t>Contract liabilities</w:t>
            </w:r>
          </w:p>
        </w:tc>
        <w:tc>
          <w:tcPr>
            <w:tcW w:w="10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3,352</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4,509</w:t>
            </w:r>
          </w:p>
        </w:tc>
        <w:tc>
          <w:tcPr>
            <w:tcW w:w="100" w:type="dxa"/>
            <w:vAlign w:val="bottom"/>
            <w:shd w:val="clear" w:color="auto" w:fill="CFF0FC"/>
          </w:tcPr>
          <w:p>
            <w:pPr>
              <w:spacing w:after="0"/>
              <w:rPr>
                <w:sz w:val="18"/>
                <w:szCs w:val="18"/>
                <w:color w:val="auto"/>
              </w:rPr>
            </w:pPr>
          </w:p>
        </w:tc>
      </w:tr>
    </w:tbl>
    <w:p>
      <w:pPr>
        <w:spacing w:after="0" w:line="326" w:lineRule="exact"/>
        <w:rPr>
          <w:sz w:val="20"/>
          <w:szCs w:val="20"/>
          <w:color w:val="auto"/>
        </w:rPr>
      </w:pPr>
    </w:p>
    <w:p>
      <w:pPr>
        <w:ind w:left="640" w:hanging="632"/>
        <w:spacing w:after="0"/>
        <w:tabs>
          <w:tab w:leader="none" w:pos="64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106" w:lineRule="exact"/>
        <w:rPr>
          <w:sz w:val="20"/>
          <w:szCs w:val="20"/>
          <w:color w:val="auto"/>
        </w:rPr>
      </w:pPr>
    </w:p>
    <w:p>
      <w:pPr>
        <w:ind w:firstLine="637"/>
        <w:spacing w:after="0" w:line="245" w:lineRule="auto"/>
        <w:rPr>
          <w:sz w:val="20"/>
          <w:szCs w:val="20"/>
          <w:color w:val="auto"/>
        </w:rPr>
      </w:pPr>
      <w:r>
        <w:rPr>
          <w:rFonts w:ascii="Arial" w:cs="Arial" w:eastAsia="Arial" w:hAnsi="Arial"/>
          <w:sz w:val="18"/>
          <w:szCs w:val="18"/>
          <w:color w:val="auto"/>
        </w:rPr>
        <w:t>The authoritative guidance on fair value measurement defines fair value as the price that would be received to sell an asset or paid to transfer a liability in an orderly transaction between market participants at the measurement date (referred to as an “exit price”). At September 30, 2020 and December 31, 2019, the Company’s financial instruments include cash, cash equivalents, accounts receivable, accounts payable, and other liabilities. The fair values of these financial instruments approximate their carrying values due to their short-term maturities.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6" w:name="page27"/>
    <w:bookmarkEnd w:id="26"/>
    <w:p>
      <w:pPr>
        <w:ind w:left="640"/>
        <w:spacing w:after="0"/>
        <w:rPr>
          <w:sz w:val="20"/>
          <w:szCs w:val="20"/>
          <w:color w:val="auto"/>
        </w:rPr>
      </w:pPr>
      <w:r>
        <w:rPr>
          <w:rFonts w:ascii="Arial" w:cs="Arial" w:eastAsia="Arial" w:hAnsi="Arial"/>
          <w:sz w:val="18"/>
          <w:szCs w:val="18"/>
          <w:color w:val="auto"/>
        </w:rPr>
        <w:t>Investments measured at fair value are based on one or more of the following three valuation techniques:</w:t>
      </w:r>
    </w:p>
    <w:p>
      <w:pPr>
        <w:spacing w:after="0" w:line="104" w:lineRule="exact"/>
        <w:rPr>
          <w:sz w:val="20"/>
          <w:szCs w:val="20"/>
          <w:color w:val="auto"/>
        </w:rPr>
      </w:pPr>
    </w:p>
    <w:p>
      <w:pPr>
        <w:ind w:left="880" w:right="500" w:hanging="238"/>
        <w:spacing w:after="0" w:line="275" w:lineRule="auto"/>
        <w:tabs>
          <w:tab w:leader="none" w:pos="88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Market approach</w:t>
      </w:r>
      <w:r>
        <w:rPr>
          <w:rFonts w:ascii="Arial" w:cs="Arial" w:eastAsia="Arial" w:hAnsi="Arial"/>
          <w:sz w:val="18"/>
          <w:szCs w:val="18"/>
          <w:color w:val="auto"/>
        </w:rPr>
        <w:t>—Prices and other relevant information generated by market transactions involving identical or comparable</w:t>
      </w:r>
      <w:r>
        <w:rPr>
          <w:rFonts w:ascii="Arial" w:cs="Arial" w:eastAsia="Arial" w:hAnsi="Arial"/>
          <w:sz w:val="18"/>
          <w:szCs w:val="18"/>
          <w:i w:val="1"/>
          <w:iCs w:val="1"/>
          <w:color w:val="auto"/>
        </w:rPr>
        <w:t xml:space="preserve"> </w:t>
      </w:r>
      <w:r>
        <w:rPr>
          <w:rFonts w:ascii="Arial" w:cs="Arial" w:eastAsia="Arial" w:hAnsi="Arial"/>
          <w:sz w:val="18"/>
          <w:szCs w:val="18"/>
          <w:color w:val="auto"/>
        </w:rPr>
        <w:t>assets or liabilities;</w:t>
      </w:r>
    </w:p>
    <w:p>
      <w:pPr>
        <w:spacing w:after="0" w:line="37" w:lineRule="exact"/>
        <w:rPr>
          <w:rFonts w:ascii="Times New Roman" w:cs="Times New Roman" w:eastAsia="Times New Roman" w:hAnsi="Times New Roman"/>
          <w:sz w:val="18"/>
          <w:szCs w:val="18"/>
          <w:color w:val="auto"/>
        </w:rPr>
      </w:pPr>
    </w:p>
    <w:p>
      <w:pPr>
        <w:ind w:left="880" w:hanging="238"/>
        <w:spacing w:after="0"/>
        <w:tabs>
          <w:tab w:leader="none" w:pos="88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Cost approach</w:t>
      </w:r>
      <w:r>
        <w:rPr>
          <w:rFonts w:ascii="Arial" w:cs="Arial" w:eastAsia="Arial" w:hAnsi="Arial"/>
          <w:sz w:val="18"/>
          <w:szCs w:val="18"/>
          <w:color w:val="auto"/>
        </w:rPr>
        <w:t>—Amount that would be required to replace the service capacity of an asset (i.e., replacement cost); and</w:t>
      </w:r>
    </w:p>
    <w:p>
      <w:pPr>
        <w:spacing w:after="0" w:line="116" w:lineRule="exact"/>
        <w:rPr>
          <w:rFonts w:ascii="Times New Roman" w:cs="Times New Roman" w:eastAsia="Times New Roman" w:hAnsi="Times New Roman"/>
          <w:sz w:val="18"/>
          <w:szCs w:val="18"/>
          <w:color w:val="auto"/>
        </w:rPr>
      </w:pPr>
    </w:p>
    <w:p>
      <w:pPr>
        <w:ind w:left="880" w:right="340" w:hanging="238"/>
        <w:spacing w:after="0" w:line="275" w:lineRule="auto"/>
        <w:tabs>
          <w:tab w:leader="none" w:pos="88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Income approach</w:t>
      </w:r>
      <w:r>
        <w:rPr>
          <w:rFonts w:ascii="Arial" w:cs="Arial" w:eastAsia="Arial" w:hAnsi="Arial"/>
          <w:sz w:val="18"/>
          <w:szCs w:val="18"/>
          <w:color w:val="auto"/>
        </w:rPr>
        <w:t>—Techniques to convert future amounts to a single present amount based on market expectations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present value techniques, option-pricing models and lattice models).</w:t>
      </w:r>
    </w:p>
    <w:p>
      <w:pPr>
        <w:spacing w:after="0" w:line="146" w:lineRule="exact"/>
        <w:rPr>
          <w:sz w:val="20"/>
          <w:szCs w:val="20"/>
          <w:color w:val="auto"/>
        </w:rPr>
      </w:pPr>
    </w:p>
    <w:p>
      <w:pPr>
        <w:ind w:right="40" w:firstLine="637"/>
        <w:spacing w:after="0" w:line="255" w:lineRule="auto"/>
        <w:rPr>
          <w:sz w:val="20"/>
          <w:szCs w:val="20"/>
          <w:color w:val="auto"/>
        </w:rPr>
      </w:pPr>
      <w:r>
        <w:rPr>
          <w:rFonts w:ascii="Arial" w:cs="Arial" w:eastAsia="Arial" w:hAnsi="Arial"/>
          <w:sz w:val="18"/>
          <w:szCs w:val="18"/>
          <w:color w:val="auto"/>
        </w:rPr>
        <w:t>In addition, the guidance establishes a fair value hierarchy that prioritizes the inputs to valuation techniques used to measure fair value. The hierarchy gives the highest priority to unadjusted quoted market prices in active markets for identical assets and liabilities (Level 1 measurements) and the lowest priority to unobservable inputs (Level 3 measurements). The three levels of the fair value hierarchy are:</w:t>
      </w:r>
    </w:p>
    <w:p>
      <w:pPr>
        <w:spacing w:after="0" w:line="5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Level 1Unadjusted quoted prices in active markets that are accessible at the measurement date for identical assets and liabilities;</w:t>
      </w:r>
    </w:p>
    <w:p>
      <w:pPr>
        <w:spacing w:after="0" w:line="104" w:lineRule="exact"/>
        <w:rPr>
          <w:sz w:val="20"/>
          <w:szCs w:val="20"/>
          <w:color w:val="auto"/>
        </w:rPr>
      </w:pPr>
    </w:p>
    <w:p>
      <w:pPr>
        <w:ind w:left="1220" w:right="220" w:hanging="580"/>
        <w:spacing w:after="0" w:line="276" w:lineRule="auto"/>
        <w:rPr>
          <w:sz w:val="20"/>
          <w:szCs w:val="20"/>
          <w:color w:val="auto"/>
        </w:rPr>
      </w:pPr>
      <w:r>
        <w:rPr>
          <w:rFonts w:ascii="Arial" w:cs="Arial" w:eastAsia="Arial" w:hAnsi="Arial"/>
          <w:sz w:val="18"/>
          <w:szCs w:val="18"/>
          <w:color w:val="auto"/>
        </w:rPr>
        <w:t>Level 2Pricing inputs that include quoted prices for similar assets and liabilities in active markets and inputs that are observable for the asset or liability, either directly or indirectly, for substantially the full term of the instrument; and</w:t>
      </w:r>
    </w:p>
    <w:p>
      <w:pPr>
        <w:spacing w:after="0" w:line="3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Level 3Prices or valuations that require inputs that are both significant to the fair value measurements and unobservable.</w:t>
      </w:r>
    </w:p>
    <w:p>
      <w:pPr>
        <w:spacing w:after="0" w:line="212" w:lineRule="exact"/>
        <w:rPr>
          <w:sz w:val="20"/>
          <w:szCs w:val="20"/>
          <w:color w:val="auto"/>
        </w:rPr>
      </w:pPr>
    </w:p>
    <w:p>
      <w:pPr>
        <w:ind w:right="180" w:firstLine="637"/>
        <w:spacing w:after="0" w:line="248" w:lineRule="auto"/>
        <w:rPr>
          <w:sz w:val="20"/>
          <w:szCs w:val="20"/>
          <w:color w:val="auto"/>
        </w:rPr>
      </w:pPr>
      <w:r>
        <w:rPr>
          <w:rFonts w:ascii="Arial" w:cs="Arial" w:eastAsia="Arial" w:hAnsi="Arial"/>
          <w:sz w:val="18"/>
          <w:szCs w:val="18"/>
          <w:color w:val="auto"/>
        </w:rPr>
        <w:t>The methods described above may produce a fair value calculation that may not be indicative of net realizable value or reflective of future fair values. Furthermore, while the Company believes its valuation methods are appropriate and consistent with other market participants, the use of different methodologies or assumptions to determine the fair value of certain financial instruments could result in a different fair value measurement at the reporting date.</w:t>
      </w:r>
    </w:p>
    <w:p>
      <w:pPr>
        <w:spacing w:after="0" w:line="170" w:lineRule="exact"/>
        <w:rPr>
          <w:sz w:val="20"/>
          <w:szCs w:val="20"/>
          <w:color w:val="auto"/>
        </w:rPr>
      </w:pPr>
    </w:p>
    <w:p>
      <w:pPr>
        <w:ind w:right="200" w:firstLine="637"/>
        <w:spacing w:after="0" w:line="255" w:lineRule="auto"/>
        <w:rPr>
          <w:sz w:val="20"/>
          <w:szCs w:val="20"/>
          <w:color w:val="auto"/>
        </w:rPr>
      </w:pPr>
      <w:r>
        <w:rPr>
          <w:rFonts w:ascii="Arial" w:cs="Arial" w:eastAsia="Arial" w:hAnsi="Arial"/>
          <w:sz w:val="18"/>
          <w:szCs w:val="18"/>
          <w:color w:val="auto"/>
        </w:rPr>
        <w:t>Refer to Notes to Consolidated Financial Statements included in the Company’s Form 10-K for the year ended December 31, 2019 for a more complete discussion of the various items within the consolidated financial statements measured at fair value and the methods used to determine fair value.</w:t>
      </w:r>
    </w:p>
    <w:p>
      <w:pPr>
        <w:spacing w:after="0" w:line="54" w:lineRule="exact"/>
        <w:rPr>
          <w:sz w:val="20"/>
          <w:szCs w:val="20"/>
          <w:color w:val="auto"/>
        </w:rPr>
      </w:pPr>
    </w:p>
    <w:p>
      <w:pPr>
        <w:ind w:left="640" w:hanging="632"/>
        <w:spacing w:after="0"/>
        <w:tabs>
          <w:tab w:leader="none" w:pos="64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106" w:lineRule="exact"/>
        <w:rPr>
          <w:sz w:val="20"/>
          <w:szCs w:val="20"/>
          <w:color w:val="auto"/>
        </w:rPr>
      </w:pPr>
    </w:p>
    <w:p>
      <w:pPr>
        <w:ind w:firstLine="637"/>
        <w:spacing w:after="0" w:line="243" w:lineRule="auto"/>
        <w:rPr>
          <w:sz w:val="20"/>
          <w:szCs w:val="20"/>
          <w:color w:val="auto"/>
        </w:rPr>
      </w:pPr>
      <w:r>
        <w:rPr>
          <w:rFonts w:ascii="Arial" w:cs="Arial" w:eastAsia="Arial" w:hAnsi="Arial"/>
          <w:sz w:val="18"/>
          <w:szCs w:val="18"/>
          <w:color w:val="auto"/>
        </w:rPr>
        <w:t>The following tables reconcile the denominator and numerator used to compute basic earnings per share (“EPS”) to the denominator and numerator used to compute diluted EPS for the three and nine months ended September 30, 2020 and September 30, 2019. Basic EPS is computed using the weighted average number of shares outstanding during the period and income available to shareholders. Diluted EPS is computed similar to basic EPS, except the income available to shareholders is adjusted to add back interest expense, after tax related to the Convertible Senior Note, and the weighted average number of shares outstanding is adjusted to reflect the dilutive effects of equity-based awards and shares underlying the Convertible Senior Note.</w:t>
      </w:r>
    </w:p>
    <w:p>
      <w:pPr>
        <w:spacing w:after="0" w:line="16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Convertible Senior Note dilution impact is calculated using the if-converted method which will be required upon adoption of ASU 2020-</w:t>
      </w:r>
    </w:p>
    <w:p>
      <w:pPr>
        <w:spacing w:after="0" w:line="18" w:lineRule="exact"/>
        <w:rPr>
          <w:sz w:val="20"/>
          <w:szCs w:val="20"/>
          <w:color w:val="auto"/>
        </w:rPr>
      </w:pPr>
    </w:p>
    <w:p>
      <w:pPr>
        <w:ind w:right="120" w:firstLine="8"/>
        <w:spacing w:after="0" w:line="239" w:lineRule="auto"/>
        <w:tabs>
          <w:tab w:leader="none" w:pos="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As a result, the Company elected to adopt the if-converted method under the present accounting. In connection with the offerings of our note, the Company entered into a convertible note hedge and warrants (see Note 10 Debt and Credit Facilities); however, the convertible note hedge is not considered when calculating dilutive shares given its impact is anti-dilutive. The impact of the bond hedge would offset the dilutive impact of the shares underlying the Convertible Senior Note. The warrants have a strike price above our average share price during the period and are out of the money and not included in the tables below.</w:t>
      </w:r>
    </w:p>
    <w:p>
      <w:pPr>
        <w:spacing w:after="0" w:line="68" w:lineRule="exact"/>
        <w:rPr>
          <w:sz w:val="20"/>
          <w:szCs w:val="20"/>
          <w:color w:val="auto"/>
        </w:rPr>
      </w:pPr>
    </w:p>
    <w:p>
      <w:pPr>
        <w:ind w:right="20" w:firstLine="637"/>
        <w:spacing w:after="0" w:line="246" w:lineRule="auto"/>
        <w:rPr>
          <w:sz w:val="20"/>
          <w:szCs w:val="20"/>
          <w:color w:val="auto"/>
        </w:rPr>
      </w:pPr>
      <w:r>
        <w:rPr>
          <w:rFonts w:ascii="Arial" w:cs="Arial" w:eastAsia="Arial" w:hAnsi="Arial"/>
          <w:sz w:val="18"/>
          <w:szCs w:val="18"/>
          <w:color w:val="auto"/>
        </w:rPr>
        <w:t>Dilutive potential common shares include shares the Company could be obligated to issue from its Convertible Senior Notes and warrants (see Note 10 for further discussion) and equity-based awards. Shares to be provided to the Company from its bond hedge purchased concurrently with the issuance of Convertible Senior Notes are anti-dilutive and are not included in its diluted shares. Anti-dilutive equity-based awards excluded from the calculation of earnings per share for the three and nine months ended September 30, 2020 were 205</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and 3,318, respectively.</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7" w:name="page28"/>
    <w:bookmarkEnd w:id="27"/>
    <w:p>
      <w:pPr>
        <w:ind w:left="640"/>
        <w:spacing w:after="0"/>
        <w:rPr>
          <w:sz w:val="20"/>
          <w:szCs w:val="20"/>
          <w:color w:val="auto"/>
        </w:rPr>
      </w:pPr>
      <w:r>
        <w:rPr>
          <w:rFonts w:ascii="Arial" w:cs="Arial" w:eastAsia="Arial" w:hAnsi="Arial"/>
          <w:sz w:val="18"/>
          <w:szCs w:val="18"/>
          <w:color w:val="auto"/>
        </w:rPr>
        <w:t>The weighted average number of shares used to compute basic and diluted EPS were:</w:t>
      </w:r>
    </w:p>
    <w:p>
      <w:pPr>
        <w:spacing w:after="0" w:line="314" w:lineRule="exact"/>
        <w:rPr>
          <w:sz w:val="20"/>
          <w:szCs w:val="20"/>
          <w:color w:val="auto"/>
        </w:rPr>
      </w:pPr>
    </w:p>
    <w:tbl>
      <w:tblPr>
        <w:tblLayout w:type="fixed"/>
        <w:tblInd w:w="580" w:type="dxa"/>
        <w:tblCellMar>
          <w:top w:w="0" w:type="dxa"/>
          <w:left w:w="0" w:type="dxa"/>
          <w:bottom w:w="0" w:type="dxa"/>
          <w:right w:w="0" w:type="dxa"/>
        </w:tblCellMar>
      </w:tblPr>
      <w:tr>
        <w:trPr>
          <w:trHeight w:val="177"/>
        </w:trPr>
        <w:tc>
          <w:tcPr>
            <w:tcW w:w="5080" w:type="dxa"/>
            <w:vAlign w:val="bottom"/>
          </w:tcPr>
          <w:p>
            <w:pPr>
              <w:spacing w:after="0"/>
              <w:rPr>
                <w:sz w:val="15"/>
                <w:szCs w:val="15"/>
                <w:color w:val="auto"/>
              </w:rPr>
            </w:pPr>
          </w:p>
        </w:tc>
        <w:tc>
          <w:tcPr>
            <w:tcW w:w="2560" w:type="dxa"/>
            <w:vAlign w:val="bottom"/>
            <w:gridSpan w:val="4"/>
          </w:tcPr>
          <w:p>
            <w:pPr>
              <w:ind w:left="460"/>
              <w:spacing w:after="0"/>
              <w:rPr>
                <w:sz w:val="20"/>
                <w:szCs w:val="20"/>
                <w:color w:val="auto"/>
              </w:rPr>
            </w:pPr>
            <w:r>
              <w:rPr>
                <w:rFonts w:ascii="Arial" w:cs="Arial" w:eastAsia="Arial" w:hAnsi="Arial"/>
                <w:sz w:val="14"/>
                <w:szCs w:val="14"/>
                <w:b w:val="1"/>
                <w:bCs w:val="1"/>
                <w:color w:val="auto"/>
              </w:rPr>
              <w:t>Three Months Ended</w:t>
            </w:r>
          </w:p>
        </w:tc>
        <w:tc>
          <w:tcPr>
            <w:tcW w:w="2460" w:type="dxa"/>
            <w:vAlign w:val="bottom"/>
            <w:gridSpan w:val="4"/>
          </w:tcPr>
          <w:p>
            <w:pPr>
              <w:ind w:left="500"/>
              <w:spacing w:after="0"/>
              <w:rPr>
                <w:sz w:val="20"/>
                <w:szCs w:val="20"/>
                <w:color w:val="auto"/>
              </w:rPr>
            </w:pPr>
            <w:r>
              <w:rPr>
                <w:rFonts w:ascii="Arial" w:cs="Arial" w:eastAsia="Arial" w:hAnsi="Arial"/>
                <w:sz w:val="14"/>
                <w:szCs w:val="14"/>
                <w:b w:val="1"/>
                <w:bCs w:val="1"/>
                <w:color w:val="auto"/>
              </w:rPr>
              <w:t>Nine Months Ended</w:t>
            </w:r>
          </w:p>
        </w:tc>
      </w:tr>
      <w:tr>
        <w:trPr>
          <w:trHeight w:val="154"/>
        </w:trPr>
        <w:tc>
          <w:tcPr>
            <w:tcW w:w="5080" w:type="dxa"/>
            <w:vAlign w:val="bottom"/>
          </w:tcPr>
          <w:p>
            <w:pPr>
              <w:spacing w:after="0"/>
              <w:rPr>
                <w:sz w:val="13"/>
                <w:szCs w:val="13"/>
                <w:color w:val="auto"/>
              </w:rPr>
            </w:pPr>
          </w:p>
        </w:tc>
        <w:tc>
          <w:tcPr>
            <w:tcW w:w="1340" w:type="dxa"/>
            <w:vAlign w:val="bottom"/>
            <w:tcBorders>
              <w:top w:val="single" w:sz="8" w:color="auto"/>
            </w:tcBorders>
            <w:gridSpan w:val="2"/>
          </w:tcPr>
          <w:p>
            <w:pPr>
              <w:ind w:left="60"/>
              <w:spacing w:after="0" w:line="154" w:lineRule="exact"/>
              <w:rPr>
                <w:sz w:val="20"/>
                <w:szCs w:val="20"/>
                <w:color w:val="auto"/>
              </w:rPr>
            </w:pPr>
            <w:r>
              <w:rPr>
                <w:rFonts w:ascii="Arial" w:cs="Arial" w:eastAsia="Arial" w:hAnsi="Arial"/>
                <w:sz w:val="14"/>
                <w:szCs w:val="14"/>
                <w:b w:val="1"/>
                <w:bCs w:val="1"/>
                <w:color w:val="auto"/>
              </w:rPr>
              <w:t>September 30,</w:t>
            </w:r>
          </w:p>
        </w:tc>
        <w:tc>
          <w:tcPr>
            <w:tcW w:w="1020" w:type="dxa"/>
            <w:vAlign w:val="bottom"/>
            <w:tcBorders>
              <w:top w:val="single" w:sz="8" w:color="auto"/>
            </w:tcBorders>
          </w:tcPr>
          <w:p>
            <w:pPr>
              <w:jc w:val="right"/>
              <w:spacing w:after="0" w:line="154" w:lineRule="exact"/>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3"/>
                <w:szCs w:val="13"/>
                <w:color w:val="auto"/>
              </w:rPr>
            </w:pPr>
          </w:p>
        </w:tc>
        <w:tc>
          <w:tcPr>
            <w:tcW w:w="1340" w:type="dxa"/>
            <w:vAlign w:val="bottom"/>
            <w:tcBorders>
              <w:top w:val="single" w:sz="8" w:color="auto"/>
            </w:tcBorders>
            <w:gridSpan w:val="2"/>
          </w:tcPr>
          <w:p>
            <w:pPr>
              <w:ind w:left="80"/>
              <w:spacing w:after="0" w:line="154" w:lineRule="exact"/>
              <w:rPr>
                <w:sz w:val="20"/>
                <w:szCs w:val="20"/>
                <w:color w:val="auto"/>
              </w:rPr>
            </w:pPr>
            <w:r>
              <w:rPr>
                <w:rFonts w:ascii="Arial" w:cs="Arial" w:eastAsia="Arial" w:hAnsi="Arial"/>
                <w:sz w:val="14"/>
                <w:szCs w:val="14"/>
                <w:b w:val="1"/>
                <w:bCs w:val="1"/>
                <w:color w:val="auto"/>
              </w:rPr>
              <w:t>September 30,</w:t>
            </w:r>
          </w:p>
        </w:tc>
        <w:tc>
          <w:tcPr>
            <w:tcW w:w="1020" w:type="dxa"/>
            <w:vAlign w:val="bottom"/>
            <w:tcBorders>
              <w:top w:val="single" w:sz="8" w:color="auto"/>
            </w:tcBorders>
          </w:tcPr>
          <w:p>
            <w:pPr>
              <w:jc w:val="right"/>
              <w:spacing w:after="0" w:line="154" w:lineRule="exact"/>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3"/>
                <w:szCs w:val="13"/>
                <w:color w:val="auto"/>
              </w:rPr>
            </w:pPr>
          </w:p>
        </w:tc>
      </w:tr>
      <w:tr>
        <w:trPr>
          <w:trHeight w:val="177"/>
        </w:trPr>
        <w:tc>
          <w:tcPr>
            <w:tcW w:w="5080" w:type="dxa"/>
            <w:vAlign w:val="bottom"/>
            <w:tcBorders>
              <w:bottom w:val="single" w:sz="8" w:color="CFF0FC"/>
            </w:tcBorders>
          </w:tcPr>
          <w:p>
            <w:pPr>
              <w:spacing w:after="0"/>
              <w:rPr>
                <w:sz w:val="15"/>
                <w:szCs w:val="15"/>
                <w:color w:val="auto"/>
              </w:rPr>
            </w:pPr>
          </w:p>
        </w:tc>
        <w:tc>
          <w:tcPr>
            <w:tcW w:w="1120" w:type="dxa"/>
            <w:vAlign w:val="bottom"/>
            <w:tcBorders>
              <w:bottom w:val="single" w:sz="8" w:color="auto"/>
            </w:tcBorders>
          </w:tcPr>
          <w:p>
            <w:pPr>
              <w:jc w:val="right"/>
              <w:ind w:right="318"/>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FF0FC"/>
            </w:tcBorders>
          </w:tcPr>
          <w:p>
            <w:pPr>
              <w:spacing w:after="0"/>
              <w:rPr>
                <w:sz w:val="15"/>
                <w:szCs w:val="15"/>
                <w:color w:val="auto"/>
              </w:rPr>
            </w:pPr>
          </w:p>
        </w:tc>
        <w:tc>
          <w:tcPr>
            <w:tcW w:w="1120" w:type="dxa"/>
            <w:vAlign w:val="bottom"/>
            <w:tcBorders>
              <w:bottom w:val="single" w:sz="8" w:color="auto"/>
            </w:tcBorders>
          </w:tcPr>
          <w:p>
            <w:pPr>
              <w:jc w:val="right"/>
              <w:ind w:right="318"/>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5"/>
                <w:szCs w:val="15"/>
                <w:color w:val="auto"/>
              </w:rPr>
            </w:pPr>
          </w:p>
        </w:tc>
      </w:tr>
      <w:tr>
        <w:trPr>
          <w:trHeight w:val="210"/>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Basic weighted average number of shares outstanding</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100,736,862</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99,434,877</w:t>
            </w:r>
          </w:p>
        </w:tc>
        <w:tc>
          <w:tcPr>
            <w:tcW w:w="2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100,700,498</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89,977,493</w:t>
            </w:r>
          </w:p>
        </w:tc>
        <w:tc>
          <w:tcPr>
            <w:tcW w:w="100" w:type="dxa"/>
            <w:vAlign w:val="bottom"/>
            <w:shd w:val="clear" w:color="auto" w:fill="CFF0FC"/>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Equity-based awards</w:t>
            </w:r>
          </w:p>
        </w:tc>
        <w:tc>
          <w:tcPr>
            <w:tcW w:w="1120" w:type="dxa"/>
            <w:vAlign w:val="bottom"/>
          </w:tcPr>
          <w:p>
            <w:pPr>
              <w:jc w:val="right"/>
              <w:spacing w:after="0"/>
              <w:rPr>
                <w:sz w:val="20"/>
                <w:szCs w:val="20"/>
                <w:color w:val="auto"/>
              </w:rPr>
            </w:pPr>
            <w:r>
              <w:rPr>
                <w:rFonts w:ascii="Arial" w:cs="Arial" w:eastAsia="Arial" w:hAnsi="Arial"/>
                <w:sz w:val="18"/>
                <w:szCs w:val="18"/>
                <w:color w:val="auto"/>
              </w:rPr>
              <w:t>378,486</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321,070</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Convertible senior notes</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4,458,265</w:t>
            </w:r>
          </w:p>
        </w:tc>
        <w:tc>
          <w:tcPr>
            <w:tcW w:w="220" w:type="dxa"/>
            <w:vAlign w:val="bottom"/>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r>
      <w:tr>
        <w:trPr>
          <w:trHeight w:val="210"/>
        </w:trPr>
        <w:tc>
          <w:tcPr>
            <w:tcW w:w="5080" w:type="dxa"/>
            <w:vAlign w:val="bottom"/>
          </w:tcPr>
          <w:p>
            <w:pPr>
              <w:spacing w:after="0"/>
              <w:rPr>
                <w:sz w:val="20"/>
                <w:szCs w:val="20"/>
                <w:color w:val="auto"/>
              </w:rPr>
            </w:pPr>
            <w:r>
              <w:rPr>
                <w:rFonts w:ascii="Arial" w:cs="Arial" w:eastAsia="Arial" w:hAnsi="Arial"/>
                <w:sz w:val="18"/>
                <w:szCs w:val="18"/>
                <w:color w:val="auto"/>
              </w:rPr>
              <w:t>Diluted weighted average number of shares outstanding</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105,573,613</w:t>
            </w:r>
          </w:p>
        </w:tc>
        <w:tc>
          <w:tcPr>
            <w:tcW w:w="22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99,434,877</w:t>
            </w:r>
          </w:p>
        </w:tc>
        <w:tc>
          <w:tcPr>
            <w:tcW w:w="20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101,021,568</w:t>
            </w:r>
          </w:p>
        </w:tc>
        <w:tc>
          <w:tcPr>
            <w:tcW w:w="22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89,977,493</w:t>
            </w:r>
          </w:p>
        </w:tc>
        <w:tc>
          <w:tcPr>
            <w:tcW w:w="100" w:type="dxa"/>
            <w:vAlign w:val="bottom"/>
          </w:tcPr>
          <w:p>
            <w:pPr>
              <w:spacing w:after="0"/>
              <w:rPr>
                <w:sz w:val="18"/>
                <w:szCs w:val="18"/>
                <w:color w:val="auto"/>
              </w:rPr>
            </w:pPr>
          </w:p>
        </w:tc>
      </w:tr>
      <w:tr>
        <w:trPr>
          <w:trHeight w:val="20"/>
        </w:trPr>
        <w:tc>
          <w:tcPr>
            <w:tcW w:w="50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net income available to shareholders to compute basic and diluted EPS were (in thousands):</w:t>
      </w:r>
    </w:p>
    <w:p>
      <w:pPr>
        <w:spacing w:after="0" w:line="71" w:lineRule="exact"/>
        <w:rPr>
          <w:sz w:val="20"/>
          <w:szCs w:val="20"/>
          <w:color w:val="auto"/>
        </w:rPr>
      </w:pPr>
    </w:p>
    <w:tbl>
      <w:tblPr>
        <w:tblLayout w:type="fixed"/>
        <w:tblInd w:w="580" w:type="dxa"/>
        <w:tblCellMar>
          <w:top w:w="0" w:type="dxa"/>
          <w:left w:w="0" w:type="dxa"/>
          <w:bottom w:w="0" w:type="dxa"/>
          <w:right w:w="0" w:type="dxa"/>
        </w:tblCellMar>
      </w:tblPr>
      <w:tr>
        <w:trPr>
          <w:trHeight w:val="177"/>
        </w:trPr>
        <w:tc>
          <w:tcPr>
            <w:tcW w:w="5260" w:type="dxa"/>
            <w:vAlign w:val="bottom"/>
          </w:tcPr>
          <w:p>
            <w:pPr>
              <w:spacing w:after="0"/>
              <w:rPr>
                <w:sz w:val="15"/>
                <w:szCs w:val="15"/>
                <w:color w:val="auto"/>
              </w:rPr>
            </w:pPr>
          </w:p>
        </w:tc>
        <w:tc>
          <w:tcPr>
            <w:tcW w:w="2480" w:type="dxa"/>
            <w:vAlign w:val="bottom"/>
            <w:gridSpan w:val="4"/>
          </w:tcPr>
          <w:p>
            <w:pPr>
              <w:ind w:left="400"/>
              <w:spacing w:after="0"/>
              <w:rPr>
                <w:sz w:val="20"/>
                <w:szCs w:val="20"/>
                <w:color w:val="auto"/>
              </w:rPr>
            </w:pPr>
            <w:r>
              <w:rPr>
                <w:rFonts w:ascii="Arial" w:cs="Arial" w:eastAsia="Arial" w:hAnsi="Arial"/>
                <w:sz w:val="14"/>
                <w:szCs w:val="14"/>
                <w:b w:val="1"/>
                <w:bCs w:val="1"/>
                <w:color w:val="auto"/>
              </w:rPr>
              <w:t>Three Months Ended</w:t>
            </w:r>
          </w:p>
        </w:tc>
        <w:tc>
          <w:tcPr>
            <w:tcW w:w="2360" w:type="dxa"/>
            <w:vAlign w:val="bottom"/>
            <w:gridSpan w:val="4"/>
          </w:tcPr>
          <w:p>
            <w:pPr>
              <w:ind w:left="440"/>
              <w:spacing w:after="0"/>
              <w:rPr>
                <w:sz w:val="20"/>
                <w:szCs w:val="20"/>
                <w:color w:val="auto"/>
              </w:rPr>
            </w:pPr>
            <w:r>
              <w:rPr>
                <w:rFonts w:ascii="Arial" w:cs="Arial" w:eastAsia="Arial" w:hAnsi="Arial"/>
                <w:sz w:val="14"/>
                <w:szCs w:val="14"/>
                <w:b w:val="1"/>
                <w:bCs w:val="1"/>
                <w:color w:val="auto"/>
              </w:rPr>
              <w:t>Nine Months Ended</w:t>
            </w:r>
          </w:p>
        </w:tc>
      </w:tr>
      <w:tr>
        <w:trPr>
          <w:trHeight w:val="154"/>
        </w:trPr>
        <w:tc>
          <w:tcPr>
            <w:tcW w:w="5260" w:type="dxa"/>
            <w:vAlign w:val="bottom"/>
          </w:tcPr>
          <w:p>
            <w:pPr>
              <w:spacing w:after="0"/>
              <w:rPr>
                <w:sz w:val="13"/>
                <w:szCs w:val="13"/>
                <w:color w:val="auto"/>
              </w:rPr>
            </w:pPr>
          </w:p>
        </w:tc>
        <w:tc>
          <w:tcPr>
            <w:tcW w:w="1220" w:type="dxa"/>
            <w:vAlign w:val="bottom"/>
            <w:tcBorders>
              <w:top w:val="single" w:sz="8" w:color="auto"/>
            </w:tcBorders>
            <w:gridSpan w:val="2"/>
          </w:tcPr>
          <w:p>
            <w:pPr>
              <w:spacing w:after="0" w:line="154" w:lineRule="exact"/>
              <w:rPr>
                <w:sz w:val="20"/>
                <w:szCs w:val="20"/>
                <w:color w:val="auto"/>
              </w:rPr>
            </w:pPr>
            <w:r>
              <w:rPr>
                <w:rFonts w:ascii="Arial" w:cs="Arial" w:eastAsia="Arial" w:hAnsi="Arial"/>
                <w:sz w:val="14"/>
                <w:szCs w:val="14"/>
                <w:b w:val="1"/>
                <w:bCs w:val="1"/>
                <w:color w:val="auto"/>
              </w:rPr>
              <w:t>September 30,</w:t>
            </w:r>
          </w:p>
        </w:tc>
        <w:tc>
          <w:tcPr>
            <w:tcW w:w="1040" w:type="dxa"/>
            <w:vAlign w:val="bottom"/>
            <w:tcBorders>
              <w:top w:val="single" w:sz="8" w:color="auto"/>
            </w:tcBorders>
          </w:tcPr>
          <w:p>
            <w:pPr>
              <w:jc w:val="right"/>
              <w:spacing w:after="0" w:line="154"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3"/>
                <w:szCs w:val="13"/>
                <w:color w:val="auto"/>
              </w:rPr>
            </w:pPr>
          </w:p>
        </w:tc>
        <w:tc>
          <w:tcPr>
            <w:tcW w:w="1240" w:type="dxa"/>
            <w:vAlign w:val="bottom"/>
            <w:tcBorders>
              <w:top w:val="single" w:sz="8" w:color="auto"/>
            </w:tcBorders>
            <w:gridSpan w:val="2"/>
          </w:tcPr>
          <w:p>
            <w:pPr>
              <w:spacing w:after="0" w:line="154" w:lineRule="exact"/>
              <w:rPr>
                <w:sz w:val="20"/>
                <w:szCs w:val="20"/>
                <w:color w:val="auto"/>
              </w:rPr>
            </w:pPr>
            <w:r>
              <w:rPr>
                <w:rFonts w:ascii="Arial" w:cs="Arial" w:eastAsia="Arial" w:hAnsi="Arial"/>
                <w:sz w:val="14"/>
                <w:szCs w:val="14"/>
                <w:b w:val="1"/>
                <w:bCs w:val="1"/>
                <w:color w:val="auto"/>
              </w:rPr>
              <w:t>September 30,</w:t>
            </w:r>
          </w:p>
        </w:tc>
        <w:tc>
          <w:tcPr>
            <w:tcW w:w="1020" w:type="dxa"/>
            <w:vAlign w:val="bottom"/>
            <w:tcBorders>
              <w:top w:val="single" w:sz="8" w:color="auto"/>
            </w:tcBorders>
          </w:tcPr>
          <w:p>
            <w:pPr>
              <w:jc w:val="right"/>
              <w:spacing w:after="0" w:line="154" w:lineRule="exact"/>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3"/>
                <w:szCs w:val="13"/>
                <w:color w:val="auto"/>
              </w:rPr>
            </w:pPr>
          </w:p>
        </w:tc>
      </w:tr>
      <w:tr>
        <w:trPr>
          <w:trHeight w:val="177"/>
        </w:trPr>
        <w:tc>
          <w:tcPr>
            <w:tcW w:w="526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5"/>
                <w:szCs w:val="15"/>
                <w:color w:val="auto"/>
              </w:rPr>
            </w:pPr>
          </w:p>
        </w:tc>
        <w:tc>
          <w:tcPr>
            <w:tcW w:w="104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5"/>
                <w:szCs w:val="15"/>
                <w:color w:val="auto"/>
              </w:rPr>
            </w:pPr>
          </w:p>
        </w:tc>
      </w:tr>
      <w:tr>
        <w:trPr>
          <w:trHeight w:val="209"/>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Net income attributable to Parsons Corporation</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40,658</w:t>
            </w: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56,812</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76,930</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106,812</w:t>
            </w:r>
          </w:p>
        </w:tc>
        <w:tc>
          <w:tcPr>
            <w:tcW w:w="100" w:type="dxa"/>
            <w:vAlign w:val="bottom"/>
            <w:shd w:val="clear" w:color="auto" w:fill="CFF0FC"/>
          </w:tcPr>
          <w:p>
            <w:pPr>
              <w:spacing w:after="0"/>
              <w:rPr>
                <w:sz w:val="18"/>
                <w:szCs w:val="18"/>
                <w:color w:val="auto"/>
              </w:rPr>
            </w:pPr>
          </w:p>
        </w:tc>
      </w:tr>
      <w:tr>
        <w:trPr>
          <w:trHeight w:val="193"/>
        </w:trPr>
        <w:tc>
          <w:tcPr>
            <w:tcW w:w="5260" w:type="dxa"/>
            <w:vAlign w:val="bottom"/>
          </w:tcPr>
          <w:p>
            <w:pPr>
              <w:spacing w:after="0" w:line="193" w:lineRule="exact"/>
              <w:rPr>
                <w:sz w:val="20"/>
                <w:szCs w:val="20"/>
                <w:color w:val="auto"/>
              </w:rPr>
            </w:pPr>
            <w:r>
              <w:rPr>
                <w:rFonts w:ascii="Arial" w:cs="Arial" w:eastAsia="Arial" w:hAnsi="Arial"/>
                <w:sz w:val="18"/>
                <w:szCs w:val="18"/>
                <w:color w:val="auto"/>
              </w:rPr>
              <w:t>Convertible senior notes if-converted method interest</w:t>
            </w: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5"/>
        </w:trPr>
        <w:tc>
          <w:tcPr>
            <w:tcW w:w="52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adjustment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1,164</w:t>
            </w:r>
          </w:p>
        </w:tc>
        <w:tc>
          <w:tcPr>
            <w:tcW w:w="200" w:type="dxa"/>
            <w:vAlign w:val="bottom"/>
            <w:tcBorders>
              <w:bottom w:val="single" w:sz="8" w:color="CFF0FC"/>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r>
      <w:tr>
        <w:trPr>
          <w:trHeight w:val="210"/>
        </w:trPr>
        <w:tc>
          <w:tcPr>
            <w:tcW w:w="52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Diluted net income attributable to Parsons Corporation</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41,822</w:t>
            </w:r>
          </w:p>
        </w:tc>
        <w:tc>
          <w:tcPr>
            <w:tcW w:w="20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56,812</w:t>
            </w:r>
          </w:p>
        </w:tc>
        <w:tc>
          <w:tcPr>
            <w:tcW w:w="22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76,930</w:t>
            </w:r>
          </w:p>
        </w:tc>
        <w:tc>
          <w:tcPr>
            <w:tcW w:w="22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106,812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
        </w:trPr>
        <w:tc>
          <w:tcPr>
            <w:tcW w:w="52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640" w:hanging="632"/>
        <w:spacing w:after="0"/>
        <w:tabs>
          <w:tab w:leader="none" w:pos="64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105"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The Company operates in two reportable segments: Federal Solutions and Critical Infrastructure.</w:t>
      </w:r>
    </w:p>
    <w:p>
      <w:pPr>
        <w:spacing w:after="0" w:line="212" w:lineRule="exact"/>
        <w:rPr>
          <w:sz w:val="20"/>
          <w:szCs w:val="20"/>
          <w:color w:val="auto"/>
        </w:rPr>
      </w:pPr>
    </w:p>
    <w:p>
      <w:pPr>
        <w:ind w:right="340" w:firstLine="637"/>
        <w:spacing w:after="0" w:line="248" w:lineRule="auto"/>
        <w:rPr>
          <w:sz w:val="20"/>
          <w:szCs w:val="20"/>
          <w:color w:val="auto"/>
        </w:rPr>
      </w:pPr>
      <w:r>
        <w:rPr>
          <w:rFonts w:ascii="Arial" w:cs="Arial" w:eastAsia="Arial" w:hAnsi="Arial"/>
          <w:sz w:val="18"/>
          <w:szCs w:val="18"/>
          <w:color w:val="auto"/>
        </w:rPr>
        <w:t>The Federal Solutions segment provides advanced technical solutions to the U.S. government, delivering timely, cost-effective hardware, software and services for mission-critical projects. The segment provides advanced technologies, supporting national security missions in cybersecurity, missile defense, and military facility modernization, logistics support, hazardous material remediation and engineering services.</w:t>
      </w:r>
    </w:p>
    <w:p>
      <w:pPr>
        <w:spacing w:after="0" w:line="170" w:lineRule="exact"/>
        <w:rPr>
          <w:sz w:val="20"/>
          <w:szCs w:val="20"/>
          <w:color w:val="auto"/>
        </w:rPr>
      </w:pPr>
    </w:p>
    <w:p>
      <w:pPr>
        <w:ind w:firstLine="637"/>
        <w:spacing w:after="0" w:line="248" w:lineRule="auto"/>
        <w:rPr>
          <w:sz w:val="20"/>
          <w:szCs w:val="20"/>
          <w:color w:val="auto"/>
        </w:rPr>
      </w:pPr>
      <w:r>
        <w:rPr>
          <w:rFonts w:ascii="Arial" w:cs="Arial" w:eastAsia="Arial" w:hAnsi="Arial"/>
          <w:sz w:val="18"/>
          <w:szCs w:val="18"/>
          <w:color w:val="auto"/>
        </w:rPr>
        <w:t>The Critical Infrastructure segment provides integrated engineering and management services for complex physical and digital infrastructure around the globe. The Critical Infrastructure segment is a technology innovator focused on next generation digital systems and complex structures. Industry leading capabilities in engineering and project management allow the Company to deliver significant value to customers by employing cutting-edge technologies, improving timelines and reducing costs.</w:t>
      </w:r>
    </w:p>
    <w:p>
      <w:pPr>
        <w:spacing w:after="0" w:line="170" w:lineRule="exact"/>
        <w:rPr>
          <w:sz w:val="20"/>
          <w:szCs w:val="20"/>
          <w:color w:val="auto"/>
        </w:rPr>
      </w:pPr>
    </w:p>
    <w:p>
      <w:pPr>
        <w:ind w:right="60" w:firstLine="637"/>
        <w:spacing w:after="0" w:line="248" w:lineRule="auto"/>
        <w:rPr>
          <w:sz w:val="20"/>
          <w:szCs w:val="20"/>
          <w:color w:val="auto"/>
        </w:rPr>
      </w:pPr>
      <w:r>
        <w:rPr>
          <w:rFonts w:ascii="Arial" w:cs="Arial" w:eastAsia="Arial" w:hAnsi="Arial"/>
          <w:sz w:val="18"/>
          <w:szCs w:val="18"/>
          <w:color w:val="auto"/>
        </w:rPr>
        <w:t>The Company defines its reportable segments based on the way the chief operating decision maker (“CODM”), currently its Chairman and Chief Executive Officer, evaluates the performance of each segment and manages the operations of the Company for purposes of allocating resources among the segments. The CODM evaluates segment operating performance using segment Revenue and segment Adjusted EBITDA attributable to Parsons Corporation.</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business segment revenue for the periods presented (in thousands):</w:t>
      </w:r>
    </w:p>
    <w:p>
      <w:pPr>
        <w:spacing w:after="0" w:line="314" w:lineRule="exact"/>
        <w:rPr>
          <w:sz w:val="20"/>
          <w:szCs w:val="20"/>
          <w:color w:val="auto"/>
        </w:rPr>
      </w:pPr>
    </w:p>
    <w:tbl>
      <w:tblPr>
        <w:tblLayout w:type="fixed"/>
        <w:tblInd w:w="580" w:type="dxa"/>
        <w:tblCellMar>
          <w:top w:w="0" w:type="dxa"/>
          <w:left w:w="0" w:type="dxa"/>
          <w:bottom w:w="0" w:type="dxa"/>
          <w:right w:w="0" w:type="dxa"/>
        </w:tblCellMar>
      </w:tblPr>
      <w:tr>
        <w:trPr>
          <w:trHeight w:val="177"/>
        </w:trPr>
        <w:tc>
          <w:tcPr>
            <w:tcW w:w="5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100" w:type="dxa"/>
            <w:vAlign w:val="bottom"/>
            <w:gridSpan w:val="4"/>
          </w:tcPr>
          <w:p>
            <w:pPr>
              <w:jc w:val="right"/>
              <w:ind w:right="335"/>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40" w:type="dxa"/>
            <w:vAlign w:val="bottom"/>
            <w:gridSpan w:val="5"/>
          </w:tcPr>
          <w:p>
            <w:pPr>
              <w:ind w:left="300"/>
              <w:spacing w:after="0"/>
              <w:rPr>
                <w:sz w:val="20"/>
                <w:szCs w:val="20"/>
                <w:color w:val="auto"/>
              </w:rPr>
            </w:pPr>
            <w:r>
              <w:rPr>
                <w:rFonts w:ascii="Arial" w:cs="Arial" w:eastAsia="Arial" w:hAnsi="Arial"/>
                <w:sz w:val="14"/>
                <w:szCs w:val="14"/>
                <w:b w:val="1"/>
                <w:bCs w:val="1"/>
                <w:color w:val="auto"/>
              </w:rPr>
              <w:t>Nine Months Ended</w:t>
            </w:r>
          </w:p>
        </w:tc>
      </w:tr>
      <w:tr>
        <w:trPr>
          <w:trHeight w:val="154"/>
        </w:trPr>
        <w:tc>
          <w:tcPr>
            <w:tcW w:w="5140" w:type="dxa"/>
            <w:vAlign w:val="bottom"/>
          </w:tcPr>
          <w:p>
            <w:pPr>
              <w:spacing w:after="0"/>
              <w:rPr>
                <w:sz w:val="13"/>
                <w:szCs w:val="13"/>
                <w:color w:val="auto"/>
              </w:rPr>
            </w:pPr>
          </w:p>
        </w:tc>
        <w:tc>
          <w:tcPr>
            <w:tcW w:w="1220" w:type="dxa"/>
            <w:vAlign w:val="bottom"/>
            <w:tcBorders>
              <w:top w:val="single" w:sz="8" w:color="auto"/>
            </w:tcBorders>
            <w:gridSpan w:val="3"/>
          </w:tcPr>
          <w:p>
            <w:pPr>
              <w:ind w:left="20"/>
              <w:spacing w:after="0" w:line="154" w:lineRule="exact"/>
              <w:rPr>
                <w:sz w:val="20"/>
                <w:szCs w:val="20"/>
                <w:color w:val="auto"/>
              </w:rPr>
            </w:pPr>
            <w:r>
              <w:rPr>
                <w:rFonts w:ascii="Arial" w:cs="Arial" w:eastAsia="Arial" w:hAnsi="Arial"/>
                <w:sz w:val="14"/>
                <w:szCs w:val="14"/>
                <w:b w:val="1"/>
                <w:bCs w:val="1"/>
                <w:color w:val="auto"/>
              </w:rPr>
              <w:t>September 30,</w:t>
            </w:r>
          </w:p>
        </w:tc>
        <w:tc>
          <w:tcPr>
            <w:tcW w:w="1040" w:type="dxa"/>
            <w:vAlign w:val="bottom"/>
            <w:tcBorders>
              <w:top w:val="single" w:sz="8" w:color="auto"/>
            </w:tcBorders>
            <w:gridSpan w:val="2"/>
          </w:tcPr>
          <w:p>
            <w:pPr>
              <w:ind w:left="20"/>
              <w:spacing w:after="0" w:line="154" w:lineRule="exact"/>
              <w:rPr>
                <w:sz w:val="20"/>
                <w:szCs w:val="20"/>
                <w:color w:val="auto"/>
              </w:rPr>
            </w:pPr>
            <w:r>
              <w:rPr>
                <w:rFonts w:ascii="Arial" w:cs="Arial" w:eastAsia="Arial" w:hAnsi="Arial"/>
                <w:sz w:val="14"/>
                <w:szCs w:val="14"/>
                <w:b w:val="1"/>
                <w:bCs w:val="1"/>
                <w:color w:val="auto"/>
              </w:rPr>
              <w:t>September 30,</w:t>
            </w:r>
          </w:p>
        </w:tc>
        <w:tc>
          <w:tcPr>
            <w:tcW w:w="300" w:type="dxa"/>
            <w:vAlign w:val="bottom"/>
          </w:tcPr>
          <w:p>
            <w:pPr>
              <w:spacing w:after="0"/>
              <w:rPr>
                <w:sz w:val="13"/>
                <w:szCs w:val="13"/>
                <w:color w:val="auto"/>
              </w:rPr>
            </w:pPr>
          </w:p>
        </w:tc>
        <w:tc>
          <w:tcPr>
            <w:tcW w:w="1040" w:type="dxa"/>
            <w:vAlign w:val="bottom"/>
            <w:tcBorders>
              <w:top w:val="single" w:sz="8" w:color="auto"/>
            </w:tcBorders>
            <w:gridSpan w:val="2"/>
          </w:tcPr>
          <w:p>
            <w:pPr>
              <w:ind w:left="20"/>
              <w:spacing w:after="0" w:line="154" w:lineRule="exact"/>
              <w:rPr>
                <w:sz w:val="20"/>
                <w:szCs w:val="20"/>
                <w:color w:val="auto"/>
              </w:rPr>
            </w:pPr>
            <w:r>
              <w:rPr>
                <w:rFonts w:ascii="Arial" w:cs="Arial" w:eastAsia="Arial" w:hAnsi="Arial"/>
                <w:sz w:val="14"/>
                <w:szCs w:val="14"/>
                <w:b w:val="1"/>
                <w:bCs w:val="1"/>
                <w:color w:val="auto"/>
              </w:rPr>
              <w:t>September 30,</w:t>
            </w:r>
          </w:p>
        </w:tc>
        <w:tc>
          <w:tcPr>
            <w:tcW w:w="2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gridSpan w:val="2"/>
          </w:tcPr>
          <w:p>
            <w:pPr>
              <w:ind w:left="20"/>
              <w:spacing w:after="0" w:line="154" w:lineRule="exact"/>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3"/>
                <w:szCs w:val="13"/>
                <w:color w:val="auto"/>
              </w:rPr>
            </w:pPr>
          </w:p>
        </w:tc>
      </w:tr>
      <w:tr>
        <w:trPr>
          <w:trHeight w:val="177"/>
        </w:trPr>
        <w:tc>
          <w:tcPr>
            <w:tcW w:w="514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5"/>
                <w:szCs w:val="15"/>
                <w:color w:val="auto"/>
              </w:rPr>
            </w:pPr>
          </w:p>
        </w:tc>
      </w:tr>
      <w:tr>
        <w:trPr>
          <w:trHeight w:val="210"/>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Federal Solutions revenue</w:t>
            </w: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498,156</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486,175</w:t>
            </w: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1,457,937</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1,387,484</w:t>
            </w:r>
          </w:p>
        </w:tc>
        <w:tc>
          <w:tcPr>
            <w:tcW w:w="120" w:type="dxa"/>
            <w:vAlign w:val="bottom"/>
            <w:shd w:val="clear" w:color="auto" w:fill="CFF0FC"/>
          </w:tcPr>
          <w:p>
            <w:pPr>
              <w:spacing w:after="0"/>
              <w:rPr>
                <w:sz w:val="18"/>
                <w:szCs w:val="18"/>
                <w:color w:val="auto"/>
              </w:rPr>
            </w:pPr>
          </w:p>
        </w:tc>
      </w:tr>
      <w:tr>
        <w:trPr>
          <w:trHeight w:val="216"/>
        </w:trPr>
        <w:tc>
          <w:tcPr>
            <w:tcW w:w="51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Critical Infrastructure revenue</w:t>
            </w: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506,080</w:t>
            </w:r>
          </w:p>
        </w:tc>
        <w:tc>
          <w:tcPr>
            <w:tcW w:w="20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537,102</w:t>
            </w:r>
          </w:p>
        </w:tc>
        <w:tc>
          <w:tcPr>
            <w:tcW w:w="30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1,496,751</w:t>
            </w:r>
          </w:p>
        </w:tc>
        <w:tc>
          <w:tcPr>
            <w:tcW w:w="20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1,529,940</w:t>
            </w:r>
          </w:p>
        </w:tc>
        <w:tc>
          <w:tcPr>
            <w:tcW w:w="120" w:type="dxa"/>
            <w:vAlign w:val="bottom"/>
            <w:tcBorders>
              <w:bottom w:val="single" w:sz="8" w:color="CFF0FC"/>
            </w:tcBorders>
          </w:tcPr>
          <w:p>
            <w:pPr>
              <w:spacing w:after="0"/>
              <w:rPr>
                <w:sz w:val="18"/>
                <w:szCs w:val="18"/>
                <w:color w:val="auto"/>
              </w:rPr>
            </w:pPr>
          </w:p>
        </w:tc>
      </w:tr>
      <w:tr>
        <w:trPr>
          <w:trHeight w:val="210"/>
        </w:trPr>
        <w:tc>
          <w:tcPr>
            <w:tcW w:w="51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revenue</w:t>
            </w:r>
          </w:p>
        </w:tc>
        <w:tc>
          <w:tcPr>
            <w:tcW w:w="1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1,004,236</w:t>
            </w:r>
          </w:p>
        </w:tc>
        <w:tc>
          <w:tcPr>
            <w:tcW w:w="2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1,023,277</w:t>
            </w:r>
          </w:p>
        </w:tc>
        <w:tc>
          <w:tcPr>
            <w:tcW w:w="3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2,954,688</w:t>
            </w:r>
          </w:p>
        </w:tc>
        <w:tc>
          <w:tcPr>
            <w:tcW w:w="2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2,917,424</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
        </w:trPr>
        <w:tc>
          <w:tcPr>
            <w:tcW w:w="5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3" w:lineRule="exact"/>
        <w:rPr>
          <w:sz w:val="20"/>
          <w:szCs w:val="20"/>
          <w:color w:val="auto"/>
        </w:rPr>
      </w:pPr>
    </w:p>
    <w:p>
      <w:pPr>
        <w:ind w:right="300" w:firstLine="637"/>
        <w:spacing w:after="0" w:line="245" w:lineRule="auto"/>
        <w:rPr>
          <w:sz w:val="20"/>
          <w:szCs w:val="20"/>
          <w:color w:val="auto"/>
        </w:rPr>
      </w:pPr>
      <w:r>
        <w:rPr>
          <w:rFonts w:ascii="Arial" w:cs="Arial" w:eastAsia="Arial" w:hAnsi="Arial"/>
          <w:sz w:val="18"/>
          <w:szCs w:val="18"/>
          <w:color w:val="auto"/>
        </w:rPr>
        <w:t>The Company defines Adjusted EBITDA attributable to Parsons Corporation as Adjusted EBITDA excluding Adjusted EBITDA attributable to noncontrolling interests. The Company defines Adjusted EBITDA as net income (loss) attributable to Parsons Corporation, adjusted to include net income (loss) attributable to noncontrolling interests and to exclude interest expense (net of interest income), provision for income taxes, depreciation and amortization and certain other items that are not considered in the evaluation of ongoing operating performance. These other items include net</w:t>
      </w:r>
    </w:p>
    <w:p>
      <w:pPr>
        <w:spacing w:after="0" w:line="1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549" w:right="419" w:bottom="1440" w:gutter="0" w:footer="0" w:header="0"/>
        </w:sectPr>
      </w:pPr>
    </w:p>
    <w:bookmarkStart w:id="28" w:name="page29"/>
    <w:bookmarkEnd w:id="28"/>
    <w:p>
      <w:pPr>
        <w:ind w:right="60"/>
        <w:spacing w:after="0" w:line="248" w:lineRule="auto"/>
        <w:rPr>
          <w:sz w:val="20"/>
          <w:szCs w:val="20"/>
          <w:color w:val="auto"/>
        </w:rPr>
      </w:pPr>
      <w:r>
        <w:rPr>
          <w:rFonts w:ascii="Arial" w:cs="Arial" w:eastAsia="Arial" w:hAnsi="Arial"/>
          <w:sz w:val="18"/>
          <w:szCs w:val="18"/>
          <w:color w:val="auto"/>
        </w:rPr>
        <w:t>income (loss) attributable to noncontrolling interests, asset impairment charges, income and expense recognized on litigation matters, expenses incurred in connection with acquisitions and other non-recurring transaction costs and expenses related to our prior restructuring. The following table reconciles business segment Adjusted EBITDA attributable to Parsons Corporation to Net Income attributable to Parsons Corporation for the periods presented (in thousands):</w:t>
      </w:r>
    </w:p>
    <w:p>
      <w:pPr>
        <w:spacing w:after="0" w:line="273" w:lineRule="exact"/>
        <w:rPr>
          <w:sz w:val="20"/>
          <w:szCs w:val="20"/>
          <w:color w:val="auto"/>
        </w:rPr>
      </w:pPr>
    </w:p>
    <w:tbl>
      <w:tblPr>
        <w:tblLayout w:type="fixed"/>
        <w:tblInd w:w="580" w:type="dxa"/>
        <w:tblCellMar>
          <w:top w:w="0" w:type="dxa"/>
          <w:left w:w="0" w:type="dxa"/>
          <w:bottom w:w="0" w:type="dxa"/>
          <w:right w:w="0" w:type="dxa"/>
        </w:tblCellMar>
      </w:tblPr>
      <w:tr>
        <w:trPr>
          <w:trHeight w:val="177"/>
        </w:trPr>
        <w:tc>
          <w:tcPr>
            <w:tcW w:w="5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2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6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54"/>
        </w:trPr>
        <w:tc>
          <w:tcPr>
            <w:tcW w:w="5040" w:type="dxa"/>
            <w:vAlign w:val="bottom"/>
            <w:vMerge w:val="restart"/>
          </w:tcPr>
          <w:p>
            <w:pPr>
              <w:spacing w:after="0"/>
              <w:rPr>
                <w:sz w:val="20"/>
                <w:szCs w:val="20"/>
                <w:color w:val="auto"/>
              </w:rPr>
            </w:pPr>
            <w:r>
              <w:rPr>
                <w:rFonts w:ascii="Arial" w:cs="Arial" w:eastAsia="Arial" w:hAnsi="Arial"/>
                <w:sz w:val="18"/>
                <w:szCs w:val="18"/>
                <w:color w:val="auto"/>
              </w:rPr>
              <w:t>Adjusted EBITDA attributable to Parsons Corporation</w:t>
            </w:r>
          </w:p>
        </w:tc>
        <w:tc>
          <w:tcPr>
            <w:tcW w:w="100" w:type="dxa"/>
            <w:vAlign w:val="bottom"/>
          </w:tcPr>
          <w:p>
            <w:pPr>
              <w:spacing w:after="0"/>
              <w:rPr>
                <w:sz w:val="13"/>
                <w:szCs w:val="13"/>
                <w:color w:val="auto"/>
              </w:rPr>
            </w:pPr>
          </w:p>
        </w:tc>
        <w:tc>
          <w:tcPr>
            <w:tcW w:w="1220" w:type="dxa"/>
            <w:vAlign w:val="bottom"/>
            <w:tcBorders>
              <w:top w:val="single" w:sz="8" w:color="auto"/>
            </w:tcBorders>
            <w:gridSpan w:val="3"/>
          </w:tcPr>
          <w:p>
            <w:pPr>
              <w:ind w:left="20"/>
              <w:spacing w:after="0" w:line="154" w:lineRule="exact"/>
              <w:rPr>
                <w:sz w:val="20"/>
                <w:szCs w:val="20"/>
                <w:color w:val="auto"/>
              </w:rPr>
            </w:pPr>
            <w:r>
              <w:rPr>
                <w:rFonts w:ascii="Arial" w:cs="Arial" w:eastAsia="Arial" w:hAnsi="Arial"/>
                <w:sz w:val="14"/>
                <w:szCs w:val="14"/>
                <w:b w:val="1"/>
                <w:bCs w:val="1"/>
                <w:color w:val="auto"/>
              </w:rPr>
              <w:t>September 30,</w:t>
            </w:r>
          </w:p>
        </w:tc>
        <w:tc>
          <w:tcPr>
            <w:tcW w:w="1040" w:type="dxa"/>
            <w:vAlign w:val="bottom"/>
            <w:tcBorders>
              <w:top w:val="single" w:sz="8" w:color="auto"/>
            </w:tcBorders>
            <w:gridSpan w:val="2"/>
          </w:tcPr>
          <w:p>
            <w:pPr>
              <w:ind w:left="20"/>
              <w:spacing w:after="0" w:line="154" w:lineRule="exact"/>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Borders>
              <w:top w:val="single" w:sz="8" w:color="auto"/>
            </w:tcBorders>
            <w:gridSpan w:val="3"/>
          </w:tcPr>
          <w:p>
            <w:pPr>
              <w:ind w:left="20"/>
              <w:spacing w:after="0" w:line="154" w:lineRule="exact"/>
              <w:rPr>
                <w:sz w:val="20"/>
                <w:szCs w:val="20"/>
                <w:color w:val="auto"/>
              </w:rPr>
            </w:pPr>
            <w:r>
              <w:rPr>
                <w:rFonts w:ascii="Arial" w:cs="Arial" w:eastAsia="Arial" w:hAnsi="Arial"/>
                <w:sz w:val="14"/>
                <w:szCs w:val="14"/>
                <w:b w:val="1"/>
                <w:bCs w:val="1"/>
                <w:color w:val="auto"/>
              </w:rPr>
              <w:t>September 30,</w:t>
            </w:r>
          </w:p>
        </w:tc>
        <w:tc>
          <w:tcPr>
            <w:tcW w:w="6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gridSpan w:val="2"/>
          </w:tcPr>
          <w:p>
            <w:pPr>
              <w:ind w:left="20"/>
              <w:spacing w:after="0" w:line="154" w:lineRule="exact"/>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5040" w:type="dxa"/>
            <w:vAlign w:val="bottom"/>
            <w:tcBorders>
              <w:bottom w:val="single" w:sz="8" w:color="CFF0FC"/>
            </w:tcBorders>
            <w:vMerge w:val="continue"/>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5"/>
                <w:szCs w:val="15"/>
                <w:color w:val="auto"/>
              </w:rPr>
            </w:pPr>
          </w:p>
        </w:tc>
        <w:tc>
          <w:tcPr>
            <w:tcW w:w="6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0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Federal Solutions</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45,874</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50,359</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125,191</w:t>
            </w: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126,658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Critical Infrastructure</w:t>
            </w:r>
          </w:p>
        </w:tc>
        <w:tc>
          <w:tcPr>
            <w:tcW w:w="10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48,856</w:t>
            </w:r>
          </w:p>
        </w:tc>
        <w:tc>
          <w:tcPr>
            <w:tcW w:w="20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33,976</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111,732</w:t>
            </w:r>
          </w:p>
        </w:tc>
        <w:tc>
          <w:tcPr>
            <w:tcW w:w="14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102,177</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Adjusted EBITDA attributable to Parsons Corporation</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94,730</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84,335</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236,923</w:t>
            </w: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228,835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Adjusted EBITDA attributable to noncontrolling interests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6,071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4,655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15,535</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8,384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(30,952)</w:t>
            </w:r>
          </w:p>
        </w:tc>
        <w:tc>
          <w:tcPr>
            <w:tcW w:w="2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(31,027)</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(95,442)</w:t>
            </w: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(92,692)</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Interest expense, net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(5,387)</w:t>
            </w:r>
          </w:p>
        </w:tc>
        <w:tc>
          <w:tcPr>
            <w:tcW w:w="2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(4,482)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(13,144)</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(18,448)</w:t>
            </w:r>
          </w:p>
        </w:tc>
        <w:tc>
          <w:tcPr>
            <w:tcW w:w="0" w:type="dxa"/>
            <w:vAlign w:val="bottom"/>
          </w:tcPr>
          <w:p>
            <w:pPr>
              <w:spacing w:after="0"/>
              <w:rPr>
                <w:sz w:val="1"/>
                <w:szCs w:val="1"/>
                <w:color w:val="auto"/>
              </w:rPr>
            </w:pPr>
          </w:p>
        </w:tc>
      </w:tr>
      <w:tr>
        <w:trPr>
          <w:trHeight w:val="216"/>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 benefit</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(16,017)</w:t>
            </w: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15,453</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(32,992)</w:t>
            </w: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67,063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Equity-based compensation income (expense)</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991</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1,657</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(4,142)</w:t>
            </w: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(45,504)</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Transaction-related costs (a)</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(2,411)</w:t>
            </w:r>
          </w:p>
        </w:tc>
        <w:tc>
          <w:tcPr>
            <w:tcW w:w="2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(9,891)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(11,937)</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(26,961)</w:t>
            </w:r>
          </w:p>
        </w:tc>
        <w:tc>
          <w:tcPr>
            <w:tcW w:w="0" w:type="dxa"/>
            <w:vAlign w:val="bottom"/>
          </w:tcPr>
          <w:p>
            <w:pPr>
              <w:spacing w:after="0"/>
              <w:rPr>
                <w:sz w:val="1"/>
                <w:szCs w:val="1"/>
                <w:color w:val="auto"/>
              </w:rPr>
            </w:pPr>
          </w:p>
        </w:tc>
      </w:tr>
      <w:tr>
        <w:trPr>
          <w:trHeight w:val="216"/>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Restructuring expense (b)</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(365)</w:t>
            </w:r>
          </w:p>
        </w:tc>
        <w:tc>
          <w:tcPr>
            <w:tcW w:w="2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(309)</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(1,475)</w:t>
            </w: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(2,880)</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Other (c)</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(140)</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902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(1,310)</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(2,973)</w:t>
            </w:r>
          </w:p>
        </w:tc>
        <w:tc>
          <w:tcPr>
            <w:tcW w:w="0" w:type="dxa"/>
            <w:vAlign w:val="bottom"/>
          </w:tcPr>
          <w:p>
            <w:pPr>
              <w:spacing w:after="0"/>
              <w:rPr>
                <w:sz w:val="1"/>
                <w:szCs w:val="1"/>
                <w:color w:val="auto"/>
              </w:rPr>
            </w:pPr>
          </w:p>
        </w:tc>
      </w:tr>
      <w:tr>
        <w:trPr>
          <w:trHeight w:val="209"/>
        </w:trPr>
        <w:tc>
          <w:tcPr>
            <w:tcW w:w="50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including noncontrolling interests</w:t>
            </w:r>
          </w:p>
        </w:tc>
        <w:tc>
          <w:tcPr>
            <w:tcW w:w="1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46,520</w:t>
            </w:r>
          </w:p>
        </w:tc>
        <w:tc>
          <w:tcPr>
            <w:tcW w:w="20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61,293</w:t>
            </w: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92,016</w:t>
            </w:r>
          </w:p>
        </w:tc>
        <w:tc>
          <w:tcPr>
            <w:tcW w:w="14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114,824</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income attributable to noncontrolling interests</w:t>
            </w:r>
          </w:p>
        </w:tc>
        <w:tc>
          <w:tcPr>
            <w:tcW w:w="10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5,862</w:t>
            </w:r>
          </w:p>
        </w:tc>
        <w:tc>
          <w:tcPr>
            <w:tcW w:w="20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4,481</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15,086</w:t>
            </w:r>
          </w:p>
        </w:tc>
        <w:tc>
          <w:tcPr>
            <w:tcW w:w="14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8,012</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attributable to Parsons Corporation</w:t>
            </w:r>
          </w:p>
        </w:tc>
        <w:tc>
          <w:tcPr>
            <w:tcW w:w="1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40,658</w:t>
            </w:r>
          </w:p>
        </w:tc>
        <w:tc>
          <w:tcPr>
            <w:tcW w:w="2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56,812</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76,930</w:t>
            </w:r>
          </w:p>
        </w:tc>
        <w:tc>
          <w:tcPr>
            <w:tcW w:w="14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106,812</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640" w:right="400" w:hanging="632"/>
        <w:spacing w:after="0" w:line="247" w:lineRule="auto"/>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Reflects costs incurred in connection with acquisitions, the IPO, and other non-recurring transaction costs, primarily fees paid for professional services and employee retention.</w:t>
      </w:r>
    </w:p>
    <w:p>
      <w:pPr>
        <w:ind w:left="640" w:hanging="632"/>
        <w:spacing w:after="0" w:line="234" w:lineRule="auto"/>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Reflects costs associated with corporate restructuring initiatives.</w:t>
      </w:r>
    </w:p>
    <w:p>
      <w:pPr>
        <w:ind w:left="640" w:right="120" w:hanging="632"/>
        <w:spacing w:after="0" w:line="250" w:lineRule="auto"/>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Includes a combination of gain/loss related to sale of fixed assets, software implementation costs, and other individually insignificant items that are non-recurring in nature.</w:t>
      </w:r>
    </w:p>
    <w:p>
      <w:pPr>
        <w:spacing w:after="0" w:line="167"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Asset information by segment is not a key measure of performance used by the CODM.</w:t>
      </w:r>
    </w:p>
    <w:p>
      <w:pPr>
        <w:spacing w:after="0" w:line="211"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The following tables present revenues and property and equipment, net by geographic area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-1170940</wp:posOffset>
            </wp:positionV>
            <wp:extent cx="95123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60" w:type="dxa"/>
            <w:vAlign w:val="bottom"/>
            <w:gridSpan w:val="5"/>
          </w:tcPr>
          <w:p>
            <w:pPr>
              <w:ind w:left="32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5"/>
                <w:szCs w:val="15"/>
                <w:color w:val="auto"/>
              </w:rPr>
            </w:pPr>
          </w:p>
        </w:tc>
        <w:tc>
          <w:tcPr>
            <w:tcW w:w="2420" w:type="dxa"/>
            <w:vAlign w:val="bottom"/>
            <w:gridSpan w:val="5"/>
          </w:tcPr>
          <w:p>
            <w:pPr>
              <w:ind w:left="3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54"/>
        </w:trPr>
        <w:tc>
          <w:tcPr>
            <w:tcW w:w="5740" w:type="dxa"/>
            <w:vAlign w:val="bottom"/>
          </w:tcPr>
          <w:p>
            <w:pPr>
              <w:spacing w:after="0"/>
              <w:rPr>
                <w:sz w:val="13"/>
                <w:szCs w:val="13"/>
                <w:color w:val="auto"/>
              </w:rPr>
            </w:pPr>
          </w:p>
        </w:tc>
        <w:tc>
          <w:tcPr>
            <w:tcW w:w="1120" w:type="dxa"/>
            <w:vAlign w:val="bottom"/>
            <w:tcBorders>
              <w:top w:val="single" w:sz="8" w:color="auto"/>
            </w:tcBorders>
            <w:gridSpan w:val="2"/>
          </w:tcPr>
          <w:p>
            <w:pPr>
              <w:jc w:val="right"/>
              <w:spacing w:after="0" w:line="154" w:lineRule="exact"/>
              <w:rPr>
                <w:sz w:val="20"/>
                <w:szCs w:val="20"/>
                <w:color w:val="auto"/>
              </w:rPr>
            </w:pPr>
            <w:r>
              <w:rPr>
                <w:rFonts w:ascii="Arial" w:cs="Arial" w:eastAsia="Arial" w:hAnsi="Arial"/>
                <w:sz w:val="14"/>
                <w:szCs w:val="14"/>
                <w:b w:val="1"/>
                <w:bCs w:val="1"/>
                <w:color w:val="auto"/>
              </w:rPr>
              <w:t>September 30,</w:t>
            </w:r>
          </w:p>
        </w:tc>
        <w:tc>
          <w:tcPr>
            <w:tcW w:w="24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gridSpan w:val="2"/>
          </w:tcPr>
          <w:p>
            <w:pPr>
              <w:jc w:val="right"/>
              <w:spacing w:after="0" w:line="154" w:lineRule="exact"/>
              <w:rPr>
                <w:sz w:val="20"/>
                <w:szCs w:val="20"/>
                <w:color w:val="auto"/>
              </w:rPr>
            </w:pPr>
            <w:r>
              <w:rPr>
                <w:rFonts w:ascii="Arial" w:cs="Arial" w:eastAsia="Arial" w:hAnsi="Arial"/>
                <w:sz w:val="14"/>
                <w:szCs w:val="14"/>
                <w:b w:val="1"/>
                <w:bCs w:val="1"/>
                <w:color w:val="auto"/>
              </w:rPr>
              <w:t>September 30,</w:t>
            </w:r>
          </w:p>
        </w:tc>
        <w:tc>
          <w:tcPr>
            <w:tcW w:w="360" w:type="dxa"/>
            <w:vAlign w:val="bottom"/>
          </w:tcPr>
          <w:p>
            <w:pPr>
              <w:spacing w:after="0"/>
              <w:rPr>
                <w:sz w:val="13"/>
                <w:szCs w:val="13"/>
                <w:color w:val="auto"/>
              </w:rPr>
            </w:pPr>
          </w:p>
        </w:tc>
        <w:tc>
          <w:tcPr>
            <w:tcW w:w="1380" w:type="dxa"/>
            <w:vAlign w:val="bottom"/>
            <w:tcBorders>
              <w:top w:val="single" w:sz="8" w:color="auto"/>
            </w:tcBorders>
            <w:gridSpan w:val="3"/>
          </w:tcPr>
          <w:p>
            <w:pPr>
              <w:ind w:left="60"/>
              <w:spacing w:after="0" w:line="154" w:lineRule="exact"/>
              <w:rPr>
                <w:sz w:val="20"/>
                <w:szCs w:val="20"/>
                <w:color w:val="auto"/>
              </w:rPr>
            </w:pPr>
            <w:r>
              <w:rPr>
                <w:rFonts w:ascii="Arial" w:cs="Arial" w:eastAsia="Arial" w:hAnsi="Arial"/>
                <w:sz w:val="14"/>
                <w:szCs w:val="14"/>
                <w:b w:val="1"/>
                <w:bCs w:val="1"/>
                <w:color w:val="auto"/>
              </w:rPr>
              <w:t>September 30,</w:t>
            </w:r>
          </w:p>
        </w:tc>
        <w:tc>
          <w:tcPr>
            <w:tcW w:w="1140" w:type="dxa"/>
            <w:vAlign w:val="bottom"/>
            <w:tcBorders>
              <w:top w:val="single" w:sz="8" w:color="auto"/>
            </w:tcBorders>
            <w:gridSpan w:val="2"/>
          </w:tcPr>
          <w:p>
            <w:pPr>
              <w:jc w:val="right"/>
              <w:ind w:right="14"/>
              <w:spacing w:after="0" w:line="154" w:lineRule="exact"/>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5740" w:type="dxa"/>
            <w:vAlign w:val="bottom"/>
            <w:vMerge w:val="restart"/>
          </w:tcPr>
          <w:p>
            <w:pPr>
              <w:spacing w:after="0"/>
              <w:rPr>
                <w:sz w:val="20"/>
                <w:szCs w:val="20"/>
                <w:color w:val="auto"/>
              </w:rPr>
            </w:pPr>
            <w:r>
              <w:rPr>
                <w:rFonts w:ascii="Arial" w:cs="Arial" w:eastAsia="Arial" w:hAnsi="Arial"/>
                <w:sz w:val="18"/>
                <w:szCs w:val="18"/>
                <w:color w:val="auto"/>
              </w:rPr>
              <w:t>Revenue</w:t>
            </w: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2019</w:t>
            </w:r>
          </w:p>
        </w:tc>
        <w:tc>
          <w:tcPr>
            <w:tcW w:w="3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7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North America</w:t>
            </w:r>
          </w:p>
        </w:tc>
        <w:tc>
          <w:tcPr>
            <w:tcW w:w="20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831,367</w:t>
            </w:r>
          </w:p>
        </w:tc>
        <w:tc>
          <w:tcPr>
            <w:tcW w:w="460" w:type="dxa"/>
            <w:vAlign w:val="bottom"/>
            <w:gridSpan w:val="2"/>
            <w:shd w:val="clear" w:color="auto" w:fill="CFF0FC"/>
          </w:tcPr>
          <w:p>
            <w:pPr>
              <w:jc w:val="right"/>
              <w:ind w:right="39"/>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849,839</w:t>
            </w:r>
          </w:p>
        </w:tc>
        <w:tc>
          <w:tcPr>
            <w:tcW w:w="36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2,429,357</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2,400,124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ind w:left="260"/>
              <w:spacing w:after="0"/>
              <w:rPr>
                <w:sz w:val="20"/>
                <w:szCs w:val="20"/>
                <w:color w:val="auto"/>
              </w:rPr>
            </w:pPr>
            <w:r>
              <w:rPr>
                <w:rFonts w:ascii="Arial" w:cs="Arial" w:eastAsia="Arial" w:hAnsi="Arial"/>
                <w:sz w:val="18"/>
                <w:szCs w:val="18"/>
                <w:color w:val="auto"/>
              </w:rPr>
              <w:t>Middle East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168,043</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169,028</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511,591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504,604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Rest of World</w:t>
            </w:r>
          </w:p>
        </w:tc>
        <w:tc>
          <w:tcPr>
            <w:tcW w:w="20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4,826</w:t>
            </w:r>
          </w:p>
        </w:tc>
        <w:tc>
          <w:tcPr>
            <w:tcW w:w="24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4,410</w:t>
            </w:r>
          </w:p>
        </w:tc>
        <w:tc>
          <w:tcPr>
            <w:tcW w:w="36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13,740</w:t>
            </w:r>
          </w:p>
        </w:tc>
        <w:tc>
          <w:tcPr>
            <w:tcW w:w="24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12,696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40" w:type="dxa"/>
            <w:vAlign w:val="bottom"/>
          </w:tcPr>
          <w:p>
            <w:pPr>
              <w:spacing w:after="0"/>
              <w:rPr>
                <w:sz w:val="20"/>
                <w:szCs w:val="20"/>
                <w:color w:val="auto"/>
              </w:rPr>
            </w:pPr>
            <w:r>
              <w:rPr>
                <w:rFonts w:ascii="Arial" w:cs="Arial" w:eastAsia="Arial" w:hAnsi="Arial"/>
                <w:sz w:val="18"/>
                <w:szCs w:val="18"/>
                <w:color w:val="auto"/>
              </w:rPr>
              <w:t>Total Revenue</w:t>
            </w:r>
          </w:p>
        </w:tc>
        <w:tc>
          <w:tcPr>
            <w:tcW w:w="2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1,004,236</w:t>
            </w:r>
          </w:p>
        </w:tc>
        <w:tc>
          <w:tcPr>
            <w:tcW w:w="24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1,023,277</w:t>
            </w:r>
          </w:p>
        </w:tc>
        <w:tc>
          <w:tcPr>
            <w:tcW w:w="360" w:type="dxa"/>
            <w:vAlign w:val="bottom"/>
          </w:tcPr>
          <w:p>
            <w:pPr>
              <w:spacing w:after="0"/>
              <w:rPr>
                <w:sz w:val="18"/>
                <w:szCs w:val="18"/>
                <w:color w:val="auto"/>
              </w:rPr>
            </w:pPr>
          </w:p>
        </w:tc>
        <w:tc>
          <w:tcPr>
            <w:tcW w:w="22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2,954,688</w:t>
            </w:r>
          </w:p>
        </w:tc>
        <w:tc>
          <w:tcPr>
            <w:tcW w:w="240" w:type="dxa"/>
            <w:vAlign w:val="bottom"/>
          </w:tcPr>
          <w:p>
            <w:pPr>
              <w:spacing w:after="0"/>
              <w:rPr>
                <w:sz w:val="18"/>
                <w:szCs w:val="18"/>
                <w:color w:val="auto"/>
              </w:rPr>
            </w:pPr>
          </w:p>
        </w:tc>
        <w:tc>
          <w:tcPr>
            <w:tcW w:w="2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2,917,424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geographic location of revenue is determined by the location of the customer.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285750</wp:posOffset>
            </wp:positionV>
            <wp:extent cx="216852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168525" cy="8255"/>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7700" w:type="dxa"/>
            <w:vAlign w:val="bottom"/>
            <w:vMerge w:val="restart"/>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5"/>
                <w:szCs w:val="15"/>
                <w:color w:val="auto"/>
              </w:rPr>
            </w:pPr>
          </w:p>
        </w:tc>
        <w:tc>
          <w:tcPr>
            <w:tcW w:w="1460" w:type="dxa"/>
            <w:vAlign w:val="bottom"/>
          </w:tcPr>
          <w:p>
            <w:pPr>
              <w:jc w:val="right"/>
              <w:ind w:right="15"/>
              <w:spacing w:after="0"/>
              <w:rPr>
                <w:sz w:val="20"/>
                <w:szCs w:val="20"/>
                <w:color w:val="auto"/>
              </w:rPr>
            </w:pPr>
            <w:r>
              <w:rPr>
                <w:rFonts w:ascii="Arial" w:cs="Arial" w:eastAsia="Arial" w:hAnsi="Arial"/>
                <w:sz w:val="14"/>
                <w:szCs w:val="14"/>
                <w:b w:val="1"/>
                <w:bCs w:val="1"/>
                <w:color w:val="auto"/>
              </w:rPr>
              <w:t>September 30, 2020</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210"/>
        </w:trPr>
        <w:tc>
          <w:tcPr>
            <w:tcW w:w="7700" w:type="dxa"/>
            <w:vAlign w:val="bottom"/>
            <w:vMerge w:val="continue"/>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North America</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116,805</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117,606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Middle East</w:t>
            </w: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4,681</w:t>
            </w:r>
          </w:p>
        </w:tc>
        <w:tc>
          <w:tcPr>
            <w:tcW w:w="30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5,145</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Property and Equipment, Net</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121,486</w:t>
            </w:r>
          </w:p>
        </w:tc>
        <w:tc>
          <w:tcPr>
            <w:tcW w:w="3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122,751</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3" w:lineRule="exact"/>
        <w:rPr>
          <w:sz w:val="20"/>
          <w:szCs w:val="20"/>
          <w:color w:val="auto"/>
        </w:rPr>
      </w:pPr>
    </w:p>
    <w:p>
      <w:pPr>
        <w:ind w:right="220" w:firstLine="637"/>
        <w:spacing w:after="0" w:line="273" w:lineRule="auto"/>
        <w:rPr>
          <w:sz w:val="20"/>
          <w:szCs w:val="20"/>
          <w:color w:val="auto"/>
        </w:rPr>
      </w:pPr>
      <w:r>
        <w:rPr>
          <w:rFonts w:ascii="Arial" w:cs="Arial" w:eastAsia="Arial" w:hAnsi="Arial"/>
          <w:sz w:val="17"/>
          <w:szCs w:val="17"/>
          <w:color w:val="auto"/>
        </w:rPr>
        <w:t>North America includes revenue in the United States for the three months ended September 30, 2020 and September 30, 2019 of $774.0 million and $774.2 million, respectively, and for the nine months ended September 30, 2020 and September 30, 2019 of $2.2 billion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and $2.2 billion, respectively. North America property and equipment, net</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9" w:name="page30"/>
    <w:bookmarkEnd w:id="29"/>
    <w:p>
      <w:pPr>
        <w:ind w:right="360"/>
        <w:spacing w:after="0" w:line="276" w:lineRule="auto"/>
        <w:rPr>
          <w:sz w:val="20"/>
          <w:szCs w:val="20"/>
          <w:color w:val="auto"/>
        </w:rPr>
      </w:pPr>
      <w:r>
        <w:rPr>
          <w:rFonts w:ascii="Arial" w:cs="Arial" w:eastAsia="Arial" w:hAnsi="Arial"/>
          <w:sz w:val="18"/>
          <w:szCs w:val="18"/>
          <w:color w:val="auto"/>
        </w:rPr>
        <w:t>includes $109.6 million and $109.9 million of property and equipment, net in the United States at September 30, 2020 and December 31, 2019, respectively.</w:t>
      </w:r>
    </w:p>
    <w:p>
      <w:pPr>
        <w:spacing w:after="0" w:line="14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presents revenues by business lines (in thousands):</w:t>
      </w:r>
    </w:p>
    <w:p>
      <w:pPr>
        <w:spacing w:after="0" w:line="314" w:lineRule="exact"/>
        <w:rPr>
          <w:sz w:val="20"/>
          <w:szCs w:val="20"/>
          <w:color w:val="auto"/>
        </w:rPr>
      </w:pPr>
    </w:p>
    <w:tbl>
      <w:tblPr>
        <w:tblLayout w:type="fixed"/>
        <w:tblInd w:w="580" w:type="dxa"/>
        <w:tblCellMar>
          <w:top w:w="0" w:type="dxa"/>
          <w:left w:w="0" w:type="dxa"/>
          <w:bottom w:w="0" w:type="dxa"/>
          <w:right w:w="0" w:type="dxa"/>
        </w:tblCellMar>
      </w:tblPr>
      <w:tr>
        <w:trPr>
          <w:trHeight w:val="177"/>
        </w:trPr>
        <w:tc>
          <w:tcPr>
            <w:tcW w:w="40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100" w:type="dxa"/>
            <w:vAlign w:val="bottom"/>
            <w:gridSpan w:val="4"/>
          </w:tcPr>
          <w:p>
            <w:pPr>
              <w:jc w:val="right"/>
              <w:ind w:right="332"/>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40" w:type="dxa"/>
            <w:vAlign w:val="bottom"/>
            <w:gridSpan w:val="5"/>
          </w:tcPr>
          <w:p>
            <w:pPr>
              <w:ind w:left="3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54"/>
        </w:trPr>
        <w:tc>
          <w:tcPr>
            <w:tcW w:w="40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20" w:type="dxa"/>
            <w:vAlign w:val="bottom"/>
            <w:tcBorders>
              <w:top w:val="single" w:sz="8" w:color="auto"/>
            </w:tcBorders>
            <w:gridSpan w:val="3"/>
          </w:tcPr>
          <w:p>
            <w:pPr>
              <w:ind w:left="20"/>
              <w:spacing w:after="0" w:line="154" w:lineRule="exact"/>
              <w:rPr>
                <w:sz w:val="20"/>
                <w:szCs w:val="20"/>
                <w:color w:val="auto"/>
              </w:rPr>
            </w:pPr>
            <w:r>
              <w:rPr>
                <w:rFonts w:ascii="Arial" w:cs="Arial" w:eastAsia="Arial" w:hAnsi="Arial"/>
                <w:sz w:val="14"/>
                <w:szCs w:val="14"/>
                <w:b w:val="1"/>
                <w:bCs w:val="1"/>
                <w:color w:val="auto"/>
              </w:rPr>
              <w:t>September 30,</w:t>
            </w:r>
          </w:p>
        </w:tc>
        <w:tc>
          <w:tcPr>
            <w:tcW w:w="1040" w:type="dxa"/>
            <w:vAlign w:val="bottom"/>
            <w:tcBorders>
              <w:top w:val="single" w:sz="8" w:color="auto"/>
            </w:tcBorders>
            <w:gridSpan w:val="2"/>
          </w:tcPr>
          <w:p>
            <w:pPr>
              <w:ind w:left="20"/>
              <w:spacing w:after="0" w:line="154" w:lineRule="exact"/>
              <w:rPr>
                <w:sz w:val="20"/>
                <w:szCs w:val="20"/>
                <w:color w:val="auto"/>
              </w:rPr>
            </w:pPr>
            <w:r>
              <w:rPr>
                <w:rFonts w:ascii="Arial" w:cs="Arial" w:eastAsia="Arial" w:hAnsi="Arial"/>
                <w:sz w:val="14"/>
                <w:szCs w:val="14"/>
                <w:b w:val="1"/>
                <w:bCs w:val="1"/>
                <w:color w:val="auto"/>
              </w:rPr>
              <w:t>September 30,</w:t>
            </w:r>
          </w:p>
        </w:tc>
        <w:tc>
          <w:tcPr>
            <w:tcW w:w="300" w:type="dxa"/>
            <w:vAlign w:val="bottom"/>
          </w:tcPr>
          <w:p>
            <w:pPr>
              <w:spacing w:after="0"/>
              <w:rPr>
                <w:sz w:val="13"/>
                <w:szCs w:val="13"/>
                <w:color w:val="auto"/>
              </w:rPr>
            </w:pPr>
          </w:p>
        </w:tc>
        <w:tc>
          <w:tcPr>
            <w:tcW w:w="1040" w:type="dxa"/>
            <w:vAlign w:val="bottom"/>
            <w:tcBorders>
              <w:top w:val="single" w:sz="8" w:color="auto"/>
            </w:tcBorders>
            <w:gridSpan w:val="2"/>
          </w:tcPr>
          <w:p>
            <w:pPr>
              <w:ind w:left="20"/>
              <w:spacing w:after="0" w:line="154" w:lineRule="exact"/>
              <w:rPr>
                <w:sz w:val="20"/>
                <w:szCs w:val="20"/>
                <w:color w:val="auto"/>
              </w:rPr>
            </w:pPr>
            <w:r>
              <w:rPr>
                <w:rFonts w:ascii="Arial" w:cs="Arial" w:eastAsia="Arial" w:hAnsi="Arial"/>
                <w:sz w:val="14"/>
                <w:szCs w:val="14"/>
                <w:b w:val="1"/>
                <w:bCs w:val="1"/>
                <w:color w:val="auto"/>
              </w:rPr>
              <w:t>September 30,</w:t>
            </w:r>
          </w:p>
        </w:tc>
        <w:tc>
          <w:tcPr>
            <w:tcW w:w="2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gridSpan w:val="2"/>
          </w:tcPr>
          <w:p>
            <w:pPr>
              <w:ind w:left="20"/>
              <w:spacing w:after="0" w:line="154" w:lineRule="exact"/>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4000" w:type="dxa"/>
            <w:vAlign w:val="bottom"/>
            <w:vMerge w:val="restart"/>
          </w:tcPr>
          <w:p>
            <w:pPr>
              <w:spacing w:after="0"/>
              <w:rPr>
                <w:sz w:val="20"/>
                <w:szCs w:val="20"/>
                <w:color w:val="auto"/>
              </w:rPr>
            </w:pPr>
            <w:r>
              <w:rPr>
                <w:rFonts w:ascii="Arial" w:cs="Arial" w:eastAsia="Arial" w:hAnsi="Arial"/>
                <w:sz w:val="18"/>
                <w:szCs w:val="18"/>
                <w:color w:val="auto"/>
              </w:rPr>
              <w:t>Revenue</w:t>
            </w:r>
          </w:p>
        </w:tc>
        <w:tc>
          <w:tcPr>
            <w:tcW w:w="1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2019</w:t>
            </w:r>
          </w:p>
        </w:tc>
        <w:tc>
          <w:tcPr>
            <w:tcW w:w="3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000" w:type="dxa"/>
            <w:vAlign w:val="bottom"/>
            <w:vMerge w:val="continue"/>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Space &amp; Geospatial Solutions</w:t>
            </w:r>
          </w:p>
        </w:tc>
        <w:tc>
          <w:tcPr>
            <w:tcW w:w="1300" w:type="dxa"/>
            <w:vAlign w:val="bottom"/>
            <w:gridSpan w:val="2"/>
            <w:shd w:val="clear" w:color="auto" w:fill="CFF0FC"/>
          </w:tcPr>
          <w:p>
            <w:pPr>
              <w:ind w:left="1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68,354</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49,944</w:t>
            </w:r>
          </w:p>
        </w:tc>
        <w:tc>
          <w:tcPr>
            <w:tcW w:w="460" w:type="dxa"/>
            <w:vAlign w:val="bottom"/>
            <w:gridSpan w:val="2"/>
            <w:shd w:val="clear" w:color="auto" w:fill="CFF0FC"/>
          </w:tcPr>
          <w:p>
            <w:pPr>
              <w:ind w:left="3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177,609</w:t>
            </w:r>
          </w:p>
        </w:tc>
        <w:tc>
          <w:tcPr>
            <w:tcW w:w="36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161,469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480"/>
              <w:spacing w:after="0"/>
              <w:rPr>
                <w:sz w:val="20"/>
                <w:szCs w:val="20"/>
                <w:color w:val="auto"/>
              </w:rPr>
            </w:pPr>
            <w:r>
              <w:rPr>
                <w:rFonts w:ascii="Arial" w:cs="Arial" w:eastAsia="Arial" w:hAnsi="Arial"/>
                <w:sz w:val="18"/>
                <w:szCs w:val="18"/>
                <w:color w:val="auto"/>
              </w:rPr>
              <w:t>Cyber &amp; Intelligence</w:t>
            </w: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110,339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91,854</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312,214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244,892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Engineered Systems</w:t>
            </w:r>
          </w:p>
        </w:tc>
        <w:tc>
          <w:tcPr>
            <w:tcW w:w="1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164,867</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180,171</w:t>
            </w: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504,182</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493,065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Missile Defense &amp; C5ISR</w:t>
            </w:r>
          </w:p>
        </w:tc>
        <w:tc>
          <w:tcPr>
            <w:tcW w:w="114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154,596</w:t>
            </w:r>
          </w:p>
        </w:tc>
        <w:tc>
          <w:tcPr>
            <w:tcW w:w="20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164,206</w:t>
            </w:r>
          </w:p>
        </w:tc>
        <w:tc>
          <w:tcPr>
            <w:tcW w:w="30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463,932</w:t>
            </w:r>
          </w:p>
        </w:tc>
        <w:tc>
          <w:tcPr>
            <w:tcW w:w="20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488,058</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Federal Solutions revenues</w:t>
            </w:r>
          </w:p>
        </w:tc>
        <w:tc>
          <w:tcPr>
            <w:tcW w:w="114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498,156</w:t>
            </w:r>
          </w:p>
        </w:tc>
        <w:tc>
          <w:tcPr>
            <w:tcW w:w="20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486,175</w:t>
            </w:r>
          </w:p>
        </w:tc>
        <w:tc>
          <w:tcPr>
            <w:tcW w:w="30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1,457,937</w:t>
            </w:r>
          </w:p>
        </w:tc>
        <w:tc>
          <w:tcPr>
            <w:tcW w:w="20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1,387,484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00" w:type="dxa"/>
            <w:vAlign w:val="bottom"/>
          </w:tcPr>
          <w:p>
            <w:pPr>
              <w:ind w:left="480"/>
              <w:spacing w:after="0"/>
              <w:rPr>
                <w:sz w:val="20"/>
                <w:szCs w:val="20"/>
                <w:color w:val="auto"/>
              </w:rPr>
            </w:pPr>
            <w:r>
              <w:rPr>
                <w:rFonts w:ascii="Arial" w:cs="Arial" w:eastAsia="Arial" w:hAnsi="Arial"/>
                <w:sz w:val="18"/>
                <w:szCs w:val="18"/>
                <w:color w:val="auto"/>
              </w:rPr>
              <w:t>Mobility Solutions</w:t>
            </w: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389,714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435,749</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1,180,125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1,211,571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Connected Communities</w:t>
            </w:r>
          </w:p>
        </w:tc>
        <w:tc>
          <w:tcPr>
            <w:tcW w:w="114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116,366</w:t>
            </w:r>
          </w:p>
        </w:tc>
        <w:tc>
          <w:tcPr>
            <w:tcW w:w="20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101,353</w:t>
            </w:r>
          </w:p>
        </w:tc>
        <w:tc>
          <w:tcPr>
            <w:tcW w:w="30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316,626</w:t>
            </w:r>
          </w:p>
        </w:tc>
        <w:tc>
          <w:tcPr>
            <w:tcW w:w="20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318,369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Critical Infrastructure revenues</w:t>
            </w:r>
          </w:p>
        </w:tc>
        <w:tc>
          <w:tcPr>
            <w:tcW w:w="114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506,080</w:t>
            </w:r>
          </w:p>
        </w:tc>
        <w:tc>
          <w:tcPr>
            <w:tcW w:w="20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537,102</w:t>
            </w:r>
          </w:p>
        </w:tc>
        <w:tc>
          <w:tcPr>
            <w:tcW w:w="30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1,496,751</w:t>
            </w:r>
          </w:p>
        </w:tc>
        <w:tc>
          <w:tcPr>
            <w:tcW w:w="20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1,529,940</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Revenue</w:t>
            </w:r>
          </w:p>
        </w:tc>
        <w:tc>
          <w:tcPr>
            <w:tcW w:w="11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1,004,236</w:t>
            </w:r>
          </w:p>
        </w:tc>
        <w:tc>
          <w:tcPr>
            <w:tcW w:w="2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1,023,277</w:t>
            </w:r>
          </w:p>
        </w:tc>
        <w:tc>
          <w:tcPr>
            <w:tcW w:w="3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2,954,688</w:t>
            </w:r>
          </w:p>
        </w:tc>
        <w:tc>
          <w:tcPr>
            <w:tcW w:w="2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2,917,424</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ind w:right="100" w:firstLine="374"/>
        <w:spacing w:after="0" w:line="276" w:lineRule="auto"/>
        <w:rPr>
          <w:sz w:val="20"/>
          <w:szCs w:val="20"/>
          <w:color w:val="auto"/>
        </w:rPr>
      </w:pPr>
      <w:r>
        <w:rPr>
          <w:rFonts w:ascii="Arial" w:cs="Arial" w:eastAsia="Arial" w:hAnsi="Arial"/>
          <w:sz w:val="18"/>
          <w:szCs w:val="18"/>
          <w:color w:val="auto"/>
        </w:rPr>
        <w:t>Effective January 1, 2020, the Company made changes to its business lines as described below. The prior year information in the table above has been reclassified to conform to the business line changes.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Federal Solutions Business Line Changes</w:t>
      </w:r>
    </w:p>
    <w:p>
      <w:pPr>
        <w:spacing w:after="0" w:line="214" w:lineRule="exact"/>
        <w:rPr>
          <w:sz w:val="20"/>
          <w:szCs w:val="20"/>
          <w:color w:val="auto"/>
        </w:rPr>
      </w:pPr>
    </w:p>
    <w:p>
      <w:pPr>
        <w:ind w:right="80" w:firstLine="374"/>
        <w:spacing w:after="0" w:line="245" w:lineRule="auto"/>
        <w:rPr>
          <w:sz w:val="20"/>
          <w:szCs w:val="20"/>
          <w:color w:val="auto"/>
        </w:rPr>
      </w:pPr>
      <w:r>
        <w:rPr>
          <w:rFonts w:ascii="Arial" w:cs="Arial" w:eastAsia="Arial" w:hAnsi="Arial"/>
          <w:sz w:val="18"/>
          <w:szCs w:val="18"/>
          <w:color w:val="auto"/>
        </w:rPr>
        <w:t>As a result of the acquisitions of Polaris Alpha, OGSystems and QRC, we realigned the five business lines within our Federal Solutions segment into four business lines. We consolidated all space and geospatial programs from the former Geospatial Solutions, Defense and Cyber &amp; Intelligence markets into a new Space &amp; Geospatial Solutions business line to increase focus on the critical, evolving space market. This new business line better aligns capabilities and customers to drive growth and performance execution through improved agile, end-to-end solutions and dedicated customer focus.</w:t>
      </w:r>
    </w:p>
    <w:p>
      <w:pPr>
        <w:spacing w:after="0" w:line="172" w:lineRule="exact"/>
        <w:rPr>
          <w:sz w:val="20"/>
          <w:szCs w:val="20"/>
          <w:color w:val="auto"/>
        </w:rPr>
      </w:pPr>
    </w:p>
    <w:p>
      <w:pPr>
        <w:jc w:val="both"/>
        <w:ind w:right="80" w:firstLine="374"/>
        <w:spacing w:after="0" w:line="255" w:lineRule="auto"/>
        <w:rPr>
          <w:sz w:val="20"/>
          <w:szCs w:val="20"/>
          <w:color w:val="auto"/>
        </w:rPr>
      </w:pPr>
      <w:r>
        <w:rPr>
          <w:rFonts w:ascii="Arial" w:cs="Arial" w:eastAsia="Arial" w:hAnsi="Arial"/>
          <w:sz w:val="18"/>
          <w:szCs w:val="18"/>
          <w:color w:val="auto"/>
        </w:rPr>
        <w:t>Further, we re-named our Defense business line to Missile Defense &amp; C5ISR. We moved our Missions Solutions business line into our Missile Defense &amp; C5ISR, Engineered Systems and Cyber &amp; Intelligence business lines, for better customer and capability alignment. These changes were the next logical step in our acquisition integration process, to optimize performance delivery and growth.</w:t>
      </w:r>
    </w:p>
    <w:p>
      <w:pPr>
        <w:spacing w:after="0" w:line="162"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Critical Infrastructure Business Line Changes</w:t>
      </w:r>
    </w:p>
    <w:p>
      <w:pPr>
        <w:spacing w:after="0" w:line="214" w:lineRule="exact"/>
        <w:rPr>
          <w:sz w:val="20"/>
          <w:szCs w:val="20"/>
          <w:color w:val="auto"/>
        </w:rPr>
      </w:pPr>
    </w:p>
    <w:p>
      <w:pPr>
        <w:ind w:firstLine="749"/>
        <w:spacing w:after="0" w:line="243" w:lineRule="auto"/>
        <w:rPr>
          <w:sz w:val="20"/>
          <w:szCs w:val="20"/>
          <w:color w:val="auto"/>
        </w:rPr>
      </w:pPr>
      <w:r>
        <w:rPr>
          <w:rFonts w:ascii="Arial" w:cs="Arial" w:eastAsia="Arial" w:hAnsi="Arial"/>
          <w:sz w:val="18"/>
          <w:szCs w:val="18"/>
          <w:color w:val="auto"/>
        </w:rPr>
        <w:t>We re-aligned our Critical Infrastructure segment from three markets to two markets. Industrial is now a part of Mobility Solutions and we moved all Middle East business into Mobility Solutions as well. We believe this will drive improved synergies among like-markets and increased collaboration in areas such as program and engineering management, civil and structural and water/wastewater treatment. We also moved Aviation to Connected Communities and consolidated the civil portion of rail and transit with the systems portion of rail and transit into a consolidated sub-market within Connected Communities to focus on growth in these critical market segments. In each, we are pursuing systems, software and hardware product advanced technology opportunities.</w:t>
      </w:r>
    </w:p>
    <w:p>
      <w:pPr>
        <w:spacing w:after="0" w:line="320" w:lineRule="exact"/>
        <w:rPr>
          <w:sz w:val="20"/>
          <w:szCs w:val="20"/>
          <w:color w:val="auto"/>
        </w:rPr>
      </w:pPr>
    </w:p>
    <w:p>
      <w:pPr>
        <w:ind w:left="640" w:hanging="632"/>
        <w:spacing w:after="0"/>
        <w:tabs>
          <w:tab w:leader="none" w:pos="64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06" w:lineRule="exact"/>
        <w:rPr>
          <w:sz w:val="20"/>
          <w:szCs w:val="20"/>
          <w:color w:val="auto"/>
        </w:rPr>
      </w:pPr>
    </w:p>
    <w:p>
      <w:pPr>
        <w:ind w:right="260" w:firstLine="749"/>
        <w:spacing w:after="0" w:line="248" w:lineRule="auto"/>
        <w:rPr>
          <w:sz w:val="20"/>
          <w:szCs w:val="20"/>
          <w:color w:val="auto"/>
        </w:rPr>
      </w:pPr>
      <w:r>
        <w:rPr>
          <w:rFonts w:ascii="Arial" w:cs="Arial" w:eastAsia="Arial" w:hAnsi="Arial"/>
          <w:sz w:val="18"/>
          <w:szCs w:val="18"/>
          <w:color w:val="auto"/>
        </w:rPr>
        <w:t>On October 29, 2020, the Company announced that it has entered into a definitive agreement to acquire Braxton Science &amp; Technology Group, LLC (BSTG). BSTG operates at the forefront of satellite operations, ground system automation, flighty dynamics, and spacecraft and antenna simulation for the U.S. Department of Defense and Intelligence Community. The purchase price is estimated to be $300 million and the Company anticipates using all cash to fund the transaction.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08" w:lineRule="exact"/>
        <w:rPr>
          <w:sz w:val="20"/>
          <w:szCs w:val="20"/>
          <w:color w:val="auto"/>
        </w:rPr>
      </w:pPr>
    </w:p>
    <w:p>
      <w:pPr>
        <w:ind w:right="240" w:firstLine="637"/>
        <w:spacing w:after="0" w:line="247" w:lineRule="auto"/>
        <w:rPr>
          <w:sz w:val="20"/>
          <w:szCs w:val="20"/>
          <w:color w:val="auto"/>
        </w:rPr>
      </w:pPr>
      <w:r>
        <w:rPr>
          <w:rFonts w:ascii="Arial" w:cs="Arial" w:eastAsia="Arial" w:hAnsi="Arial"/>
          <w:sz w:val="18"/>
          <w:szCs w:val="18"/>
          <w:i w:val="1"/>
          <w:iCs w:val="1"/>
          <w:color w:val="auto"/>
        </w:rPr>
        <w:t>The following discussion and analysis is intended to help investors understand our business, financial condition, results of operations, liquidity and capital resources. You should read this discussion together with our consolidated financial statements and related notes thereto included elsewhere in this Form 10-Q and in conjunction with the Company’s Form 10-K for the year ended December 31, 2019.</w:t>
      </w:r>
    </w:p>
    <w:p>
      <w:pPr>
        <w:spacing w:after="0" w:line="174" w:lineRule="exact"/>
        <w:rPr>
          <w:sz w:val="20"/>
          <w:szCs w:val="20"/>
          <w:color w:val="auto"/>
        </w:rPr>
      </w:pPr>
    </w:p>
    <w:p>
      <w:pPr>
        <w:ind w:right="80" w:firstLine="637"/>
        <w:spacing w:after="0" w:line="242" w:lineRule="auto"/>
        <w:rPr>
          <w:sz w:val="20"/>
          <w:szCs w:val="20"/>
          <w:color w:val="auto"/>
        </w:rPr>
      </w:pPr>
      <w:r>
        <w:rPr>
          <w:rFonts w:ascii="Arial" w:cs="Arial" w:eastAsia="Arial" w:hAnsi="Arial"/>
          <w:sz w:val="18"/>
          <w:szCs w:val="18"/>
          <w:i w:val="1"/>
          <w:iCs w:val="1"/>
          <w:color w:val="auto"/>
        </w:rPr>
        <w:t>The statements in this discussion regarding industry outlook, our expectations regarding our future performance, liquidity and capital resources and other non-historical statements in this discussion are forward-looking statements. These forward-looking statements are subject to numerous risks and uncertainties, including, but not limited to, the risks and uncertainties described in “Risk Factors” and “Special Note Regarding Forward-Looking Statements” in the Company’s Form 10-K for the year ended December 31, 2019. We undertake no obligation to revise publicly any forward-looking statements. Actual results may differ materially from those contained in any forward-looking statements.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Pandemic</w:t>
      </w:r>
    </w:p>
    <w:p>
      <w:pPr>
        <w:spacing w:after="0" w:line="104" w:lineRule="exact"/>
        <w:rPr>
          <w:sz w:val="20"/>
          <w:szCs w:val="20"/>
          <w:color w:val="auto"/>
        </w:rPr>
      </w:pPr>
    </w:p>
    <w:p>
      <w:pPr>
        <w:ind w:right="360" w:firstLine="644"/>
        <w:spacing w:after="0" w:line="248" w:lineRule="auto"/>
        <w:rPr>
          <w:sz w:val="20"/>
          <w:szCs w:val="20"/>
          <w:color w:val="auto"/>
        </w:rPr>
      </w:pPr>
      <w:r>
        <w:rPr>
          <w:rFonts w:ascii="Arial" w:cs="Arial" w:eastAsia="Arial" w:hAnsi="Arial"/>
          <w:sz w:val="18"/>
          <w:szCs w:val="18"/>
          <w:color w:val="auto"/>
        </w:rPr>
        <w:t>In response to the COVID-19 pandemic, the Company has taken certain actions to continue to execute under our contracts with customers and allow our people to work safely. A substantial majority of our work-force transitioned to work-from-home status during the latter part of the quarter ended March 31, 2020, and these practices remain in effect as of the date of this filing. To date, we have experienced no material disruption in our work as a consequence of these changes in our work practices.</w:t>
      </w:r>
    </w:p>
    <w:p>
      <w:pPr>
        <w:spacing w:after="0" w:line="62" w:lineRule="exact"/>
        <w:rPr>
          <w:sz w:val="20"/>
          <w:szCs w:val="20"/>
          <w:color w:val="auto"/>
        </w:rPr>
      </w:pPr>
    </w:p>
    <w:p>
      <w:pPr>
        <w:ind w:right="120" w:firstLine="644"/>
        <w:spacing w:after="0" w:line="248" w:lineRule="auto"/>
        <w:rPr>
          <w:sz w:val="20"/>
          <w:szCs w:val="20"/>
          <w:color w:val="auto"/>
        </w:rPr>
      </w:pPr>
      <w:r>
        <w:rPr>
          <w:rFonts w:ascii="Arial" w:cs="Arial" w:eastAsia="Arial" w:hAnsi="Arial"/>
          <w:sz w:val="18"/>
          <w:szCs w:val="18"/>
          <w:color w:val="auto"/>
        </w:rPr>
        <w:t>The Company has experienced an impact in the volume of work in both the Federal Solutions and Critical Infrastructure segments where customers have restricted access to certain project sites. We have not seen any substantive cancellations of previously awarded contracts. In the Federal Solutions segment, we have had some existing contracts extended. We continue to see several potential contract awards pushed out to a future date.</w:t>
      </w:r>
    </w:p>
    <w:p>
      <w:pPr>
        <w:spacing w:after="0" w:line="62" w:lineRule="exact"/>
        <w:rPr>
          <w:sz w:val="20"/>
          <w:szCs w:val="20"/>
          <w:color w:val="auto"/>
        </w:rPr>
      </w:pPr>
    </w:p>
    <w:p>
      <w:pPr>
        <w:ind w:firstLine="644"/>
        <w:spacing w:after="0" w:line="255" w:lineRule="auto"/>
        <w:rPr>
          <w:sz w:val="20"/>
          <w:szCs w:val="20"/>
          <w:color w:val="auto"/>
        </w:rPr>
      </w:pPr>
      <w:r>
        <w:rPr>
          <w:rFonts w:ascii="Arial" w:cs="Arial" w:eastAsia="Arial" w:hAnsi="Arial"/>
          <w:sz w:val="18"/>
          <w:szCs w:val="18"/>
          <w:color w:val="auto"/>
        </w:rPr>
        <w:t>The Company is receiving limited benefits associated with the CARES Act related to its work on certain US national security projects; however, the curtailment of work under these projects and the CARES Act benefits are not likely to have a material impact on our financial condition or results of operations.</w:t>
      </w:r>
    </w:p>
    <w:p>
      <w:pPr>
        <w:spacing w:after="0" w:line="56" w:lineRule="exact"/>
        <w:rPr>
          <w:sz w:val="20"/>
          <w:szCs w:val="20"/>
          <w:color w:val="auto"/>
        </w:rPr>
      </w:pPr>
    </w:p>
    <w:p>
      <w:pPr>
        <w:ind w:right="260" w:firstLine="644"/>
        <w:spacing w:after="0" w:line="306" w:lineRule="auto"/>
        <w:rPr>
          <w:sz w:val="20"/>
          <w:szCs w:val="20"/>
          <w:color w:val="auto"/>
        </w:rPr>
      </w:pPr>
      <w:r>
        <w:rPr>
          <w:rFonts w:ascii="Arial" w:cs="Arial" w:eastAsia="Arial" w:hAnsi="Arial"/>
          <w:sz w:val="17"/>
          <w:szCs w:val="17"/>
          <w:color w:val="auto"/>
        </w:rPr>
        <w:t>The Company has provided additional disclosure around liquidity and capital resources which can be found in the “Liquidity and Capital Resources” section in Management’s Discussion and Analysis of Financial Condition and Results of Operations in this Form 10-Q.</w:t>
      </w:r>
    </w:p>
    <w:p>
      <w:pPr>
        <w:spacing w:after="0" w:line="15" w:lineRule="exact"/>
        <w:rPr>
          <w:sz w:val="20"/>
          <w:szCs w:val="20"/>
          <w:color w:val="auto"/>
        </w:rPr>
      </w:pPr>
    </w:p>
    <w:p>
      <w:pPr>
        <w:ind w:right="820" w:firstLine="644"/>
        <w:spacing w:after="0" w:line="276" w:lineRule="auto"/>
        <w:rPr>
          <w:sz w:val="20"/>
          <w:szCs w:val="20"/>
          <w:color w:val="auto"/>
        </w:rPr>
      </w:pPr>
      <w:r>
        <w:rPr>
          <w:rFonts w:ascii="Arial" w:cs="Arial" w:eastAsia="Arial" w:hAnsi="Arial"/>
          <w:sz w:val="18"/>
          <w:szCs w:val="18"/>
          <w:color w:val="auto"/>
        </w:rPr>
        <w:t>The Company anticipates substantially all of the Company’s subcontractors and material suppliers will be able to fulfill their contractual obligations and we do not expect a material impact from non-performance.</w:t>
      </w:r>
    </w:p>
    <w:p>
      <w:pPr>
        <w:spacing w:after="0" w:line="37" w:lineRule="exact"/>
        <w:rPr>
          <w:sz w:val="20"/>
          <w:szCs w:val="20"/>
          <w:color w:val="auto"/>
        </w:rPr>
      </w:pPr>
    </w:p>
    <w:p>
      <w:pPr>
        <w:ind w:right="280" w:firstLine="644"/>
        <w:spacing w:after="0" w:line="276" w:lineRule="auto"/>
        <w:rPr>
          <w:sz w:val="20"/>
          <w:szCs w:val="20"/>
          <w:color w:val="auto"/>
        </w:rPr>
      </w:pPr>
      <w:r>
        <w:rPr>
          <w:rFonts w:ascii="Arial" w:cs="Arial" w:eastAsia="Arial" w:hAnsi="Arial"/>
          <w:sz w:val="18"/>
          <w:szCs w:val="18"/>
          <w:color w:val="auto"/>
        </w:rPr>
        <w:t>The ultimate impact from the COVID-19 pandemic is difficult to predict. While many uncertainties exist, we currently anticipate no material change in our financial condition or results of operations.</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1" w:right="359" w:bottom="1440" w:gutter="0" w:footer="0" w:header="0"/>
        </w:sectPr>
      </w:pPr>
    </w:p>
    <w:bookmarkStart w:id="31" w:name="page32"/>
    <w:bookmarkEnd w:id="3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756920</wp:posOffset>
            </wp:positionH>
            <wp:positionV relativeFrom="page">
              <wp:posOffset>380365</wp:posOffset>
            </wp:positionV>
            <wp:extent cx="6043295" cy="33947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clrChange>
                        <a:clrFrom>
                          <a:srgbClr val="FFFFFF"/>
                        </a:clrFrom>
                        <a:clrTo>
                          <a:srgbClr val="FFFFFF">
                            <a:alpha val="0"/>
                          </a:srgbClr>
                        </a:clrTo>
                      </a:clrChange>
                      <a:extLst>
                        <a:ext uri="{28A0092B-C50C-407E-A947-70E740481C1C}"/>
                      </a:extLst>
                    </a:blip>
                    <a:srcRect/>
                    <a:stretch>
                      <a:fillRect/>
                    </a:stretch>
                  </pic:blipFill>
                  <pic:spPr bwMode="auto">
                    <a:xfrm>
                      <a:off x="0" y="0"/>
                      <a:ext cx="6043295" cy="3394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Overview</w:t>
      </w:r>
    </w:p>
    <w:p>
      <w:pPr>
        <w:spacing w:after="0" w:line="214" w:lineRule="exact"/>
        <w:rPr>
          <w:sz w:val="20"/>
          <w:szCs w:val="20"/>
          <w:color w:val="auto"/>
        </w:rPr>
      </w:pPr>
    </w:p>
    <w:p>
      <w:pPr>
        <w:ind w:right="80" w:firstLine="637"/>
        <w:spacing w:after="0" w:line="245" w:lineRule="auto"/>
        <w:rPr>
          <w:sz w:val="20"/>
          <w:szCs w:val="20"/>
          <w:color w:val="auto"/>
        </w:rPr>
      </w:pPr>
      <w:r>
        <w:rPr>
          <w:rFonts w:ascii="Arial" w:cs="Arial" w:eastAsia="Arial" w:hAnsi="Arial"/>
          <w:sz w:val="18"/>
          <w:szCs w:val="18"/>
          <w:color w:val="auto"/>
        </w:rPr>
        <w:t>We are a leading disruptive technology provider in the global defense, intelligence and critical infrastructure markets. We provide software and hardware products, technical services and integrated solutions to support our customers’ missions. We have developed significant expertise and differentiated capabilities in key areas of cybersecurity, intelligence, missile defense, C5ISR, space, geospatial, and connected communities. By combining our talented team of professionals and advanced technology, we help solve complex technical challenges to enable a safer, smarter and more interconnected world.</w:t>
      </w:r>
    </w:p>
    <w:p>
      <w:pPr>
        <w:spacing w:after="0" w:line="172" w:lineRule="exact"/>
        <w:rPr>
          <w:sz w:val="20"/>
          <w:szCs w:val="20"/>
          <w:color w:val="auto"/>
        </w:rPr>
      </w:pPr>
    </w:p>
    <w:p>
      <w:pPr>
        <w:ind w:right="140" w:firstLine="637"/>
        <w:spacing w:after="0" w:line="255" w:lineRule="auto"/>
        <w:rPr>
          <w:sz w:val="20"/>
          <w:szCs w:val="20"/>
          <w:color w:val="auto"/>
        </w:rPr>
      </w:pPr>
      <w:r>
        <w:rPr>
          <w:rFonts w:ascii="Arial" w:cs="Arial" w:eastAsia="Arial" w:hAnsi="Arial"/>
          <w:sz w:val="18"/>
          <w:szCs w:val="18"/>
          <w:color w:val="auto"/>
        </w:rPr>
        <w:t>We operate in two reporting segments, Federal Solutions and Critical Infrastructure. Our Federal Solutions business provides advanced technical solutions to the U.S. government. Our Critical Infrastructure business provides integrated engineering and management services for complex physical and digital infrastructure to state and local governments and large companies.</w:t>
      </w:r>
    </w:p>
    <w:p>
      <w:pPr>
        <w:spacing w:after="0" w:line="164" w:lineRule="exact"/>
        <w:rPr>
          <w:sz w:val="20"/>
          <w:szCs w:val="20"/>
          <w:color w:val="auto"/>
        </w:rPr>
      </w:pPr>
    </w:p>
    <w:p>
      <w:pPr>
        <w:ind w:right="80" w:firstLine="637"/>
        <w:spacing w:after="0" w:line="245" w:lineRule="auto"/>
        <w:rPr>
          <w:sz w:val="20"/>
          <w:szCs w:val="20"/>
          <w:color w:val="auto"/>
        </w:rPr>
      </w:pPr>
      <w:r>
        <w:rPr>
          <w:rFonts w:ascii="Arial" w:cs="Arial" w:eastAsia="Arial" w:hAnsi="Arial"/>
          <w:sz w:val="18"/>
          <w:szCs w:val="18"/>
          <w:color w:val="auto"/>
        </w:rPr>
        <w:t>Our employees provide services pursuant to contracts that we are awarded by the customer and specific task orders relating to such contracts. These contracts are often multi-year, which provides us backlog and visibility on our revenues for future periods. Many of our contracts and task orders are subject to renewal and rebidding at the end of their term, and some are subject to the exercise of contract options and issuance of task orders by the applicable government entity. In addition to focusing on increasing our revenues through increased contract awards and backlog, we focus our financial performance on margin expansion and cash flow.</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Key Metrics</w:t>
      </w:r>
    </w:p>
    <w:p>
      <w:pPr>
        <w:spacing w:after="0" w:line="214" w:lineRule="exact"/>
        <w:rPr>
          <w:sz w:val="20"/>
          <w:szCs w:val="20"/>
          <w:color w:val="auto"/>
        </w:rPr>
      </w:pPr>
    </w:p>
    <w:p>
      <w:pPr>
        <w:ind w:right="260" w:firstLine="637"/>
        <w:spacing w:after="0" w:line="276" w:lineRule="auto"/>
        <w:rPr>
          <w:sz w:val="20"/>
          <w:szCs w:val="20"/>
          <w:color w:val="auto"/>
        </w:rPr>
      </w:pPr>
      <w:r>
        <w:rPr>
          <w:rFonts w:ascii="Arial" w:cs="Arial" w:eastAsia="Arial" w:hAnsi="Arial"/>
          <w:sz w:val="18"/>
          <w:szCs w:val="18"/>
          <w:color w:val="auto"/>
        </w:rPr>
        <w:t>We manage and assess the performance of our business by evaluating a variety of metrics. The following table sets forth selected key metrics (in thousands, except Book-to-Bill):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4711065</wp:posOffset>
            </wp:positionH>
            <wp:positionV relativeFrom="paragraph">
              <wp:posOffset>123825</wp:posOffset>
            </wp:positionV>
            <wp:extent cx="200596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005965" cy="8890"/>
                    </a:xfrm>
                    <a:prstGeom prst="rect">
                      <a:avLst/>
                    </a:prstGeom>
                    <a:noFill/>
                  </pic:spPr>
                </pic:pic>
              </a:graphicData>
            </a:graphic>
          </wp:anchor>
        </w:drawing>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8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1460" w:type="dxa"/>
            <w:vAlign w:val="bottom"/>
            <w:gridSpan w:val="2"/>
          </w:tcPr>
          <w:p>
            <w:pPr>
              <w:jc w:val="right"/>
              <w:spacing w:after="0"/>
              <w:rPr>
                <w:sz w:val="20"/>
                <w:szCs w:val="20"/>
                <w:color w:val="auto"/>
              </w:rPr>
            </w:pPr>
            <w:r>
              <w:rPr>
                <w:rFonts w:ascii="Arial" w:cs="Arial" w:eastAsia="Arial" w:hAnsi="Arial"/>
                <w:sz w:val="14"/>
                <w:szCs w:val="14"/>
                <w:b w:val="1"/>
                <w:bCs w:val="1"/>
                <w:color w:val="auto"/>
              </w:rPr>
              <w:t>September 30, 2020</w:t>
            </w:r>
          </w:p>
        </w:tc>
        <w:tc>
          <w:tcPr>
            <w:tcW w:w="240" w:type="dxa"/>
            <w:vAlign w:val="bottom"/>
          </w:tcPr>
          <w:p>
            <w:pPr>
              <w:spacing w:after="0"/>
              <w:rPr>
                <w:sz w:val="15"/>
                <w:szCs w:val="15"/>
                <w:color w:val="auto"/>
              </w:rPr>
            </w:pPr>
          </w:p>
        </w:tc>
        <w:tc>
          <w:tcPr>
            <w:tcW w:w="1560" w:type="dxa"/>
            <w:vAlign w:val="bottom"/>
            <w:gridSpan w:val="3"/>
          </w:tcPr>
          <w:p>
            <w:pPr>
              <w:ind w:left="60"/>
              <w:spacing w:after="0"/>
              <w:rPr>
                <w:sz w:val="20"/>
                <w:szCs w:val="20"/>
                <w:color w:val="auto"/>
              </w:rPr>
            </w:pPr>
            <w:r>
              <w:rPr>
                <w:rFonts w:ascii="Arial" w:cs="Arial" w:eastAsia="Arial" w:hAnsi="Arial"/>
                <w:sz w:val="14"/>
                <w:szCs w:val="14"/>
                <w:b w:val="1"/>
                <w:bCs w:val="1"/>
                <w:color w:val="auto"/>
              </w:rPr>
              <w:t>September 30, 2019</w:t>
            </w:r>
          </w:p>
        </w:tc>
        <w:tc>
          <w:tcPr>
            <w:tcW w:w="560" w:type="dxa"/>
            <w:vAlign w:val="bottom"/>
          </w:tcPr>
          <w:p>
            <w:pPr>
              <w:spacing w:after="0"/>
              <w:rPr>
                <w:sz w:val="15"/>
                <w:szCs w:val="15"/>
                <w:color w:val="auto"/>
              </w:rPr>
            </w:pPr>
          </w:p>
        </w:tc>
      </w:tr>
      <w:tr>
        <w:trPr>
          <w:trHeight w:val="210"/>
        </w:trPr>
        <w:tc>
          <w:tcPr>
            <w:tcW w:w="580" w:type="dxa"/>
            <w:vAlign w:val="bottom"/>
          </w:tcPr>
          <w:p>
            <w:pPr>
              <w:spacing w:after="0"/>
              <w:rPr>
                <w:sz w:val="18"/>
                <w:szCs w:val="18"/>
                <w:color w:val="auto"/>
              </w:rPr>
            </w:pPr>
          </w:p>
        </w:tc>
        <w:tc>
          <w:tcPr>
            <w:tcW w:w="3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Awards (year to date)</w:t>
            </w:r>
          </w:p>
        </w:tc>
        <w:tc>
          <w:tcPr>
            <w:tcW w:w="3360" w:type="dxa"/>
            <w:vAlign w:val="bottom"/>
            <w:tcBorders>
              <w:top w:val="single" w:sz="8" w:color="CFF0FC"/>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jc w:val="right"/>
              <w:ind w:right="199"/>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3,141,745</w:t>
            </w:r>
          </w:p>
        </w:tc>
        <w:tc>
          <w:tcPr>
            <w:tcW w:w="240" w:type="dxa"/>
            <w:vAlign w:val="bottom"/>
            <w:tcBorders>
              <w:top w:val="single" w:sz="8" w:color="CFF0FC"/>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jc w:val="right"/>
              <w:ind w:right="199"/>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3,334,434</w:t>
            </w:r>
          </w:p>
        </w:tc>
        <w:tc>
          <w:tcPr>
            <w:tcW w:w="100" w:type="dxa"/>
            <w:vAlign w:val="bottom"/>
            <w:tcBorders>
              <w:top w:val="single" w:sz="8" w:color="CFF0FC"/>
            </w:tcBorders>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Backlog (1)</w:t>
            </w:r>
          </w:p>
        </w:tc>
        <w:tc>
          <w:tcPr>
            <w:tcW w:w="3740" w:type="dxa"/>
            <w:vAlign w:val="bottom"/>
            <w:gridSpan w:val="2"/>
          </w:tcPr>
          <w:p>
            <w:pPr>
              <w:jc w:val="right"/>
              <w:ind w:right="199"/>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7,776,610</w:t>
            </w:r>
          </w:p>
        </w:tc>
        <w:tc>
          <w:tcPr>
            <w:tcW w:w="620" w:type="dxa"/>
            <w:vAlign w:val="bottom"/>
            <w:gridSpan w:val="2"/>
          </w:tcPr>
          <w:p>
            <w:pPr>
              <w:jc w:val="right"/>
              <w:ind w:right="199"/>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8,250,514</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480" w:type="dxa"/>
            <w:vAlign w:val="bottom"/>
            <w:shd w:val="clear" w:color="auto" w:fill="CFF0FC"/>
          </w:tcPr>
          <w:p>
            <w:pPr>
              <w:spacing w:after="0"/>
              <w:rPr>
                <w:sz w:val="20"/>
                <w:szCs w:val="20"/>
                <w:color w:val="auto"/>
              </w:rPr>
            </w:pPr>
            <w:r>
              <w:rPr>
                <w:rFonts w:ascii="Arial" w:cs="Arial" w:eastAsia="Arial" w:hAnsi="Arial"/>
                <w:sz w:val="18"/>
                <w:szCs w:val="18"/>
                <w:color w:val="auto"/>
              </w:rPr>
              <w:t>Book-to-Bill (year to date)</w:t>
            </w:r>
          </w:p>
        </w:tc>
        <w:tc>
          <w:tcPr>
            <w:tcW w:w="33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436"/>
        </w:trPr>
        <w:tc>
          <w:tcPr>
            <w:tcW w:w="5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3360" w:type="dxa"/>
            <w:vAlign w:val="bottom"/>
          </w:tcPr>
          <w:p>
            <w:pPr>
              <w:jc w:val="right"/>
              <w:ind w:right="1610"/>
              <w:spacing w:after="0"/>
              <w:rPr>
                <w:sz w:val="20"/>
                <w:szCs w:val="20"/>
                <w:color w:val="auto"/>
              </w:rPr>
            </w:pPr>
            <w:r>
              <w:rPr>
                <w:rFonts w:ascii="Arial" w:cs="Arial" w:eastAsia="Arial" w:hAnsi="Arial"/>
                <w:sz w:val="18"/>
                <w:szCs w:val="18"/>
                <w:color w:val="auto"/>
              </w:rPr>
              <w:t>30</w:t>
            </w: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98"/>
        </w:trPr>
        <w:tc>
          <w:tcPr>
            <w:tcW w:w="580" w:type="dxa"/>
            <w:vAlign w:val="bottom"/>
            <w:tcBorders>
              <w:bottom w:val="single" w:sz="8" w:color="9A9A9A"/>
            </w:tcBorders>
          </w:tcPr>
          <w:p>
            <w:pPr>
              <w:spacing w:after="0"/>
              <w:rPr>
                <w:sz w:val="8"/>
                <w:szCs w:val="8"/>
                <w:color w:val="auto"/>
              </w:rPr>
            </w:pPr>
          </w:p>
        </w:tc>
        <w:tc>
          <w:tcPr>
            <w:tcW w:w="3480" w:type="dxa"/>
            <w:vAlign w:val="bottom"/>
            <w:tcBorders>
              <w:bottom w:val="single" w:sz="8" w:color="9A9A9A"/>
            </w:tcBorders>
          </w:tcPr>
          <w:p>
            <w:pPr>
              <w:spacing w:after="0"/>
              <w:rPr>
                <w:sz w:val="8"/>
                <w:szCs w:val="8"/>
                <w:color w:val="auto"/>
              </w:rPr>
            </w:pPr>
          </w:p>
        </w:tc>
        <w:tc>
          <w:tcPr>
            <w:tcW w:w="336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ind w:left="640" w:right="100" w:hanging="632"/>
        <w:spacing w:after="0" w:line="255" w:lineRule="auto"/>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95123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951230" cy="8255"/>
                    </a:xfrm>
                    <a:prstGeom prst="rect">
                      <a:avLst/>
                    </a:prstGeom>
                    <a:noFill/>
                  </pic:spPr>
                </pic:pic>
              </a:graphicData>
            </a:graphic>
          </wp:anchor>
        </w:drawing>
        <w:t>Difference between our backlog of $7.8 billion and our remaining unsatisfied performance obligations, or RUPO, of $5.0 billion, each as of September 30, 2020, is due to (i) unissued delivery orders and unexercised option years, to the extent their issuance or exercise is probable, as well as (ii) contract awards, to the extent we believe contract execution and funding is probable.</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Awards</w:t>
      </w:r>
    </w:p>
    <w:p>
      <w:pPr>
        <w:spacing w:after="0" w:line="104" w:lineRule="exact"/>
        <w:rPr>
          <w:sz w:val="20"/>
          <w:szCs w:val="20"/>
          <w:color w:val="auto"/>
        </w:rPr>
      </w:pPr>
    </w:p>
    <w:p>
      <w:pPr>
        <w:ind w:right="240" w:firstLine="637"/>
        <w:spacing w:after="0" w:line="255" w:lineRule="auto"/>
        <w:rPr>
          <w:sz w:val="20"/>
          <w:szCs w:val="20"/>
          <w:color w:val="auto"/>
        </w:rPr>
      </w:pPr>
      <w:r>
        <w:rPr>
          <w:rFonts w:ascii="Arial" w:cs="Arial" w:eastAsia="Arial" w:hAnsi="Arial"/>
          <w:sz w:val="18"/>
          <w:szCs w:val="18"/>
          <w:color w:val="auto"/>
        </w:rPr>
        <w:t>Awards generally represent the amount of revenue expected to be earned in the future from funded and unfunded contract awards received during the period. Contract awards include both new and re-compete contracts and task orders. Given that new contract awards generate growth, we closely track our new awards each year.</w:t>
      </w:r>
    </w:p>
    <w:p>
      <w:pPr>
        <w:spacing w:after="0" w:line="16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the year to-date value of new awards for the periods presented below (in thousands):</w:t>
      </w:r>
    </w:p>
    <w:p>
      <w:pPr>
        <w:spacing w:after="0" w:line="314" w:lineRule="exact"/>
        <w:rPr>
          <w:sz w:val="20"/>
          <w:szCs w:val="20"/>
          <w:color w:val="auto"/>
        </w:rPr>
      </w:pPr>
    </w:p>
    <w:tbl>
      <w:tblPr>
        <w:tblLayout w:type="fixed"/>
        <w:tblInd w:w="580" w:type="dxa"/>
        <w:tblCellMar>
          <w:top w:w="0" w:type="dxa"/>
          <w:left w:w="0" w:type="dxa"/>
          <w:bottom w:w="0" w:type="dxa"/>
          <w:right w:w="0" w:type="dxa"/>
        </w:tblCellMar>
      </w:tblPr>
      <w:tr>
        <w:trPr>
          <w:trHeight w:val="177"/>
        </w:trPr>
        <w:tc>
          <w:tcPr>
            <w:tcW w:w="5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160" w:type="dxa"/>
            <w:vAlign w:val="bottom"/>
            <w:gridSpan w:val="4"/>
          </w:tcPr>
          <w:p>
            <w:pPr>
              <w:jc w:val="right"/>
              <w:ind w:right="375"/>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80" w:type="dxa"/>
            <w:vAlign w:val="bottom"/>
            <w:gridSpan w:val="5"/>
          </w:tcPr>
          <w:p>
            <w:pPr>
              <w:ind w:left="320"/>
              <w:spacing w:after="0"/>
              <w:rPr>
                <w:sz w:val="20"/>
                <w:szCs w:val="20"/>
                <w:color w:val="auto"/>
              </w:rPr>
            </w:pPr>
            <w:r>
              <w:rPr>
                <w:rFonts w:ascii="Arial" w:cs="Arial" w:eastAsia="Arial" w:hAnsi="Arial"/>
                <w:sz w:val="14"/>
                <w:szCs w:val="14"/>
                <w:b w:val="1"/>
                <w:bCs w:val="1"/>
                <w:color w:val="auto"/>
              </w:rPr>
              <w:t>Nine Months Ended</w:t>
            </w:r>
          </w:p>
        </w:tc>
      </w:tr>
      <w:tr>
        <w:trPr>
          <w:trHeight w:val="154"/>
        </w:trPr>
        <w:tc>
          <w:tcPr>
            <w:tcW w:w="5120" w:type="dxa"/>
            <w:vAlign w:val="bottom"/>
          </w:tcPr>
          <w:p>
            <w:pPr>
              <w:spacing w:after="0"/>
              <w:rPr>
                <w:sz w:val="13"/>
                <w:szCs w:val="13"/>
                <w:color w:val="auto"/>
              </w:rPr>
            </w:pPr>
          </w:p>
        </w:tc>
        <w:tc>
          <w:tcPr>
            <w:tcW w:w="1060" w:type="dxa"/>
            <w:vAlign w:val="bottom"/>
            <w:tcBorders>
              <w:top w:val="single" w:sz="8" w:color="auto"/>
            </w:tcBorders>
            <w:gridSpan w:val="2"/>
          </w:tcPr>
          <w:p>
            <w:pPr>
              <w:jc w:val="right"/>
              <w:spacing w:after="0" w:line="154" w:lineRule="exact"/>
              <w:rPr>
                <w:sz w:val="20"/>
                <w:szCs w:val="20"/>
                <w:color w:val="auto"/>
              </w:rPr>
            </w:pPr>
            <w:r>
              <w:rPr>
                <w:rFonts w:ascii="Arial" w:cs="Arial" w:eastAsia="Arial" w:hAnsi="Arial"/>
                <w:sz w:val="14"/>
                <w:szCs w:val="14"/>
                <w:b w:val="1"/>
                <w:bCs w:val="1"/>
                <w:color w:val="auto"/>
              </w:rPr>
              <w:t>September 30,</w:t>
            </w:r>
          </w:p>
        </w:tc>
        <w:tc>
          <w:tcPr>
            <w:tcW w:w="2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2"/>
          </w:tcPr>
          <w:p>
            <w:pPr>
              <w:jc w:val="right"/>
              <w:spacing w:after="0" w:line="154" w:lineRule="exact"/>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3"/>
                <w:szCs w:val="13"/>
                <w:color w:val="auto"/>
              </w:rPr>
            </w:pPr>
          </w:p>
        </w:tc>
        <w:tc>
          <w:tcPr>
            <w:tcW w:w="1080" w:type="dxa"/>
            <w:vAlign w:val="bottom"/>
            <w:tcBorders>
              <w:top w:val="single" w:sz="8" w:color="auto"/>
            </w:tcBorders>
            <w:gridSpan w:val="2"/>
          </w:tcPr>
          <w:p>
            <w:pPr>
              <w:jc w:val="right"/>
              <w:spacing w:after="0" w:line="154" w:lineRule="exact"/>
              <w:rPr>
                <w:sz w:val="20"/>
                <w:szCs w:val="20"/>
                <w:color w:val="auto"/>
              </w:rPr>
            </w:pPr>
            <w:r>
              <w:rPr>
                <w:rFonts w:ascii="Arial" w:cs="Arial" w:eastAsia="Arial" w:hAnsi="Arial"/>
                <w:sz w:val="14"/>
                <w:szCs w:val="14"/>
                <w:b w:val="1"/>
                <w:bCs w:val="1"/>
                <w:color w:val="auto"/>
              </w:rPr>
              <w:t>September 30,</w:t>
            </w:r>
          </w:p>
        </w:tc>
        <w:tc>
          <w:tcPr>
            <w:tcW w:w="20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gridSpan w:val="2"/>
          </w:tcPr>
          <w:p>
            <w:pPr>
              <w:jc w:val="right"/>
              <w:spacing w:after="0" w:line="154" w:lineRule="exact"/>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3"/>
                <w:szCs w:val="13"/>
                <w:color w:val="auto"/>
              </w:rPr>
            </w:pPr>
          </w:p>
        </w:tc>
      </w:tr>
      <w:tr>
        <w:trPr>
          <w:trHeight w:val="177"/>
        </w:trPr>
        <w:tc>
          <w:tcPr>
            <w:tcW w:w="512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5"/>
                <w:szCs w:val="15"/>
                <w:color w:val="auto"/>
              </w:rPr>
            </w:pPr>
          </w:p>
        </w:tc>
      </w:tr>
      <w:tr>
        <w:trPr>
          <w:trHeight w:val="209"/>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Federal Solutions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737,643</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845,559</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1,786,473</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2,076,928</w:t>
            </w:r>
          </w:p>
        </w:tc>
        <w:tc>
          <w:tcPr>
            <w:tcW w:w="100" w:type="dxa"/>
            <w:vAlign w:val="bottom"/>
            <w:shd w:val="clear" w:color="auto" w:fill="CFF0FC"/>
          </w:tcPr>
          <w:p>
            <w:pPr>
              <w:spacing w:after="0"/>
              <w:rPr>
                <w:sz w:val="18"/>
                <w:szCs w:val="18"/>
                <w:color w:val="auto"/>
              </w:rPr>
            </w:pPr>
          </w:p>
        </w:tc>
      </w:tr>
      <w:tr>
        <w:trPr>
          <w:trHeight w:val="216"/>
        </w:trPr>
        <w:tc>
          <w:tcPr>
            <w:tcW w:w="51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Critical Infrastructure</w:t>
            </w: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432,916</w:t>
            </w:r>
          </w:p>
        </w:tc>
        <w:tc>
          <w:tcPr>
            <w:tcW w:w="20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289,665</w:t>
            </w:r>
          </w:p>
        </w:tc>
        <w:tc>
          <w:tcPr>
            <w:tcW w:w="20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1,355,272</w:t>
            </w:r>
          </w:p>
        </w:tc>
        <w:tc>
          <w:tcPr>
            <w:tcW w:w="20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1,257,506</w:t>
            </w:r>
          </w:p>
        </w:tc>
        <w:tc>
          <w:tcPr>
            <w:tcW w:w="100" w:type="dxa"/>
            <w:vAlign w:val="bottom"/>
            <w:tcBorders>
              <w:bottom w:val="single" w:sz="8" w:color="CFF0FC"/>
            </w:tcBorders>
          </w:tcPr>
          <w:p>
            <w:pPr>
              <w:spacing w:after="0"/>
              <w:rPr>
                <w:sz w:val="18"/>
                <w:szCs w:val="18"/>
                <w:color w:val="auto"/>
              </w:rPr>
            </w:pPr>
          </w:p>
        </w:tc>
      </w:tr>
      <w:tr>
        <w:trPr>
          <w:trHeight w:val="210"/>
        </w:trPr>
        <w:tc>
          <w:tcPr>
            <w:tcW w:w="51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Awards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1,170,559</w:t>
            </w:r>
          </w:p>
        </w:tc>
        <w:tc>
          <w:tcPr>
            <w:tcW w:w="2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1,135,224</w:t>
            </w:r>
          </w:p>
        </w:tc>
        <w:tc>
          <w:tcPr>
            <w:tcW w:w="2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3,141,745</w:t>
            </w:r>
          </w:p>
        </w:tc>
        <w:tc>
          <w:tcPr>
            <w:tcW w:w="2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3,334,434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
        </w:trPr>
        <w:tc>
          <w:tcPr>
            <w:tcW w:w="5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0" w:lineRule="exact"/>
        <w:rPr>
          <w:sz w:val="20"/>
          <w:szCs w:val="20"/>
          <w:color w:val="auto"/>
        </w:rPr>
      </w:pPr>
    </w:p>
    <w:p>
      <w:pPr>
        <w:ind w:right="80" w:firstLine="637"/>
        <w:spacing w:after="0" w:line="245" w:lineRule="auto"/>
        <w:rPr>
          <w:sz w:val="20"/>
          <w:szCs w:val="20"/>
          <w:color w:val="auto"/>
        </w:rPr>
      </w:pPr>
      <w:r>
        <w:rPr>
          <w:rFonts w:ascii="Arial" w:cs="Arial" w:eastAsia="Arial" w:hAnsi="Arial"/>
          <w:sz w:val="18"/>
          <w:szCs w:val="18"/>
          <w:color w:val="auto"/>
        </w:rPr>
        <w:t>The change in new awards from year to year is primarily due to ordinary course fluctuations in our business. The volume of contract awards can fluctuate in any given period due to win rate and the timing and size of the awards issued by our customers. The change in new awards in our Federal Solutions segment for the nine months ended September 30, 2020 when compared to the corresponding period last year was impacted by two significant contracts awarded in the first quarter of 2019. The awards in Critical Infrastructure for the three and nine months ended September 30, 2020 were impacted by several large contracts awarded in the third quarter of 2020.</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Backlog</w:t>
      </w:r>
    </w:p>
    <w:p>
      <w:pPr>
        <w:spacing w:after="0" w:line="10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define backlog to include the following two components:</w:t>
      </w:r>
    </w:p>
    <w:p>
      <w:pPr>
        <w:spacing w:after="0" w:line="104" w:lineRule="exact"/>
        <w:rPr>
          <w:sz w:val="20"/>
          <w:szCs w:val="20"/>
          <w:color w:val="auto"/>
        </w:rPr>
      </w:pPr>
    </w:p>
    <w:p>
      <w:pPr>
        <w:ind w:left="880" w:right="640" w:hanging="238"/>
        <w:spacing w:after="0" w:line="276" w:lineRule="auto"/>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Funded—Funded backlog represents the revenue value of orders for services under existing contracts for which funding is appropriated or otherwise authorized less revenue previously recognized on these contracts.</w:t>
      </w:r>
    </w:p>
    <w:p>
      <w:pPr>
        <w:spacing w:after="0" w:line="36" w:lineRule="exact"/>
        <w:rPr>
          <w:rFonts w:ascii="Arial" w:cs="Arial" w:eastAsia="Arial" w:hAnsi="Arial"/>
          <w:sz w:val="18"/>
          <w:szCs w:val="18"/>
          <w:color w:val="auto"/>
        </w:rPr>
      </w:pPr>
    </w:p>
    <w:p>
      <w:pPr>
        <w:ind w:left="880" w:right="140" w:hanging="238"/>
        <w:spacing w:after="0" w:line="276" w:lineRule="auto"/>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Unfunded—Unfunded backlog represents the revenue value of orders for services under existing contracts for which funding has not been appropriated or otherwise authorized less revenue previously recognized on these contracts.</w:t>
      </w:r>
    </w:p>
    <w:p>
      <w:pPr>
        <w:spacing w:after="0" w:line="145" w:lineRule="exact"/>
        <w:rPr>
          <w:sz w:val="20"/>
          <w:szCs w:val="20"/>
          <w:color w:val="auto"/>
        </w:rPr>
      </w:pPr>
    </w:p>
    <w:p>
      <w:pPr>
        <w:ind w:right="160" w:firstLine="637"/>
        <w:spacing w:after="0" w:line="276" w:lineRule="auto"/>
        <w:rPr>
          <w:sz w:val="20"/>
          <w:szCs w:val="20"/>
          <w:color w:val="auto"/>
        </w:rPr>
      </w:pPr>
      <w:r>
        <w:rPr>
          <w:rFonts w:ascii="Arial" w:cs="Arial" w:eastAsia="Arial" w:hAnsi="Arial"/>
          <w:sz w:val="18"/>
          <w:szCs w:val="18"/>
          <w:color w:val="auto"/>
        </w:rPr>
        <w:t>Backlog includes (i) unissued task orders and unexercised option years, to the extent their issuance or exercise is probable, as well as (ii) contract awards, to the extent we believe contract execution and funding is probable.</w:t>
      </w:r>
    </w:p>
    <w:p>
      <w:pPr>
        <w:spacing w:after="0" w:line="14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the value of our backlog at the respective dates presented below: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4711065</wp:posOffset>
            </wp:positionH>
            <wp:positionV relativeFrom="paragraph">
              <wp:posOffset>165735</wp:posOffset>
            </wp:positionV>
            <wp:extent cx="200596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005965" cy="8255"/>
                    </a:xfrm>
                    <a:prstGeom prst="rect">
                      <a:avLst/>
                    </a:prstGeom>
                    <a:noFill/>
                  </pic:spPr>
                </pic:pic>
              </a:graphicData>
            </a:graphic>
          </wp:anchor>
        </w:drawing>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80" w:type="dxa"/>
            <w:vAlign w:val="bottom"/>
          </w:tcPr>
          <w:p>
            <w:pPr>
              <w:spacing w:after="0"/>
              <w:rPr>
                <w:sz w:val="15"/>
                <w:szCs w:val="15"/>
                <w:color w:val="auto"/>
              </w:rPr>
            </w:pPr>
          </w:p>
        </w:tc>
        <w:tc>
          <w:tcPr>
            <w:tcW w:w="3640" w:type="dxa"/>
            <w:vAlign w:val="bottom"/>
            <w:gridSpan w:val="2"/>
            <w:vMerge w:val="restart"/>
          </w:tcPr>
          <w:p>
            <w:pPr>
              <w:spacing w:after="0"/>
              <w:rPr>
                <w:sz w:val="20"/>
                <w:szCs w:val="20"/>
                <w:color w:val="auto"/>
              </w:rPr>
            </w:pPr>
            <w:r>
              <w:rPr>
                <w:rFonts w:ascii="Arial" w:cs="Arial" w:eastAsia="Arial" w:hAnsi="Arial"/>
                <w:sz w:val="18"/>
                <w:szCs w:val="18"/>
                <w:color w:val="auto"/>
              </w:rPr>
              <w:t>Federal Solutions:</w:t>
            </w:r>
          </w:p>
        </w:tc>
        <w:tc>
          <w:tcPr>
            <w:tcW w:w="3200" w:type="dxa"/>
            <w:vAlign w:val="bottom"/>
          </w:tcPr>
          <w:p>
            <w:pPr>
              <w:spacing w:after="0"/>
              <w:rPr>
                <w:sz w:val="15"/>
                <w:szCs w:val="15"/>
                <w:color w:val="auto"/>
              </w:rPr>
            </w:pPr>
          </w:p>
        </w:tc>
        <w:tc>
          <w:tcPr>
            <w:tcW w:w="1460" w:type="dxa"/>
            <w:vAlign w:val="bottom"/>
            <w:gridSpan w:val="2"/>
          </w:tcPr>
          <w:p>
            <w:pPr>
              <w:jc w:val="right"/>
              <w:spacing w:after="0"/>
              <w:rPr>
                <w:sz w:val="20"/>
                <w:szCs w:val="20"/>
                <w:color w:val="auto"/>
              </w:rPr>
            </w:pPr>
            <w:r>
              <w:rPr>
                <w:rFonts w:ascii="Arial" w:cs="Arial" w:eastAsia="Arial" w:hAnsi="Arial"/>
                <w:sz w:val="14"/>
                <w:szCs w:val="14"/>
                <w:b w:val="1"/>
                <w:bCs w:val="1"/>
                <w:color w:val="auto"/>
              </w:rPr>
              <w:t>September 30, 2020</w:t>
            </w:r>
          </w:p>
        </w:tc>
        <w:tc>
          <w:tcPr>
            <w:tcW w:w="240" w:type="dxa"/>
            <w:vAlign w:val="bottom"/>
          </w:tcPr>
          <w:p>
            <w:pPr>
              <w:spacing w:after="0"/>
              <w:rPr>
                <w:sz w:val="15"/>
                <w:szCs w:val="15"/>
                <w:color w:val="auto"/>
              </w:rPr>
            </w:pPr>
          </w:p>
        </w:tc>
        <w:tc>
          <w:tcPr>
            <w:tcW w:w="1560" w:type="dxa"/>
            <w:vAlign w:val="bottom"/>
            <w:gridSpan w:val="3"/>
          </w:tcPr>
          <w:p>
            <w:pPr>
              <w:ind w:left="60"/>
              <w:spacing w:after="0"/>
              <w:rPr>
                <w:sz w:val="20"/>
                <w:szCs w:val="20"/>
                <w:color w:val="auto"/>
              </w:rPr>
            </w:pPr>
            <w:r>
              <w:rPr>
                <w:rFonts w:ascii="Arial" w:cs="Arial" w:eastAsia="Arial" w:hAnsi="Arial"/>
                <w:sz w:val="14"/>
                <w:szCs w:val="14"/>
                <w:b w:val="1"/>
                <w:bCs w:val="1"/>
                <w:color w:val="auto"/>
              </w:rPr>
              <w:t>September 30, 2019</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3640" w:type="dxa"/>
            <w:vAlign w:val="bottom"/>
            <w:gridSpan w:val="2"/>
            <w:vMerge w:val="continue"/>
          </w:tcPr>
          <w:p>
            <w:pPr>
              <w:spacing w:after="0"/>
              <w:rPr>
                <w:sz w:val="18"/>
                <w:szCs w:val="18"/>
                <w:color w:val="auto"/>
              </w:rPr>
            </w:pPr>
          </w:p>
        </w:tc>
        <w:tc>
          <w:tcPr>
            <w:tcW w:w="32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6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Funded</w:t>
            </w:r>
          </w:p>
        </w:tc>
        <w:tc>
          <w:tcPr>
            <w:tcW w:w="3580" w:type="dxa"/>
            <w:vAlign w:val="bottom"/>
            <w:gridSpan w:val="2"/>
            <w:shd w:val="clear" w:color="auto" w:fill="CFF0FC"/>
          </w:tcPr>
          <w:p>
            <w:pPr>
              <w:jc w:val="right"/>
              <w:ind w:right="199"/>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1,175,924</w:t>
            </w:r>
          </w:p>
        </w:tc>
        <w:tc>
          <w:tcPr>
            <w:tcW w:w="620" w:type="dxa"/>
            <w:vAlign w:val="bottom"/>
            <w:gridSpan w:val="2"/>
            <w:shd w:val="clear" w:color="auto" w:fill="CFF0FC"/>
          </w:tcPr>
          <w:p>
            <w:pPr>
              <w:jc w:val="right"/>
              <w:ind w:right="199"/>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1,214,919</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640" w:type="dxa"/>
            <w:vAlign w:val="bottom"/>
            <w:tcBorders>
              <w:bottom w:val="single" w:sz="8" w:color="CFF0FC"/>
            </w:tcBorders>
            <w:gridSpan w:val="2"/>
          </w:tcPr>
          <w:p>
            <w:pPr>
              <w:ind w:left="240"/>
              <w:spacing w:after="0"/>
              <w:rPr>
                <w:sz w:val="20"/>
                <w:szCs w:val="20"/>
                <w:color w:val="auto"/>
              </w:rPr>
            </w:pPr>
            <w:r>
              <w:rPr>
                <w:rFonts w:ascii="Arial" w:cs="Arial" w:eastAsia="Arial" w:hAnsi="Arial"/>
                <w:sz w:val="18"/>
                <w:szCs w:val="18"/>
                <w:color w:val="auto"/>
              </w:rPr>
              <w:t>Unfunded</w:t>
            </w:r>
          </w:p>
        </w:tc>
        <w:tc>
          <w:tcPr>
            <w:tcW w:w="3200" w:type="dxa"/>
            <w:vAlign w:val="bottom"/>
            <w:tcBorders>
              <w:bottom w:val="single" w:sz="8" w:color="CFF0FC"/>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3,901,231</w:t>
            </w:r>
          </w:p>
        </w:tc>
        <w:tc>
          <w:tcPr>
            <w:tcW w:w="240" w:type="dxa"/>
            <w:vAlign w:val="bottom"/>
            <w:tcBorders>
              <w:bottom w:val="single" w:sz="8" w:color="CFF0FC"/>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3,946,784</w:t>
            </w:r>
          </w:p>
        </w:tc>
        <w:tc>
          <w:tcPr>
            <w:tcW w:w="100" w:type="dxa"/>
            <w:vAlign w:val="bottom"/>
            <w:tcBorders>
              <w:bottom w:val="single" w:sz="8" w:color="CFF0FC"/>
            </w:tcBorders>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3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Federal Solutions</w:t>
            </w:r>
          </w:p>
        </w:tc>
        <w:tc>
          <w:tcPr>
            <w:tcW w:w="3200" w:type="dxa"/>
            <w:vAlign w:val="bottom"/>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5,077,155</w:t>
            </w:r>
          </w:p>
        </w:tc>
        <w:tc>
          <w:tcPr>
            <w:tcW w:w="240" w:type="dxa"/>
            <w:vAlign w:val="bottom"/>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5,161,703</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Critical Infrastructure:</w:t>
            </w:r>
          </w:p>
        </w:tc>
        <w:tc>
          <w:tcPr>
            <w:tcW w:w="3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6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Funded</w:t>
            </w:r>
          </w:p>
        </w:tc>
        <w:tc>
          <w:tcPr>
            <w:tcW w:w="32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2,619,454</w:t>
            </w: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3,050,525</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640" w:type="dxa"/>
            <w:vAlign w:val="bottom"/>
            <w:tcBorders>
              <w:bottom w:val="single" w:sz="8" w:color="CFF0FC"/>
            </w:tcBorders>
            <w:gridSpan w:val="2"/>
          </w:tcPr>
          <w:p>
            <w:pPr>
              <w:ind w:left="240"/>
              <w:spacing w:after="0"/>
              <w:rPr>
                <w:sz w:val="20"/>
                <w:szCs w:val="20"/>
                <w:color w:val="auto"/>
              </w:rPr>
            </w:pPr>
            <w:r>
              <w:rPr>
                <w:rFonts w:ascii="Arial" w:cs="Arial" w:eastAsia="Arial" w:hAnsi="Arial"/>
                <w:sz w:val="18"/>
                <w:szCs w:val="18"/>
                <w:color w:val="auto"/>
              </w:rPr>
              <w:t>Unfunded</w:t>
            </w:r>
          </w:p>
        </w:tc>
        <w:tc>
          <w:tcPr>
            <w:tcW w:w="3200" w:type="dxa"/>
            <w:vAlign w:val="bottom"/>
            <w:tcBorders>
              <w:bottom w:val="single" w:sz="8" w:color="CFF0FC"/>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80,001</w:t>
            </w:r>
          </w:p>
        </w:tc>
        <w:tc>
          <w:tcPr>
            <w:tcW w:w="240" w:type="dxa"/>
            <w:vAlign w:val="bottom"/>
            <w:tcBorders>
              <w:bottom w:val="single" w:sz="8" w:color="CFF0FC"/>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38,286</w:t>
            </w:r>
          </w:p>
        </w:tc>
        <w:tc>
          <w:tcPr>
            <w:tcW w:w="100" w:type="dxa"/>
            <w:vAlign w:val="bottom"/>
            <w:tcBorders>
              <w:bottom w:val="single" w:sz="8" w:color="CFF0FC"/>
            </w:tcBorders>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3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Critical Infrastructure (1)</w:t>
            </w:r>
          </w:p>
        </w:tc>
        <w:tc>
          <w:tcPr>
            <w:tcW w:w="3200" w:type="dxa"/>
            <w:vAlign w:val="bottom"/>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2,699,455</w:t>
            </w:r>
          </w:p>
        </w:tc>
        <w:tc>
          <w:tcPr>
            <w:tcW w:w="240" w:type="dxa"/>
            <w:vAlign w:val="bottom"/>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3,088,811</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Total Backlog (2)</w:t>
            </w:r>
          </w:p>
        </w:tc>
        <w:tc>
          <w:tcPr>
            <w:tcW w:w="32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7,776,610</w:t>
            </w:r>
          </w:p>
        </w:tc>
        <w:tc>
          <w:tcPr>
            <w:tcW w:w="24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8,250,514</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3200" w:type="dxa"/>
            <w:vAlign w:val="bottom"/>
            <w:vMerge w:val="restart"/>
          </w:tcPr>
          <w:p>
            <w:pPr>
              <w:jc w:val="right"/>
              <w:ind w:right="1610"/>
              <w:spacing w:after="0"/>
              <w:rPr>
                <w:sz w:val="20"/>
                <w:szCs w:val="20"/>
                <w:color w:val="auto"/>
              </w:rPr>
            </w:pPr>
            <w:r>
              <w:rPr>
                <w:rFonts w:ascii="Arial" w:cs="Arial" w:eastAsia="Arial" w:hAnsi="Arial"/>
                <w:sz w:val="18"/>
                <w:szCs w:val="18"/>
                <w:color w:val="auto"/>
              </w:rPr>
              <w:t>31</w:t>
            </w: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2720" w:type="dxa"/>
            <w:vAlign w:val="bottom"/>
          </w:tcPr>
          <w:p>
            <w:pPr>
              <w:spacing w:after="0"/>
              <w:rPr>
                <w:sz w:val="11"/>
                <w:szCs w:val="11"/>
                <w:color w:val="auto"/>
              </w:rPr>
            </w:pPr>
          </w:p>
        </w:tc>
        <w:tc>
          <w:tcPr>
            <w:tcW w:w="320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30"/>
        </w:trPr>
        <w:tc>
          <w:tcPr>
            <w:tcW w:w="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320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58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2720" w:type="dxa"/>
            <w:vAlign w:val="bottom"/>
            <w:tcBorders>
              <w:bottom w:val="single" w:sz="8" w:color="9A9A9A"/>
            </w:tcBorders>
          </w:tcPr>
          <w:p>
            <w:pPr>
              <w:spacing w:after="0"/>
              <w:rPr>
                <w:sz w:val="8"/>
                <w:szCs w:val="8"/>
                <w:color w:val="auto"/>
              </w:rPr>
            </w:pPr>
          </w:p>
        </w:tc>
        <w:tc>
          <w:tcPr>
            <w:tcW w:w="320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33" w:name="page34"/>
    <w:bookmarkEnd w:id="33"/>
    <w:p>
      <w:pPr>
        <w:jc w:val="both"/>
        <w:ind w:left="1000" w:right="140" w:hanging="628"/>
        <w:spacing w:after="0" w:line="250"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As presented in the first quarter of 2019, funded backlog for the Critical Infrastructure segment was overstated by $38.3 million with a corresponding understatement in unfunded backlog. There was no impact on total Critical Infrastructure backlog or total backlog for Parsons Corporation.</w:t>
      </w:r>
    </w:p>
    <w:p>
      <w:pPr>
        <w:spacing w:after="0" w:line="1" w:lineRule="exact"/>
        <w:rPr>
          <w:rFonts w:ascii="Arial" w:cs="Arial" w:eastAsia="Arial" w:hAnsi="Arial"/>
          <w:sz w:val="18"/>
          <w:szCs w:val="18"/>
          <w:color w:val="auto"/>
        </w:rPr>
      </w:pPr>
    </w:p>
    <w:p>
      <w:pPr>
        <w:ind w:left="1000" w:right="200" w:hanging="628"/>
        <w:spacing w:after="0" w:line="255"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Difference between our backlog of $7.8 billion and our RUPO of $5.0 billion, each as of September 30, 2020, is due to (i) unissued task orders and unexercised option years, to the extent their issuance or exercise is probable, as well as (ii) contract awards, to the extent we believe contract execution and funding is probable.</w:t>
      </w:r>
    </w:p>
    <w:p>
      <w:pPr>
        <w:spacing w:after="0" w:line="164" w:lineRule="exact"/>
        <w:rPr>
          <w:sz w:val="20"/>
          <w:szCs w:val="20"/>
          <w:color w:val="auto"/>
        </w:rPr>
      </w:pPr>
    </w:p>
    <w:p>
      <w:pPr>
        <w:ind w:right="60" w:firstLine="637"/>
        <w:spacing w:after="0" w:line="245" w:lineRule="auto"/>
        <w:rPr>
          <w:sz w:val="20"/>
          <w:szCs w:val="20"/>
          <w:color w:val="auto"/>
        </w:rPr>
      </w:pPr>
      <w:r>
        <w:rPr>
          <w:rFonts w:ascii="Arial" w:cs="Arial" w:eastAsia="Arial" w:hAnsi="Arial"/>
          <w:sz w:val="18"/>
          <w:szCs w:val="18"/>
          <w:color w:val="auto"/>
        </w:rPr>
        <w:t>Our backlog includes orders under contracts that in some cases extend for several years. For example, the U.S. Congress generally appropriates funds for our U.S. federal government customers on a yearly basis, even though their contracts with us may call for performance that is expected to take a number of years to complete. As a result, our federal contracts typically are only partially funded at any point during their term. All or some of the work to be performed under the contracts may remain unfunded unless and until the U.S. Congress makes subsequent appropriations and the procuring agency allocates funding to the contract.</w:t>
      </w:r>
    </w:p>
    <w:p>
      <w:pPr>
        <w:spacing w:after="0" w:line="172" w:lineRule="exact"/>
        <w:rPr>
          <w:sz w:val="20"/>
          <w:szCs w:val="20"/>
          <w:color w:val="auto"/>
        </w:rPr>
      </w:pPr>
    </w:p>
    <w:p>
      <w:pPr>
        <w:ind w:firstLine="637"/>
        <w:spacing w:after="0" w:line="243" w:lineRule="auto"/>
        <w:rPr>
          <w:sz w:val="20"/>
          <w:szCs w:val="20"/>
          <w:color w:val="auto"/>
        </w:rPr>
      </w:pPr>
      <w:r>
        <w:rPr>
          <w:rFonts w:ascii="Arial" w:cs="Arial" w:eastAsia="Arial" w:hAnsi="Arial"/>
          <w:sz w:val="18"/>
          <w:szCs w:val="18"/>
          <w:color w:val="auto"/>
        </w:rPr>
        <w:t>We expect to recognize $2.6 billion of our funded backlog at September 30, 2020 as revenues in the following twelve months. However, our U.S. federal government customers may cancel their contracts with us at any time through a termination for convenience or may elect to not exercise option periods under such contracts. In the case of a termination for convenience, we would not receive anticipated future revenues, but would generally be permitted to recover all or a portion of our incurred costs and fees for work performed. See “Risk Factors—Risk Relating to Our Business—We may not realize the full value of our backlog, which may result in lower than expected revenue” in the Company’s Form 10-K for the year ended December 31, 2019.</w:t>
      </w:r>
    </w:p>
    <w:p>
      <w:pPr>
        <w:spacing w:after="0" w:line="174" w:lineRule="exact"/>
        <w:rPr>
          <w:sz w:val="20"/>
          <w:szCs w:val="20"/>
          <w:color w:val="auto"/>
        </w:rPr>
      </w:pPr>
    </w:p>
    <w:p>
      <w:pPr>
        <w:ind w:right="560" w:firstLine="637"/>
        <w:spacing w:after="0" w:line="276" w:lineRule="auto"/>
        <w:rPr>
          <w:sz w:val="20"/>
          <w:szCs w:val="20"/>
          <w:color w:val="auto"/>
        </w:rPr>
      </w:pPr>
      <w:r>
        <w:rPr>
          <w:rFonts w:ascii="Arial" w:cs="Arial" w:eastAsia="Arial" w:hAnsi="Arial"/>
          <w:sz w:val="18"/>
          <w:szCs w:val="18"/>
          <w:color w:val="auto"/>
        </w:rPr>
        <w:t>The changes in backlog in both the Federal Solutions and Critical Infrastructure segments were primarily from ordinary course fluctuations in our business and the impacts related to the Company’s awards discussed above.</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Book-to-Bill</w:t>
      </w:r>
    </w:p>
    <w:p>
      <w:pPr>
        <w:spacing w:after="0" w:line="104" w:lineRule="exact"/>
        <w:rPr>
          <w:sz w:val="20"/>
          <w:szCs w:val="20"/>
          <w:color w:val="auto"/>
        </w:rPr>
      </w:pPr>
    </w:p>
    <w:p>
      <w:pPr>
        <w:ind w:right="20" w:firstLine="637"/>
        <w:spacing w:after="0" w:line="243" w:lineRule="auto"/>
        <w:rPr>
          <w:sz w:val="20"/>
          <w:szCs w:val="20"/>
          <w:color w:val="auto"/>
        </w:rPr>
      </w:pPr>
      <w:r>
        <w:rPr>
          <w:rFonts w:ascii="Arial" w:cs="Arial" w:eastAsia="Arial" w:hAnsi="Arial"/>
          <w:sz w:val="18"/>
          <w:szCs w:val="18"/>
          <w:color w:val="auto"/>
        </w:rPr>
        <w:t>Book-to-bill is the ratio of total awards to total revenue recorded in the same period. Our management believes our book-to-bill ratio is a useful indicator of our potential future revenue growth in that it measures the rate at which we are generating new awards compared to the Company’s current revenue. To drive future revenue growth, our goal is for the level of awards in a given period to exceed the revenue booked. A book-to-bill ratio greater than 1.0 indicates that awards generated in a given period exceeded the revenue recognized in the same period, while a book-to-bill ratio of less than 1.0 indicates that awards generated in such period were less than the revenue recognized in such period. The following table sets forth the book-to-bill ratio for the periods presented below:</w:t>
      </w:r>
    </w:p>
    <w:p>
      <w:pPr>
        <w:spacing w:after="0" w:line="276" w:lineRule="exact"/>
        <w:rPr>
          <w:sz w:val="20"/>
          <w:szCs w:val="20"/>
          <w:color w:val="auto"/>
        </w:rPr>
      </w:pPr>
    </w:p>
    <w:tbl>
      <w:tblPr>
        <w:tblLayout w:type="fixed"/>
        <w:tblInd w:w="580" w:type="dxa"/>
        <w:tblCellMar>
          <w:top w:w="0" w:type="dxa"/>
          <w:left w:w="0" w:type="dxa"/>
          <w:bottom w:w="0" w:type="dxa"/>
          <w:right w:w="0" w:type="dxa"/>
        </w:tblCellMar>
      </w:tblPr>
      <w:tr>
        <w:trPr>
          <w:trHeight w:val="177"/>
        </w:trPr>
        <w:tc>
          <w:tcPr>
            <w:tcW w:w="5200" w:type="dxa"/>
            <w:vAlign w:val="bottom"/>
          </w:tcPr>
          <w:p>
            <w:pPr>
              <w:spacing w:after="0"/>
              <w:rPr>
                <w:sz w:val="15"/>
                <w:szCs w:val="15"/>
                <w:color w:val="auto"/>
              </w:rPr>
            </w:pPr>
          </w:p>
        </w:tc>
        <w:tc>
          <w:tcPr>
            <w:tcW w:w="2540" w:type="dxa"/>
            <w:vAlign w:val="bottom"/>
            <w:gridSpan w:val="4"/>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2360" w:type="dxa"/>
            <w:vAlign w:val="bottom"/>
            <w:gridSpan w:val="4"/>
          </w:tcPr>
          <w:p>
            <w:pPr>
              <w:ind w:left="440"/>
              <w:spacing w:after="0"/>
              <w:rPr>
                <w:sz w:val="20"/>
                <w:szCs w:val="20"/>
                <w:color w:val="auto"/>
              </w:rPr>
            </w:pPr>
            <w:r>
              <w:rPr>
                <w:rFonts w:ascii="Arial" w:cs="Arial" w:eastAsia="Arial" w:hAnsi="Arial"/>
                <w:sz w:val="14"/>
                <w:szCs w:val="14"/>
                <w:b w:val="1"/>
                <w:bCs w:val="1"/>
                <w:color w:val="auto"/>
              </w:rPr>
              <w:t>Nine Months Ended</w:t>
            </w:r>
          </w:p>
        </w:tc>
      </w:tr>
      <w:tr>
        <w:trPr>
          <w:trHeight w:val="154"/>
        </w:trPr>
        <w:tc>
          <w:tcPr>
            <w:tcW w:w="5200" w:type="dxa"/>
            <w:vAlign w:val="bottom"/>
          </w:tcPr>
          <w:p>
            <w:pPr>
              <w:spacing w:after="0"/>
              <w:rPr>
                <w:sz w:val="13"/>
                <w:szCs w:val="13"/>
                <w:color w:val="auto"/>
              </w:rPr>
            </w:pPr>
          </w:p>
        </w:tc>
        <w:tc>
          <w:tcPr>
            <w:tcW w:w="1260" w:type="dxa"/>
            <w:vAlign w:val="bottom"/>
            <w:tcBorders>
              <w:top w:val="single" w:sz="8" w:color="auto"/>
            </w:tcBorders>
            <w:gridSpan w:val="2"/>
          </w:tcPr>
          <w:p>
            <w:pPr>
              <w:ind w:left="20"/>
              <w:spacing w:after="0" w:line="154" w:lineRule="exact"/>
              <w:rPr>
                <w:sz w:val="20"/>
                <w:szCs w:val="20"/>
                <w:color w:val="auto"/>
              </w:rPr>
            </w:pPr>
            <w:r>
              <w:rPr>
                <w:rFonts w:ascii="Arial" w:cs="Arial" w:eastAsia="Arial" w:hAnsi="Arial"/>
                <w:sz w:val="14"/>
                <w:szCs w:val="14"/>
                <w:b w:val="1"/>
                <w:bCs w:val="1"/>
                <w:color w:val="auto"/>
              </w:rPr>
              <w:t>September 30,</w:t>
            </w:r>
          </w:p>
        </w:tc>
        <w:tc>
          <w:tcPr>
            <w:tcW w:w="1060" w:type="dxa"/>
            <w:vAlign w:val="bottom"/>
            <w:tcBorders>
              <w:top w:val="single" w:sz="8" w:color="auto"/>
            </w:tcBorders>
          </w:tcPr>
          <w:p>
            <w:pPr>
              <w:jc w:val="right"/>
              <w:spacing w:after="0" w:line="154"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3"/>
                <w:szCs w:val="13"/>
                <w:color w:val="auto"/>
              </w:rPr>
            </w:pPr>
          </w:p>
        </w:tc>
        <w:tc>
          <w:tcPr>
            <w:tcW w:w="1220" w:type="dxa"/>
            <w:vAlign w:val="bottom"/>
            <w:tcBorders>
              <w:top w:val="single" w:sz="8" w:color="auto"/>
            </w:tcBorders>
            <w:gridSpan w:val="2"/>
          </w:tcPr>
          <w:p>
            <w:pPr>
              <w:spacing w:after="0" w:line="154" w:lineRule="exact"/>
              <w:rPr>
                <w:sz w:val="20"/>
                <w:szCs w:val="20"/>
                <w:color w:val="auto"/>
              </w:rPr>
            </w:pPr>
            <w:r>
              <w:rPr>
                <w:rFonts w:ascii="Arial" w:cs="Arial" w:eastAsia="Arial" w:hAnsi="Arial"/>
                <w:sz w:val="14"/>
                <w:szCs w:val="14"/>
                <w:b w:val="1"/>
                <w:bCs w:val="1"/>
                <w:color w:val="auto"/>
              </w:rPr>
              <w:t>September 30,</w:t>
            </w:r>
          </w:p>
        </w:tc>
        <w:tc>
          <w:tcPr>
            <w:tcW w:w="1020" w:type="dxa"/>
            <w:vAlign w:val="bottom"/>
            <w:tcBorders>
              <w:top w:val="single" w:sz="8" w:color="auto"/>
            </w:tcBorders>
          </w:tcPr>
          <w:p>
            <w:pPr>
              <w:jc w:val="right"/>
              <w:spacing w:after="0" w:line="154" w:lineRule="exact"/>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3"/>
                <w:szCs w:val="13"/>
                <w:color w:val="auto"/>
              </w:rPr>
            </w:pPr>
          </w:p>
        </w:tc>
      </w:tr>
      <w:tr>
        <w:trPr>
          <w:trHeight w:val="177"/>
        </w:trPr>
        <w:tc>
          <w:tcPr>
            <w:tcW w:w="5200" w:type="dxa"/>
            <w:vAlign w:val="bottom"/>
            <w:tcBorders>
              <w:bottom w:val="single" w:sz="8" w:color="CFF0FC"/>
            </w:tcBorders>
          </w:tcPr>
          <w:p>
            <w:pPr>
              <w:spacing w:after="0"/>
              <w:rPr>
                <w:sz w:val="15"/>
                <w:szCs w:val="15"/>
                <w:color w:val="auto"/>
              </w:rPr>
            </w:pPr>
          </w:p>
        </w:tc>
        <w:tc>
          <w:tcPr>
            <w:tcW w:w="106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5"/>
                <w:szCs w:val="15"/>
                <w:color w:val="auto"/>
              </w:rPr>
            </w:pPr>
          </w:p>
        </w:tc>
        <w:tc>
          <w:tcPr>
            <w:tcW w:w="106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5"/>
                <w:szCs w:val="15"/>
                <w:color w:val="auto"/>
              </w:rPr>
            </w:pPr>
          </w:p>
        </w:tc>
      </w:tr>
      <w:tr>
        <w:trPr>
          <w:trHeight w:val="210"/>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Federal Solutions</w:t>
            </w:r>
          </w:p>
        </w:tc>
        <w:tc>
          <w:tcPr>
            <w:tcW w:w="1060" w:type="dxa"/>
            <w:vAlign w:val="bottom"/>
            <w:shd w:val="clear" w:color="auto" w:fill="CFF0FC"/>
          </w:tcPr>
          <w:p>
            <w:pPr>
              <w:ind w:left="440"/>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277"/>
              <w:spacing w:after="0"/>
              <w:rPr>
                <w:sz w:val="20"/>
                <w:szCs w:val="20"/>
                <w:color w:val="auto"/>
              </w:rPr>
            </w:pPr>
            <w:r>
              <w:rPr>
                <w:rFonts w:ascii="Arial" w:cs="Arial" w:eastAsia="Arial" w:hAnsi="Arial"/>
                <w:sz w:val="18"/>
                <w:szCs w:val="18"/>
                <w:color w:val="auto"/>
              </w:rPr>
              <w:t>1.7</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279"/>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257"/>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FF0FC"/>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Critical Infrastructure</w:t>
            </w:r>
          </w:p>
        </w:tc>
        <w:tc>
          <w:tcPr>
            <w:tcW w:w="1060" w:type="dxa"/>
            <w:vAlign w:val="bottom"/>
          </w:tcPr>
          <w:p>
            <w:pPr>
              <w:ind w:left="440"/>
              <w:spacing w:after="0"/>
              <w:rPr>
                <w:sz w:val="20"/>
                <w:szCs w:val="20"/>
                <w:color w:val="auto"/>
              </w:rPr>
            </w:pPr>
            <w:r>
              <w:rPr>
                <w:rFonts w:ascii="Arial" w:cs="Arial" w:eastAsia="Arial" w:hAnsi="Arial"/>
                <w:sz w:val="18"/>
                <w:szCs w:val="18"/>
                <w:color w:val="auto"/>
              </w:rPr>
              <w:t>0.9</w:t>
            </w:r>
          </w:p>
        </w:tc>
        <w:tc>
          <w:tcPr>
            <w:tcW w:w="200" w:type="dxa"/>
            <w:vAlign w:val="bottom"/>
          </w:tcPr>
          <w:p>
            <w:pPr>
              <w:spacing w:after="0"/>
              <w:rPr>
                <w:sz w:val="18"/>
                <w:szCs w:val="18"/>
                <w:color w:val="auto"/>
              </w:rPr>
            </w:pPr>
          </w:p>
        </w:tc>
        <w:tc>
          <w:tcPr>
            <w:tcW w:w="1060" w:type="dxa"/>
            <w:vAlign w:val="bottom"/>
          </w:tcPr>
          <w:p>
            <w:pPr>
              <w:jc w:val="right"/>
              <w:ind w:right="277"/>
              <w:spacing w:after="0"/>
              <w:rPr>
                <w:sz w:val="20"/>
                <w:szCs w:val="20"/>
                <w:color w:val="auto"/>
              </w:rPr>
            </w:pPr>
            <w:r>
              <w:rPr>
                <w:rFonts w:ascii="Arial" w:cs="Arial" w:eastAsia="Arial" w:hAnsi="Arial"/>
                <w:sz w:val="18"/>
                <w:szCs w:val="18"/>
                <w:color w:val="auto"/>
              </w:rPr>
              <w:t>0.5</w:t>
            </w:r>
          </w:p>
        </w:tc>
        <w:tc>
          <w:tcPr>
            <w:tcW w:w="220" w:type="dxa"/>
            <w:vAlign w:val="bottom"/>
          </w:tcPr>
          <w:p>
            <w:pPr>
              <w:spacing w:after="0"/>
              <w:rPr>
                <w:sz w:val="18"/>
                <w:szCs w:val="18"/>
                <w:color w:val="auto"/>
              </w:rPr>
            </w:pPr>
          </w:p>
        </w:tc>
        <w:tc>
          <w:tcPr>
            <w:tcW w:w="1020" w:type="dxa"/>
            <w:vAlign w:val="bottom"/>
          </w:tcPr>
          <w:p>
            <w:pPr>
              <w:jc w:val="right"/>
              <w:ind w:right="279"/>
              <w:spacing w:after="0"/>
              <w:rPr>
                <w:sz w:val="20"/>
                <w:szCs w:val="20"/>
                <w:color w:val="auto"/>
              </w:rPr>
            </w:pPr>
            <w:r>
              <w:rPr>
                <w:rFonts w:ascii="Arial" w:cs="Arial" w:eastAsia="Arial" w:hAnsi="Arial"/>
                <w:sz w:val="18"/>
                <w:szCs w:val="18"/>
                <w:color w:val="auto"/>
              </w:rPr>
              <w:t>0.9</w:t>
            </w:r>
          </w:p>
        </w:tc>
        <w:tc>
          <w:tcPr>
            <w:tcW w:w="200" w:type="dxa"/>
            <w:vAlign w:val="bottom"/>
          </w:tcPr>
          <w:p>
            <w:pPr>
              <w:spacing w:after="0"/>
              <w:rPr>
                <w:sz w:val="18"/>
                <w:szCs w:val="18"/>
                <w:color w:val="auto"/>
              </w:rPr>
            </w:pPr>
          </w:p>
        </w:tc>
        <w:tc>
          <w:tcPr>
            <w:tcW w:w="1020" w:type="dxa"/>
            <w:vAlign w:val="bottom"/>
          </w:tcPr>
          <w:p>
            <w:pPr>
              <w:jc w:val="right"/>
              <w:ind w:right="257"/>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18"/>
                <w:szCs w:val="18"/>
                <w:color w:val="auto"/>
              </w:rPr>
            </w:pPr>
          </w:p>
        </w:tc>
      </w:tr>
      <w:tr>
        <w:trPr>
          <w:trHeight w:val="216"/>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Overall</w:t>
            </w:r>
          </w:p>
        </w:tc>
        <w:tc>
          <w:tcPr>
            <w:tcW w:w="1060" w:type="dxa"/>
            <w:vAlign w:val="bottom"/>
            <w:shd w:val="clear" w:color="auto" w:fill="CFF0FC"/>
          </w:tcPr>
          <w:p>
            <w:pPr>
              <w:ind w:left="440"/>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277"/>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279"/>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257"/>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FF0FC"/>
          </w:tcPr>
          <w:p>
            <w:pPr>
              <w:spacing w:after="0"/>
              <w:rPr>
                <w:sz w:val="18"/>
                <w:szCs w:val="18"/>
                <w:color w:val="auto"/>
              </w:rPr>
            </w:pPr>
          </w:p>
        </w:tc>
      </w:tr>
    </w:tbl>
    <w:p>
      <w:pPr>
        <w:spacing w:after="0" w:line="21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Factors and Trends Affecting Our Results of Operations</w:t>
      </w:r>
    </w:p>
    <w:p>
      <w:pPr>
        <w:spacing w:after="0" w:line="214" w:lineRule="exact"/>
        <w:rPr>
          <w:sz w:val="20"/>
          <w:szCs w:val="20"/>
          <w:color w:val="auto"/>
        </w:rPr>
      </w:pPr>
    </w:p>
    <w:p>
      <w:pPr>
        <w:ind w:right="60" w:firstLine="637"/>
        <w:spacing w:after="0" w:line="248" w:lineRule="auto"/>
        <w:rPr>
          <w:sz w:val="20"/>
          <w:szCs w:val="20"/>
          <w:color w:val="auto"/>
        </w:rPr>
      </w:pPr>
      <w:r>
        <w:rPr>
          <w:rFonts w:ascii="Arial" w:cs="Arial" w:eastAsia="Arial" w:hAnsi="Arial"/>
          <w:sz w:val="18"/>
          <w:szCs w:val="18"/>
          <w:color w:val="auto"/>
        </w:rPr>
        <w:t>We believe that the financial performance of our business and our future success are dependent upon many factors, including those highlighted in this section. Our operating performance will depend upon many variables, including the success of our growth strategies and the timing and size of investments and expenditures that we choose to undertake, as well as market growth and other factors that are not within our control.</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Spending</w:t>
      </w:r>
    </w:p>
    <w:p>
      <w:pPr>
        <w:spacing w:after="0" w:line="104" w:lineRule="exact"/>
        <w:rPr>
          <w:sz w:val="20"/>
          <w:szCs w:val="20"/>
          <w:color w:val="auto"/>
        </w:rPr>
      </w:pPr>
    </w:p>
    <w:p>
      <w:pPr>
        <w:ind w:right="220" w:firstLine="637"/>
        <w:spacing w:after="0" w:line="243" w:lineRule="auto"/>
        <w:rPr>
          <w:sz w:val="20"/>
          <w:szCs w:val="20"/>
          <w:color w:val="auto"/>
        </w:rPr>
      </w:pPr>
      <w:r>
        <w:rPr>
          <w:rFonts w:ascii="Arial" w:cs="Arial" w:eastAsia="Arial" w:hAnsi="Arial"/>
          <w:sz w:val="18"/>
          <w:szCs w:val="18"/>
          <w:color w:val="auto"/>
        </w:rPr>
        <w:t>Changes in the relative mix of government spending and areas of spending growth, with shifts in priorities on homeland security, intelligence, defense-related programs, infrastructure and urbanization, and continued increased spending on technology and innovation, including cybersecurity, artificial intelligence, connected communities and physical infrastructure, could impact our business and results of operations. Cost-cutting and efficiency initiatives, current and future budget restrictions, spending cuts and other efforts to reduce government spending could cause our government customers to reduce or delay funding or invest appropriated funds on a less consistent basis or not at all, and demand for our solutions or services could diminish. Furthermore, any disruption in the functioning of government</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73" w:right="379" w:bottom="1440" w:gutter="0" w:footer="0" w:header="0"/>
        </w:sectPr>
      </w:pPr>
    </w:p>
    <w:bookmarkStart w:id="34" w:name="page35"/>
    <w:bookmarkEnd w:id="34"/>
    <w:p>
      <w:pPr>
        <w:ind w:right="20"/>
        <w:spacing w:after="0" w:line="255" w:lineRule="auto"/>
        <w:rPr>
          <w:sz w:val="20"/>
          <w:szCs w:val="20"/>
          <w:color w:val="auto"/>
        </w:rPr>
      </w:pPr>
      <w:r>
        <w:rPr>
          <w:rFonts w:ascii="Arial" w:cs="Arial" w:eastAsia="Arial" w:hAnsi="Arial"/>
          <w:sz w:val="18"/>
          <w:szCs w:val="18"/>
          <w:color w:val="auto"/>
        </w:rPr>
        <w:t>agencies, including as a result of government closures and shutdowns, could have a negative impact on our operations and cause us to lose revenue or incur additional costs due to, among other things, our inability to deploy our staff to customer locations or facilities as a result of such disruptions.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Budget Uncertainty</w:t>
      </w:r>
    </w:p>
    <w:p>
      <w:pPr>
        <w:spacing w:after="0" w:line="104" w:lineRule="exact"/>
        <w:rPr>
          <w:sz w:val="20"/>
          <w:szCs w:val="20"/>
          <w:color w:val="auto"/>
        </w:rPr>
      </w:pPr>
    </w:p>
    <w:p>
      <w:pPr>
        <w:ind w:right="20" w:firstLine="637"/>
        <w:spacing w:after="0"/>
        <w:rPr>
          <w:sz w:val="20"/>
          <w:szCs w:val="20"/>
          <w:color w:val="auto"/>
        </w:rPr>
      </w:pPr>
      <w:r>
        <w:rPr>
          <w:rFonts w:ascii="Arial" w:cs="Arial" w:eastAsia="Arial" w:hAnsi="Arial"/>
          <w:sz w:val="18"/>
          <w:szCs w:val="18"/>
          <w:color w:val="auto"/>
        </w:rPr>
        <w:t>There is uncertainty around the timing, extent, nature and effect of Congressional and other U.S. government actions to address budgetary constraints, caps on the discretionary budget for defense and non-defense departments and agencies, and the ability of Congress to determine how to allocate the available budget authority and pass appropriations bills to fund both U.S. government departments and agencies that are, and those that are not, subject to the caps. Additionally, budget deficits and the growing U.S. national debt increase pressure on the U.S. government to reduce federal spending across all federal agencies, with uncertainty about the size and timing of those reductions. Furthermore, delays in the completion of future U.S. government budgets could in the future delay procurement of the federal government services we provide. A reduction in the amount of, or delays, or cancellations of funding for, services that we are contracted to provide to the U.S. government as a result of any of these impacts or related initiatives, legislation or otherwise could have a material adverse effect on our business and results of operations.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Regulations</w:t>
      </w:r>
    </w:p>
    <w:p>
      <w:pPr>
        <w:spacing w:after="0" w:line="104" w:lineRule="exact"/>
        <w:rPr>
          <w:sz w:val="20"/>
          <w:szCs w:val="20"/>
          <w:color w:val="auto"/>
        </w:rPr>
      </w:pPr>
    </w:p>
    <w:p>
      <w:pPr>
        <w:ind w:firstLine="637"/>
        <w:spacing w:after="0" w:line="245" w:lineRule="auto"/>
        <w:rPr>
          <w:sz w:val="20"/>
          <w:szCs w:val="20"/>
          <w:color w:val="auto"/>
        </w:rPr>
      </w:pPr>
      <w:r>
        <w:rPr>
          <w:rFonts w:ascii="Arial" w:cs="Arial" w:eastAsia="Arial" w:hAnsi="Arial"/>
          <w:sz w:val="18"/>
          <w:szCs w:val="18"/>
          <w:color w:val="auto"/>
        </w:rPr>
        <w:t>Increased audit, review, investigation and general scrutiny by government agencies of performance under government contracts and compliance with the terms of those contracts and applicable laws could affect our operating results. Negative publicity and increased scrutiny of government contractors in general, including us, relating to government expenditures for contractor services and incidents involving the mishandling of sensitive or classified information, as well as the increasingly complex requirements of the U.S. Department of Defense and the U.S. Intelligence Community, including those related to cybersecurity, could impact our ability to perform in the markets we serve.</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Competitive Markets</w:t>
      </w:r>
    </w:p>
    <w:p>
      <w:pPr>
        <w:spacing w:after="0" w:line="104" w:lineRule="exact"/>
        <w:rPr>
          <w:sz w:val="20"/>
          <w:szCs w:val="20"/>
          <w:color w:val="auto"/>
        </w:rPr>
      </w:pPr>
    </w:p>
    <w:p>
      <w:pPr>
        <w:ind w:right="120" w:firstLine="637"/>
        <w:spacing w:after="0" w:line="241" w:lineRule="auto"/>
        <w:rPr>
          <w:sz w:val="20"/>
          <w:szCs w:val="20"/>
          <w:color w:val="auto"/>
        </w:rPr>
      </w:pPr>
      <w:r>
        <w:rPr>
          <w:rFonts w:ascii="Arial" w:cs="Arial" w:eastAsia="Arial" w:hAnsi="Arial"/>
          <w:sz w:val="18"/>
          <w:szCs w:val="18"/>
          <w:color w:val="auto"/>
        </w:rPr>
        <w:t>The industries we operate in consist of a large number of enterprises ranging from small, niche-oriented companies to multi-billion dollar corporations that serve many government and commercial customers. We compete on the basis of our technical expertise, technological innovation, our ability to deliver cost-effective multi-faceted services in a timely manner, our reputation and relationships with our customers, qualified and/or security-clearance personnel, and pricing. We believe that we are uniquely positioned to take advantage of the markets in which we operate because of our proven track record, long-term customer relationships, technology innovation, scalable and agile business offerings and world class talent. Our ability to effectively deliver on project engagements and successfully assist our customers affects our ability to win new contracts and drives our financial performance.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Acquired Operations</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QRC Technologies</w:t>
      </w:r>
    </w:p>
    <w:p>
      <w:pPr>
        <w:spacing w:after="0" w:line="102" w:lineRule="exact"/>
        <w:rPr>
          <w:sz w:val="20"/>
          <w:szCs w:val="20"/>
          <w:color w:val="auto"/>
        </w:rPr>
      </w:pPr>
    </w:p>
    <w:p>
      <w:pPr>
        <w:ind w:right="160" w:firstLine="637"/>
        <w:spacing w:after="0" w:line="250" w:lineRule="auto"/>
        <w:rPr>
          <w:sz w:val="20"/>
          <w:szCs w:val="20"/>
          <w:color w:val="auto"/>
        </w:rPr>
      </w:pPr>
      <w:r>
        <w:rPr>
          <w:rFonts w:ascii="Arial" w:cs="Arial" w:eastAsia="Arial" w:hAnsi="Arial"/>
          <w:sz w:val="18"/>
          <w:szCs w:val="18"/>
          <w:color w:val="auto"/>
        </w:rPr>
        <w:t>On July 31, 2019, the Company acquired QRC Technologies for $214.1 million. QRC Technologies provides design and development of open-architecture radio-frequency products. The acquisition was funded by cash on-hand and borrowings under our Revolving Credit Facility. The financial results of QRC Technologies have been included in our consolidated results of operations from July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31, 2019 onward.</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104" w:lineRule="exact"/>
        <w:rPr>
          <w:sz w:val="20"/>
          <w:szCs w:val="20"/>
          <w:color w:val="auto"/>
        </w:rPr>
      </w:pPr>
    </w:p>
    <w:p>
      <w:pPr>
        <w:ind w:right="40" w:firstLine="637"/>
        <w:spacing w:after="0" w:line="256" w:lineRule="auto"/>
        <w:rPr>
          <w:sz w:val="20"/>
          <w:szCs w:val="20"/>
          <w:color w:val="auto"/>
        </w:rPr>
      </w:pPr>
      <w:r>
        <w:rPr>
          <w:rFonts w:ascii="Arial" w:cs="Arial" w:eastAsia="Arial" w:hAnsi="Arial"/>
          <w:sz w:val="17"/>
          <w:szCs w:val="17"/>
          <w:color w:val="auto"/>
        </w:rPr>
        <w:t>Our results may be affected by variances as a result of seasonality we experience across our businesses. This pattern is typically driven by the U.S. federal government fiscal year-end, September 30. While not certain, it is not uncommon for U.S. government agencies to award extra tasks or complete other contract actions in the weeks before the end of the U.S. federal government fiscal year in order to avoid the loss of unexpended fiscal year funds. In addition, we have also historically experienced higher bid and proposal costs in the months leading up to the U.S. federal government fiscal year-end as we pursue new contract opportunities expected to be awarded early in the following U.S. federal government fiscal year as a result of funding appropriated for that U.S. federal government fiscal year. Furthermore, many U.S. state governments with fiscal years ending on June 30 tend to accelerate spending during their first quarter, when new funding becomes available. We may continue to experience this seasonality in future periods, and our results of operations may be affected by it.</w:t>
      </w:r>
    </w:p>
    <w:p>
      <w:pPr>
        <w:spacing w:after="0" w:line="1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441" w:right="37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auto"/>
        </w:rPr>
        <w:t>Taxes</w:t>
      </w:r>
    </w:p>
    <w:p>
      <w:pPr>
        <w:spacing w:after="0" w:line="104" w:lineRule="exact"/>
        <w:rPr>
          <w:sz w:val="20"/>
          <w:szCs w:val="20"/>
          <w:color w:val="auto"/>
        </w:rPr>
      </w:pPr>
    </w:p>
    <w:p>
      <w:pPr>
        <w:ind w:firstLine="679"/>
        <w:spacing w:after="0" w:line="243" w:lineRule="auto"/>
        <w:rPr>
          <w:sz w:val="20"/>
          <w:szCs w:val="20"/>
          <w:color w:val="auto"/>
        </w:rPr>
      </w:pPr>
      <w:r>
        <w:rPr>
          <w:rFonts w:ascii="Arial" w:cs="Arial" w:eastAsia="Arial" w:hAnsi="Arial"/>
          <w:sz w:val="18"/>
          <w:szCs w:val="18"/>
          <w:color w:val="auto"/>
        </w:rPr>
        <w:t>Historically, the Company had elected to be taxed under the provisions of Subchapter “S” of the Internal Revenue Code for federal tax purposes. As a result, the Company’s income had not been subject to U.S. federal income taxes or state income taxes in those states where the “S” Corporation status was recognized. No provision or liability for federal or state income tax had been provided in the Company’s consolidated financial statements, prior to the IPO on May 8, 2019, except for those states where the “S” Corporation status was not recognized or where states imposed a tax on “S” Corporations. The provision for income tax in the historical periods prior to the IPO consists of these state taxes and from certain foreign jurisdictions where the Company is subject to tax.</w:t>
      </w:r>
    </w:p>
    <w:p>
      <w:pPr>
        <w:spacing w:after="0" w:line="174" w:lineRule="exact"/>
        <w:rPr>
          <w:sz w:val="20"/>
          <w:szCs w:val="20"/>
          <w:color w:val="auto"/>
        </w:rPr>
      </w:pPr>
    </w:p>
    <w:p>
      <w:pPr>
        <w:ind w:right="60" w:firstLine="679"/>
        <w:spacing w:after="0" w:line="245" w:lineRule="auto"/>
        <w:rPr>
          <w:sz w:val="20"/>
          <w:szCs w:val="20"/>
          <w:color w:val="auto"/>
        </w:rPr>
      </w:pPr>
      <w:r>
        <w:rPr>
          <w:rFonts w:ascii="Arial" w:cs="Arial" w:eastAsia="Arial" w:hAnsi="Arial"/>
          <w:sz w:val="18"/>
          <w:szCs w:val="18"/>
          <w:color w:val="auto"/>
        </w:rPr>
        <w:t>In connection with the IPO, the Company’s “S” Corporation status terminated, and the Company is now treated as a “C” Corporation under Subchapter C of the Internal Revenue Code. The revocation of the Company’s “S” Corporation election had a material impact on the Company’s results of operations, financial condition and cash flows. The effective tax rate has increased, and net income has decreased as compared to the Company’s “S” Corporation tax years, since the Company is now subject to both U.S. federal and state corporate income taxes on its earnings.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04" w:lineRule="exact"/>
        <w:rPr>
          <w:sz w:val="20"/>
          <w:szCs w:val="20"/>
          <w:color w:val="auto"/>
        </w:rPr>
      </w:pPr>
    </w:p>
    <w:p>
      <w:pPr>
        <w:ind w:right="60" w:firstLine="637"/>
        <w:spacing w:after="0" w:line="255" w:lineRule="auto"/>
        <w:rPr>
          <w:sz w:val="20"/>
          <w:szCs w:val="20"/>
          <w:color w:val="auto"/>
        </w:rPr>
      </w:pPr>
      <w:r>
        <w:rPr>
          <w:rFonts w:ascii="Arial" w:cs="Arial" w:eastAsia="Arial" w:hAnsi="Arial"/>
          <w:sz w:val="18"/>
          <w:szCs w:val="18"/>
          <w:color w:val="auto"/>
        </w:rPr>
        <w:t>Our revenue consists of both services provided by our employees and pass-through fees from subcontractors and other direct costs. Our Federal Solutions segment derives revenue primarily from the U.S. federal government and our Critical Infrastructure segment derives revenue primarily from government and commercial customers.</w:t>
      </w:r>
    </w:p>
    <w:p>
      <w:pPr>
        <w:spacing w:after="0" w:line="16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recognize revenue for work performed under cost-plus, time-and-materials and fixed-price contracts as follows:</w:t>
      </w:r>
    </w:p>
    <w:p>
      <w:pPr>
        <w:spacing w:after="0" w:line="212" w:lineRule="exact"/>
        <w:rPr>
          <w:sz w:val="20"/>
          <w:szCs w:val="20"/>
          <w:color w:val="auto"/>
        </w:rPr>
      </w:pPr>
    </w:p>
    <w:p>
      <w:pPr>
        <w:ind w:right="20" w:firstLine="637"/>
        <w:spacing w:after="0" w:line="248" w:lineRule="auto"/>
        <w:rPr>
          <w:sz w:val="20"/>
          <w:szCs w:val="20"/>
          <w:color w:val="auto"/>
        </w:rPr>
      </w:pPr>
      <w:r>
        <w:rPr>
          <w:rFonts w:ascii="Arial" w:cs="Arial" w:eastAsia="Arial" w:hAnsi="Arial"/>
          <w:sz w:val="18"/>
          <w:szCs w:val="18"/>
          <w:color w:val="auto"/>
        </w:rPr>
        <w:t>Under cost-plus contracts, we are reimbursed for allowable or otherwise defined costs incurred, plus a fee. The contracts may also include incentives for various performance criteria, including quality, timeliness, safety and cost-effectiveness. In addition, costs are generally subject to review by clients and regulatory audit agencies, and such reviews could result in costs being disputed as non-reimbursable under the terms of the contract.</w:t>
      </w:r>
    </w:p>
    <w:p>
      <w:pPr>
        <w:spacing w:after="0" w:line="170" w:lineRule="exact"/>
        <w:rPr>
          <w:sz w:val="20"/>
          <w:szCs w:val="20"/>
          <w:color w:val="auto"/>
        </w:rPr>
      </w:pPr>
    </w:p>
    <w:p>
      <w:pPr>
        <w:ind w:right="200" w:firstLine="637"/>
        <w:spacing w:after="0" w:line="255" w:lineRule="auto"/>
        <w:rPr>
          <w:sz w:val="20"/>
          <w:szCs w:val="20"/>
          <w:color w:val="auto"/>
        </w:rPr>
      </w:pPr>
      <w:r>
        <w:rPr>
          <w:rFonts w:ascii="Arial" w:cs="Arial" w:eastAsia="Arial" w:hAnsi="Arial"/>
          <w:sz w:val="18"/>
          <w:szCs w:val="18"/>
          <w:color w:val="auto"/>
        </w:rPr>
        <w:t>Under time-and-materials contracts, hourly billing rates are negotiated and charged to clients based on the actual time spent on a project. In addition, clients reimburse actual out-of-pocket costs for other direct costs and expenses that are incurred in connection with the performance under the contract.</w:t>
      </w:r>
    </w:p>
    <w:p>
      <w:pPr>
        <w:spacing w:after="0" w:line="16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Under fixed-price contracts, clients pay an agreed fixed-amount negotiated in advance for a specified scope of work.</w:t>
      </w:r>
    </w:p>
    <w:p>
      <w:pPr>
        <w:spacing w:after="0" w:line="212" w:lineRule="exact"/>
        <w:rPr>
          <w:sz w:val="20"/>
          <w:szCs w:val="20"/>
          <w:color w:val="auto"/>
        </w:rPr>
      </w:pPr>
    </w:p>
    <w:p>
      <w:pPr>
        <w:ind w:right="160" w:firstLine="637"/>
        <w:spacing w:after="0" w:line="255" w:lineRule="auto"/>
        <w:rPr>
          <w:sz w:val="20"/>
          <w:szCs w:val="20"/>
          <w:color w:val="auto"/>
        </w:rPr>
      </w:pPr>
      <w:r>
        <w:rPr>
          <w:rFonts w:ascii="Arial" w:cs="Arial" w:eastAsia="Arial" w:hAnsi="Arial"/>
          <w:sz w:val="18"/>
          <w:szCs w:val="18"/>
          <w:color w:val="auto"/>
        </w:rPr>
        <w:t>Please see “Management’s Discussion and Analysis of Financial Condition and Results of Operations—Critical Accounting Policies and Estimates” and “Note 2—Summary of Significant Accounting Polices” in the notes to our consolidated financial statements included in the Company’s Form 10-K for the year ended December 31, 2019 for a description of our policies on revenue recognition.</w:t>
      </w:r>
    </w:p>
    <w:p>
      <w:pPr>
        <w:spacing w:after="0" w:line="16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table below presents the percentage of total revenue for each type of contract.</w:t>
      </w:r>
    </w:p>
    <w:p>
      <w:pPr>
        <w:spacing w:after="0" w:line="314" w:lineRule="exact"/>
        <w:rPr>
          <w:sz w:val="20"/>
          <w:szCs w:val="20"/>
          <w:color w:val="auto"/>
        </w:rPr>
      </w:pPr>
    </w:p>
    <w:tbl>
      <w:tblPr>
        <w:tblLayout w:type="fixed"/>
        <w:tblInd w:w="580" w:type="dxa"/>
        <w:tblCellMar>
          <w:top w:w="0" w:type="dxa"/>
          <w:left w:w="0" w:type="dxa"/>
          <w:bottom w:w="0" w:type="dxa"/>
          <w:right w:w="0" w:type="dxa"/>
        </w:tblCellMar>
      </w:tblPr>
      <w:tr>
        <w:trPr>
          <w:trHeight w:val="177"/>
        </w:trPr>
        <w:tc>
          <w:tcPr>
            <w:tcW w:w="5160" w:type="dxa"/>
            <w:vAlign w:val="bottom"/>
          </w:tcPr>
          <w:p>
            <w:pPr>
              <w:spacing w:after="0"/>
              <w:rPr>
                <w:sz w:val="15"/>
                <w:szCs w:val="15"/>
                <w:color w:val="auto"/>
              </w:rPr>
            </w:pPr>
          </w:p>
        </w:tc>
        <w:tc>
          <w:tcPr>
            <w:tcW w:w="2580" w:type="dxa"/>
            <w:vAlign w:val="bottom"/>
            <w:gridSpan w:val="4"/>
          </w:tcPr>
          <w:p>
            <w:pPr>
              <w:ind w:left="460"/>
              <w:spacing w:after="0"/>
              <w:rPr>
                <w:sz w:val="20"/>
                <w:szCs w:val="20"/>
                <w:color w:val="auto"/>
              </w:rPr>
            </w:pPr>
            <w:r>
              <w:rPr>
                <w:rFonts w:ascii="Arial" w:cs="Arial" w:eastAsia="Arial" w:hAnsi="Arial"/>
                <w:sz w:val="14"/>
                <w:szCs w:val="14"/>
                <w:b w:val="1"/>
                <w:bCs w:val="1"/>
                <w:color w:val="auto"/>
              </w:rPr>
              <w:t>Three Months Ended</w:t>
            </w:r>
          </w:p>
        </w:tc>
        <w:tc>
          <w:tcPr>
            <w:tcW w:w="2360" w:type="dxa"/>
            <w:vAlign w:val="bottom"/>
            <w:gridSpan w:val="4"/>
          </w:tcPr>
          <w:p>
            <w:pPr>
              <w:ind w:left="440"/>
              <w:spacing w:after="0"/>
              <w:rPr>
                <w:sz w:val="20"/>
                <w:szCs w:val="20"/>
                <w:color w:val="auto"/>
              </w:rPr>
            </w:pPr>
            <w:r>
              <w:rPr>
                <w:rFonts w:ascii="Arial" w:cs="Arial" w:eastAsia="Arial" w:hAnsi="Arial"/>
                <w:sz w:val="14"/>
                <w:szCs w:val="14"/>
                <w:b w:val="1"/>
                <w:bCs w:val="1"/>
                <w:color w:val="auto"/>
              </w:rPr>
              <w:t>Nine Months Ended</w:t>
            </w:r>
          </w:p>
        </w:tc>
      </w:tr>
      <w:tr>
        <w:trPr>
          <w:trHeight w:val="154"/>
        </w:trPr>
        <w:tc>
          <w:tcPr>
            <w:tcW w:w="5160" w:type="dxa"/>
            <w:vAlign w:val="bottom"/>
          </w:tcPr>
          <w:p>
            <w:pPr>
              <w:spacing w:after="0"/>
              <w:rPr>
                <w:sz w:val="13"/>
                <w:szCs w:val="13"/>
                <w:color w:val="auto"/>
              </w:rPr>
            </w:pPr>
          </w:p>
        </w:tc>
        <w:tc>
          <w:tcPr>
            <w:tcW w:w="1280" w:type="dxa"/>
            <w:vAlign w:val="bottom"/>
            <w:tcBorders>
              <w:top w:val="single" w:sz="8" w:color="auto"/>
            </w:tcBorders>
            <w:gridSpan w:val="2"/>
          </w:tcPr>
          <w:p>
            <w:pPr>
              <w:ind w:left="40"/>
              <w:spacing w:after="0" w:line="154" w:lineRule="exact"/>
              <w:rPr>
                <w:sz w:val="20"/>
                <w:szCs w:val="20"/>
                <w:color w:val="auto"/>
              </w:rPr>
            </w:pPr>
            <w:r>
              <w:rPr>
                <w:rFonts w:ascii="Arial" w:cs="Arial" w:eastAsia="Arial" w:hAnsi="Arial"/>
                <w:sz w:val="14"/>
                <w:szCs w:val="14"/>
                <w:b w:val="1"/>
                <w:bCs w:val="1"/>
                <w:color w:val="auto"/>
              </w:rPr>
              <w:t>September 30,</w:t>
            </w:r>
          </w:p>
        </w:tc>
        <w:tc>
          <w:tcPr>
            <w:tcW w:w="1080" w:type="dxa"/>
            <w:vAlign w:val="bottom"/>
            <w:tcBorders>
              <w:top w:val="single" w:sz="8" w:color="auto"/>
            </w:tcBorders>
          </w:tcPr>
          <w:p>
            <w:pPr>
              <w:ind w:left="40"/>
              <w:spacing w:after="0" w:line="154"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3"/>
                <w:szCs w:val="13"/>
                <w:color w:val="auto"/>
              </w:rPr>
            </w:pPr>
          </w:p>
        </w:tc>
        <w:tc>
          <w:tcPr>
            <w:tcW w:w="1220" w:type="dxa"/>
            <w:vAlign w:val="bottom"/>
            <w:tcBorders>
              <w:top w:val="single" w:sz="8" w:color="auto"/>
            </w:tcBorders>
            <w:gridSpan w:val="2"/>
          </w:tcPr>
          <w:p>
            <w:pPr>
              <w:spacing w:after="0" w:line="154" w:lineRule="exact"/>
              <w:rPr>
                <w:sz w:val="20"/>
                <w:szCs w:val="20"/>
                <w:color w:val="auto"/>
              </w:rPr>
            </w:pPr>
            <w:r>
              <w:rPr>
                <w:rFonts w:ascii="Arial" w:cs="Arial" w:eastAsia="Arial" w:hAnsi="Arial"/>
                <w:sz w:val="14"/>
                <w:szCs w:val="14"/>
                <w:b w:val="1"/>
                <w:bCs w:val="1"/>
                <w:color w:val="auto"/>
              </w:rPr>
              <w:t>September 30,</w:t>
            </w:r>
          </w:p>
        </w:tc>
        <w:tc>
          <w:tcPr>
            <w:tcW w:w="1020" w:type="dxa"/>
            <w:vAlign w:val="bottom"/>
            <w:tcBorders>
              <w:top w:val="single" w:sz="8" w:color="auto"/>
            </w:tcBorders>
          </w:tcPr>
          <w:p>
            <w:pPr>
              <w:ind w:left="20"/>
              <w:spacing w:after="0" w:line="154" w:lineRule="exact"/>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3"/>
                <w:szCs w:val="13"/>
                <w:color w:val="auto"/>
              </w:rPr>
            </w:pPr>
          </w:p>
        </w:tc>
      </w:tr>
      <w:tr>
        <w:trPr>
          <w:trHeight w:val="177"/>
        </w:trPr>
        <w:tc>
          <w:tcPr>
            <w:tcW w:w="5160" w:type="dxa"/>
            <w:vAlign w:val="bottom"/>
            <w:tcBorders>
              <w:bottom w:val="single" w:sz="8" w:color="CFF0FC"/>
            </w:tcBorders>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5"/>
                <w:szCs w:val="15"/>
                <w:color w:val="auto"/>
              </w:rPr>
            </w:pPr>
          </w:p>
        </w:tc>
      </w:tr>
      <w:tr>
        <w:trPr>
          <w:trHeight w:val="210"/>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Fixed-price</w:t>
            </w:r>
          </w:p>
        </w:tc>
        <w:tc>
          <w:tcPr>
            <w:tcW w:w="108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32.4%</w:t>
            </w: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28.2%</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32.0%</w:t>
            </w: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7"/>
              </w:rPr>
              <w:t>29.2%</w:t>
            </w:r>
          </w:p>
        </w:tc>
        <w:tc>
          <w:tcPr>
            <w:tcW w:w="120" w:type="dxa"/>
            <w:vAlign w:val="bottom"/>
            <w:shd w:val="clear" w:color="auto" w:fill="CFF0FC"/>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Time-and-materials</w:t>
            </w:r>
          </w:p>
        </w:tc>
        <w:tc>
          <w:tcPr>
            <w:tcW w:w="1080" w:type="dxa"/>
            <w:vAlign w:val="bottom"/>
          </w:tcPr>
          <w:p>
            <w:pPr>
              <w:jc w:val="center"/>
              <w:spacing w:after="0"/>
              <w:rPr>
                <w:sz w:val="20"/>
                <w:szCs w:val="20"/>
                <w:color w:val="auto"/>
              </w:rPr>
            </w:pPr>
            <w:r>
              <w:rPr>
                <w:rFonts w:ascii="Arial" w:cs="Arial" w:eastAsia="Arial" w:hAnsi="Arial"/>
                <w:sz w:val="18"/>
                <w:szCs w:val="18"/>
                <w:color w:val="auto"/>
              </w:rPr>
              <w:t>26.5%</w:t>
            </w:r>
          </w:p>
        </w:tc>
        <w:tc>
          <w:tcPr>
            <w:tcW w:w="2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rPr>
              <w:t>27.9%</w:t>
            </w:r>
          </w:p>
        </w:tc>
        <w:tc>
          <w:tcPr>
            <w:tcW w:w="2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rPr>
              <w:t>26.3%</w:t>
            </w:r>
          </w:p>
        </w:tc>
        <w:tc>
          <w:tcPr>
            <w:tcW w:w="2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7"/>
              </w:rPr>
              <w:t>27.8%</w:t>
            </w:r>
          </w:p>
        </w:tc>
        <w:tc>
          <w:tcPr>
            <w:tcW w:w="120" w:type="dxa"/>
            <w:vAlign w:val="bottom"/>
          </w:tcPr>
          <w:p>
            <w:pPr>
              <w:spacing w:after="0"/>
              <w:rPr>
                <w:sz w:val="18"/>
                <w:szCs w:val="18"/>
                <w:color w:val="auto"/>
              </w:rPr>
            </w:pPr>
          </w:p>
        </w:tc>
      </w:tr>
      <w:tr>
        <w:trPr>
          <w:trHeight w:val="216"/>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Cost-plus</w:t>
            </w:r>
          </w:p>
        </w:tc>
        <w:tc>
          <w:tcPr>
            <w:tcW w:w="108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41.2%</w:t>
            </w: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43.9%</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41.7%</w:t>
            </w: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7"/>
              </w:rPr>
              <w:t>43.1%</w:t>
            </w:r>
          </w:p>
        </w:tc>
        <w:tc>
          <w:tcPr>
            <w:tcW w:w="120" w:type="dxa"/>
            <w:vAlign w:val="bottom"/>
            <w:shd w:val="clear" w:color="auto" w:fill="CFF0FC"/>
          </w:tcPr>
          <w:p>
            <w:pPr>
              <w:spacing w:after="0"/>
              <w:rPr>
                <w:sz w:val="18"/>
                <w:szCs w:val="18"/>
                <w:color w:val="auto"/>
              </w:rPr>
            </w:pPr>
          </w:p>
        </w:tc>
      </w:tr>
    </w:tbl>
    <w:p>
      <w:pPr>
        <w:spacing w:after="0" w:line="220" w:lineRule="exact"/>
        <w:rPr>
          <w:sz w:val="20"/>
          <w:szCs w:val="20"/>
          <w:color w:val="auto"/>
        </w:rPr>
      </w:pPr>
    </w:p>
    <w:p>
      <w:pPr>
        <w:ind w:right="40" w:firstLine="637"/>
        <w:spacing w:after="0"/>
        <w:rPr>
          <w:sz w:val="20"/>
          <w:szCs w:val="20"/>
          <w:color w:val="auto"/>
        </w:rPr>
      </w:pPr>
      <w:r>
        <w:rPr>
          <w:rFonts w:ascii="Arial" w:cs="Arial" w:eastAsia="Arial" w:hAnsi="Arial"/>
          <w:sz w:val="18"/>
          <w:szCs w:val="18"/>
          <w:color w:val="auto"/>
        </w:rPr>
        <w:t>The amount of risk and potential reward varies under each type of contract. Under cost-plus contracts, there is limited financial risk, because we are reimbursed for all allowable costs up to a ceiling. However, profit margins on this type of contract tend to be lower than on time-and-materials and fixed-price contracts. Under time-and-materials contracts, we are reimbursed for the hours worked using the predetermined hourly rates for each labor category. In addition, we are typically reimbursed for other direct contract costs and expenses at cost. We assume financial risk on time-and-materials contracts because our labor costs may exceed the negotiated billing rates. Profit margins on well-managed time-and-materials contracts tend to be higher than profit margins on cost-plus contracts as long as we are able to staff those contracts with people who have an appropriate skill set. Under fixed-price contracts, we are required to deliver the objectives under the contract for a pre-determined price. Compared to time-and-materials and cost-plus contracts, fixed-price contracts generally offer higher profit margin opportunities because we receive the full benefit of any</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57" w:right="359" w:bottom="1440" w:gutter="0" w:footer="0" w:header="0"/>
        </w:sectPr>
      </w:pPr>
    </w:p>
    <w:bookmarkStart w:id="36" w:name="page37"/>
    <w:bookmarkEnd w:id="36"/>
    <w:p>
      <w:pPr>
        <w:ind w:right="160"/>
        <w:spacing w:after="0" w:line="255" w:lineRule="auto"/>
        <w:rPr>
          <w:sz w:val="20"/>
          <w:szCs w:val="20"/>
          <w:color w:val="auto"/>
        </w:rPr>
      </w:pPr>
      <w:r>
        <w:rPr>
          <w:rFonts w:ascii="Arial" w:cs="Arial" w:eastAsia="Arial" w:hAnsi="Arial"/>
          <w:sz w:val="18"/>
          <w:szCs w:val="18"/>
          <w:color w:val="auto"/>
        </w:rPr>
        <w:t>cost savings, but they also generally involve greater financial risk because we bear the risk of any cost overruns. In the aggregate, the contract type mix in our revenue for any given period will affect that period’s profitability. Over time, we have experienced a relatively stable contract mix.</w:t>
      </w:r>
    </w:p>
    <w:p>
      <w:pPr>
        <w:spacing w:after="0" w:line="164" w:lineRule="exact"/>
        <w:rPr>
          <w:sz w:val="20"/>
          <w:szCs w:val="20"/>
          <w:color w:val="auto"/>
        </w:rPr>
      </w:pPr>
    </w:p>
    <w:p>
      <w:pPr>
        <w:ind w:right="220" w:firstLine="637"/>
        <w:spacing w:after="0" w:line="255" w:lineRule="auto"/>
        <w:rPr>
          <w:sz w:val="20"/>
          <w:szCs w:val="20"/>
          <w:color w:val="auto"/>
        </w:rPr>
      </w:pPr>
      <w:r>
        <w:rPr>
          <w:rFonts w:ascii="Arial" w:cs="Arial" w:eastAsia="Arial" w:hAnsi="Arial"/>
          <w:sz w:val="18"/>
          <w:szCs w:val="18"/>
          <w:color w:val="auto"/>
        </w:rPr>
        <w:t>Our recognition of profit on long-term contracts requires the use of assumptions related to transaction price and total cost of completion. Estimates are continually evaluated as work progresses and are revised when necessary. When a change in estimated cost or transaction price is determined to have an impact on contract profit, we record a positive or negative adjustment to revenue.</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Joint Ventures</w:t>
      </w:r>
    </w:p>
    <w:p>
      <w:pPr>
        <w:spacing w:after="0" w:line="104" w:lineRule="exact"/>
        <w:rPr>
          <w:sz w:val="20"/>
          <w:szCs w:val="20"/>
          <w:color w:val="auto"/>
        </w:rPr>
      </w:pPr>
    </w:p>
    <w:p>
      <w:pPr>
        <w:ind w:right="20" w:firstLine="637"/>
        <w:spacing w:after="0" w:line="243" w:lineRule="auto"/>
        <w:rPr>
          <w:sz w:val="20"/>
          <w:szCs w:val="20"/>
          <w:color w:val="auto"/>
        </w:rPr>
      </w:pPr>
      <w:r>
        <w:rPr>
          <w:rFonts w:ascii="Arial" w:cs="Arial" w:eastAsia="Arial" w:hAnsi="Arial"/>
          <w:sz w:val="18"/>
          <w:szCs w:val="18"/>
          <w:color w:val="auto"/>
        </w:rPr>
        <w:t>We conduct a portion of our business through joint ventures or similar partnership arrangements. For the joint ventures we control, we consolidate all the revenues and expenses in our consolidated statements of income (including revenues and expenses attributable to noncontrolling interests). For the joint ventures we do not control, we recognize equity in earnings (loss) of unconsolidated joint ventures. Our revenues included amounts related to services we provided to our unconsolidated joint ventures for the three months ended September 30, 2020 and September 30, 2019 of $42.0 million and $28.8 million, respectively, and for the nine months ended September 30, 2020 and September 30, 2019 of $124.7 million and $113.1 million, respectively.</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costs and expenses</w:t>
      </w:r>
    </w:p>
    <w:p>
      <w:pPr>
        <w:spacing w:after="0" w:line="104" w:lineRule="exact"/>
        <w:rPr>
          <w:sz w:val="20"/>
          <w:szCs w:val="20"/>
          <w:color w:val="auto"/>
        </w:rPr>
      </w:pPr>
    </w:p>
    <w:p>
      <w:pPr>
        <w:ind w:right="220" w:firstLine="637"/>
        <w:spacing w:after="0" w:line="241" w:lineRule="auto"/>
        <w:rPr>
          <w:sz w:val="20"/>
          <w:szCs w:val="20"/>
          <w:color w:val="auto"/>
        </w:rPr>
      </w:pPr>
      <w:r>
        <w:rPr>
          <w:rFonts w:ascii="Arial" w:cs="Arial" w:eastAsia="Arial" w:hAnsi="Arial"/>
          <w:sz w:val="18"/>
          <w:szCs w:val="18"/>
          <w:color w:val="auto"/>
        </w:rPr>
        <w:t>Operating costs and expenses primarily include direct costs of contracts and indirect, general and administrative expenses. Costs associated with compensation-related expenses for our people and facilities, which includes ESOP contribution expenses, are the most significant component of our operating expenses. Total ESOP contribution expense for the three months ended September 30, 2020 and September 30, 2019 was $ 12.5 million and $12.3 million, respectively, and for the nine months ended September 30, 2020 and September 30, 2019 was $42.0 million and $36.8 million, respectively, and is recorded in “Direct cost of contracts” and “Indirect, general and administrative expenses.” We expect operating expenses to increase due to our anticipated growth and the incremental costs associated with being a public company.</w:t>
      </w:r>
    </w:p>
    <w:p>
      <w:pPr>
        <w:spacing w:after="0" w:line="179" w:lineRule="exact"/>
        <w:rPr>
          <w:sz w:val="20"/>
          <w:szCs w:val="20"/>
          <w:color w:val="auto"/>
        </w:rPr>
      </w:pPr>
    </w:p>
    <w:p>
      <w:pPr>
        <w:ind w:right="80" w:firstLine="637"/>
        <w:spacing w:after="0" w:line="276" w:lineRule="auto"/>
        <w:rPr>
          <w:sz w:val="20"/>
          <w:szCs w:val="20"/>
          <w:color w:val="auto"/>
        </w:rPr>
      </w:pPr>
      <w:r>
        <w:rPr>
          <w:rFonts w:ascii="Arial" w:cs="Arial" w:eastAsia="Arial" w:hAnsi="Arial"/>
          <w:sz w:val="18"/>
          <w:szCs w:val="18"/>
          <w:color w:val="auto"/>
        </w:rPr>
        <w:t>Direct costs of contracts consist of direct labor and associated fringe benefits, indirect overhead, subcontractor and materials (“pass-through costs”), travel expenses and other expenses incurred to perform on contracts.</w:t>
      </w:r>
    </w:p>
    <w:p>
      <w:pPr>
        <w:spacing w:after="0" w:line="145" w:lineRule="exact"/>
        <w:rPr>
          <w:sz w:val="20"/>
          <w:szCs w:val="20"/>
          <w:color w:val="auto"/>
        </w:rPr>
      </w:pPr>
    </w:p>
    <w:p>
      <w:pPr>
        <w:ind w:right="780" w:firstLine="637"/>
        <w:spacing w:after="0" w:line="276" w:lineRule="auto"/>
        <w:rPr>
          <w:sz w:val="20"/>
          <w:szCs w:val="20"/>
          <w:color w:val="auto"/>
        </w:rPr>
      </w:pPr>
      <w:r>
        <w:rPr>
          <w:rFonts w:ascii="Arial" w:cs="Arial" w:eastAsia="Arial" w:hAnsi="Arial"/>
          <w:sz w:val="18"/>
          <w:szCs w:val="18"/>
          <w:color w:val="auto"/>
        </w:rPr>
        <w:t>Indirect, general and administrative expenses (“IG&amp;A”) include salaries and wages and fringe benefits of our employees not performing work directly for customers, facility costs and other costs related to these indirect functions.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expenses</w:t>
      </w:r>
    </w:p>
    <w:p>
      <w:pPr>
        <w:spacing w:after="0" w:line="104" w:lineRule="exact"/>
        <w:rPr>
          <w:sz w:val="20"/>
          <w:szCs w:val="20"/>
          <w:color w:val="auto"/>
        </w:rPr>
      </w:pPr>
    </w:p>
    <w:p>
      <w:pPr>
        <w:ind w:right="100" w:firstLine="637"/>
        <w:spacing w:after="0" w:line="276" w:lineRule="auto"/>
        <w:rPr>
          <w:sz w:val="20"/>
          <w:szCs w:val="20"/>
          <w:color w:val="auto"/>
        </w:rPr>
      </w:pPr>
      <w:r>
        <w:rPr>
          <w:rFonts w:ascii="Arial" w:cs="Arial" w:eastAsia="Arial" w:hAnsi="Arial"/>
          <w:sz w:val="18"/>
          <w:szCs w:val="18"/>
          <w:color w:val="auto"/>
        </w:rPr>
        <w:t>Other income and expenses primarily consist of interest income, interest expense, other income, net and interest and other expense associated with claims on long-term contracts.</w:t>
      </w:r>
    </w:p>
    <w:p>
      <w:pPr>
        <w:spacing w:after="0" w:line="14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Interest income primarily consists of interest earned on U.S. government money market funds.</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Interest expense consists of interest expense incurred under our Senior Notes, Convertible Senior Notes, and Credit Agreement.</w:t>
      </w:r>
    </w:p>
    <w:p>
      <w:pPr>
        <w:spacing w:after="0" w:line="212" w:lineRule="exact"/>
        <w:rPr>
          <w:sz w:val="20"/>
          <w:szCs w:val="20"/>
          <w:color w:val="auto"/>
        </w:rPr>
      </w:pPr>
    </w:p>
    <w:p>
      <w:pPr>
        <w:ind w:right="660" w:firstLine="637"/>
        <w:spacing w:after="0" w:line="276" w:lineRule="auto"/>
        <w:rPr>
          <w:sz w:val="20"/>
          <w:szCs w:val="20"/>
          <w:color w:val="auto"/>
        </w:rPr>
      </w:pPr>
      <w:r>
        <w:rPr>
          <w:rFonts w:ascii="Arial" w:cs="Arial" w:eastAsia="Arial" w:hAnsi="Arial"/>
          <w:sz w:val="18"/>
          <w:szCs w:val="18"/>
          <w:color w:val="auto"/>
        </w:rPr>
        <w:t>Other income, net primarily consists of gain or loss on sale of assets, sublease income and transaction gain or loss related to movements in foreign currency exchange rates.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212" w:lineRule="exact"/>
        <w:rPr>
          <w:sz w:val="20"/>
          <w:szCs w:val="20"/>
          <w:color w:val="auto"/>
        </w:rPr>
      </w:pPr>
    </w:p>
    <w:p>
      <w:pPr>
        <w:ind w:right="380" w:firstLine="637"/>
        <w:spacing w:after="0" w:line="276" w:lineRule="auto"/>
        <w:rPr>
          <w:sz w:val="20"/>
          <w:szCs w:val="20"/>
          <w:color w:val="auto"/>
        </w:rPr>
      </w:pPr>
      <w:r>
        <w:rPr>
          <w:rFonts w:ascii="Arial" w:cs="Arial" w:eastAsia="Arial" w:hAnsi="Arial"/>
          <w:sz w:val="18"/>
          <w:szCs w:val="18"/>
          <w:color w:val="auto"/>
        </w:rPr>
        <w:t>The following table sets forth Adjusted EBITDA, Net Income Margin, and Adjusted EBITDA Margin for the three and nine months ended September 30, 2020 and September 30, 2019.</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80" w:type="dxa"/>
            <w:vAlign w:val="bottom"/>
          </w:tcPr>
          <w:p>
            <w:pPr>
              <w:spacing w:after="0"/>
              <w:rPr>
                <w:sz w:val="15"/>
                <w:szCs w:val="15"/>
                <w:color w:val="auto"/>
              </w:rPr>
            </w:pPr>
          </w:p>
        </w:tc>
        <w:tc>
          <w:tcPr>
            <w:tcW w:w="4800" w:type="dxa"/>
            <w:vAlign w:val="bottom"/>
          </w:tcPr>
          <w:p>
            <w:pPr>
              <w:spacing w:after="0"/>
              <w:rPr>
                <w:sz w:val="15"/>
                <w:szCs w:val="15"/>
                <w:color w:val="auto"/>
              </w:rPr>
            </w:pPr>
          </w:p>
        </w:tc>
        <w:tc>
          <w:tcPr>
            <w:tcW w:w="270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Three Months Ended</w:t>
            </w:r>
          </w:p>
        </w:tc>
        <w:tc>
          <w:tcPr>
            <w:tcW w:w="260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rPr>
              <w:t>Nine Months Ended</w:t>
            </w:r>
          </w:p>
        </w:tc>
        <w:tc>
          <w:tcPr>
            <w:tcW w:w="560" w:type="dxa"/>
            <w:vAlign w:val="bottom"/>
          </w:tcPr>
          <w:p>
            <w:pPr>
              <w:spacing w:after="0"/>
              <w:rPr>
                <w:sz w:val="15"/>
                <w:szCs w:val="15"/>
                <w:color w:val="auto"/>
              </w:rPr>
            </w:pPr>
          </w:p>
        </w:tc>
      </w:tr>
      <w:tr>
        <w:trPr>
          <w:trHeight w:val="154"/>
        </w:trPr>
        <w:tc>
          <w:tcPr>
            <w:tcW w:w="580" w:type="dxa"/>
            <w:vAlign w:val="bottom"/>
          </w:tcPr>
          <w:p>
            <w:pPr>
              <w:spacing w:after="0"/>
              <w:rPr>
                <w:sz w:val="13"/>
                <w:szCs w:val="13"/>
                <w:color w:val="auto"/>
              </w:rPr>
            </w:pPr>
          </w:p>
        </w:tc>
        <w:tc>
          <w:tcPr>
            <w:tcW w:w="4800" w:type="dxa"/>
            <w:vAlign w:val="bottom"/>
          </w:tcPr>
          <w:p>
            <w:pPr>
              <w:spacing w:after="0"/>
              <w:rPr>
                <w:sz w:val="13"/>
                <w:szCs w:val="13"/>
                <w:color w:val="auto"/>
              </w:rPr>
            </w:pPr>
          </w:p>
        </w:tc>
        <w:tc>
          <w:tcPr>
            <w:tcW w:w="1360" w:type="dxa"/>
            <w:vAlign w:val="bottom"/>
            <w:tcBorders>
              <w:top w:val="single" w:sz="8" w:color="auto"/>
            </w:tcBorders>
            <w:gridSpan w:val="2"/>
          </w:tcPr>
          <w:p>
            <w:pPr>
              <w:jc w:val="right"/>
              <w:ind w:right="340"/>
              <w:spacing w:after="0" w:line="154" w:lineRule="exact"/>
              <w:rPr>
                <w:sz w:val="20"/>
                <w:szCs w:val="20"/>
                <w:color w:val="auto"/>
              </w:rPr>
            </w:pPr>
            <w:r>
              <w:rPr>
                <w:rFonts w:ascii="Arial" w:cs="Arial" w:eastAsia="Arial" w:hAnsi="Arial"/>
                <w:sz w:val="14"/>
                <w:szCs w:val="14"/>
                <w:b w:val="1"/>
                <w:bCs w:val="1"/>
                <w:color w:val="auto"/>
              </w:rPr>
              <w:t>September 30,</w:t>
            </w:r>
          </w:p>
        </w:tc>
        <w:tc>
          <w:tcPr>
            <w:tcW w:w="1060" w:type="dxa"/>
            <w:vAlign w:val="bottom"/>
            <w:tcBorders>
              <w:top w:val="single" w:sz="8" w:color="auto"/>
            </w:tcBorders>
            <w:gridSpan w:val="2"/>
          </w:tcPr>
          <w:p>
            <w:pPr>
              <w:ind w:left="20"/>
              <w:spacing w:after="0" w:line="154" w:lineRule="exact"/>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3"/>
                <w:szCs w:val="13"/>
                <w:color w:val="auto"/>
              </w:rPr>
            </w:pPr>
          </w:p>
        </w:tc>
        <w:tc>
          <w:tcPr>
            <w:tcW w:w="1360" w:type="dxa"/>
            <w:vAlign w:val="bottom"/>
            <w:tcBorders>
              <w:top w:val="single" w:sz="8" w:color="auto"/>
            </w:tcBorders>
            <w:gridSpan w:val="2"/>
          </w:tcPr>
          <w:p>
            <w:pPr>
              <w:jc w:val="right"/>
              <w:ind w:right="340"/>
              <w:spacing w:after="0" w:line="154" w:lineRule="exact"/>
              <w:rPr>
                <w:sz w:val="20"/>
                <w:szCs w:val="20"/>
                <w:color w:val="auto"/>
              </w:rPr>
            </w:pPr>
            <w:r>
              <w:rPr>
                <w:rFonts w:ascii="Arial" w:cs="Arial" w:eastAsia="Arial" w:hAnsi="Arial"/>
                <w:sz w:val="14"/>
                <w:szCs w:val="14"/>
                <w:b w:val="1"/>
                <w:bCs w:val="1"/>
                <w:color w:val="auto"/>
              </w:rPr>
              <w:t>September 30,</w:t>
            </w:r>
          </w:p>
        </w:tc>
        <w:tc>
          <w:tcPr>
            <w:tcW w:w="1060" w:type="dxa"/>
            <w:vAlign w:val="bottom"/>
            <w:tcBorders>
              <w:top w:val="single" w:sz="8" w:color="auto"/>
            </w:tcBorders>
          </w:tcPr>
          <w:p>
            <w:pPr>
              <w:jc w:val="right"/>
              <w:spacing w:after="0" w:line="154" w:lineRule="exact"/>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177"/>
        </w:trPr>
        <w:tc>
          <w:tcPr>
            <w:tcW w:w="580" w:type="dxa"/>
            <w:vAlign w:val="bottom"/>
          </w:tcPr>
          <w:p>
            <w:pPr>
              <w:spacing w:after="0"/>
              <w:rPr>
                <w:sz w:val="15"/>
                <w:szCs w:val="15"/>
                <w:color w:val="auto"/>
              </w:rPr>
            </w:pPr>
          </w:p>
        </w:tc>
        <w:tc>
          <w:tcPr>
            <w:tcW w:w="480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auto"/>
              </w:rPr>
              <w:t>(U.S. dollars in thousands)</w:t>
            </w:r>
          </w:p>
        </w:tc>
        <w:tc>
          <w:tcPr>
            <w:tcW w:w="1060" w:type="dxa"/>
            <w:vAlign w:val="bottom"/>
            <w:tcBorders>
              <w:bottom w:val="single" w:sz="8" w:color="auto"/>
            </w:tcBorders>
          </w:tcPr>
          <w:p>
            <w:pPr>
              <w:jc w:val="right"/>
              <w:ind w:right="298"/>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CFF0FC"/>
            </w:tcBorders>
          </w:tcPr>
          <w:p>
            <w:pPr>
              <w:spacing w:after="0"/>
              <w:rPr>
                <w:sz w:val="15"/>
                <w:szCs w:val="15"/>
                <w:color w:val="auto"/>
              </w:rPr>
            </w:pPr>
          </w:p>
        </w:tc>
        <w:tc>
          <w:tcPr>
            <w:tcW w:w="106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CFF0FC"/>
            </w:tcBorders>
          </w:tcPr>
          <w:p>
            <w:pPr>
              <w:spacing w:after="0"/>
              <w:rPr>
                <w:sz w:val="15"/>
                <w:szCs w:val="15"/>
                <w:color w:val="auto"/>
              </w:rPr>
            </w:pPr>
          </w:p>
        </w:tc>
        <w:tc>
          <w:tcPr>
            <w:tcW w:w="106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FF0FC"/>
            </w:tcBorders>
          </w:tcPr>
          <w:p>
            <w:pPr>
              <w:spacing w:after="0"/>
              <w:rPr>
                <w:sz w:val="15"/>
                <w:szCs w:val="15"/>
                <w:color w:val="auto"/>
              </w:rPr>
            </w:pPr>
          </w:p>
        </w:tc>
        <w:tc>
          <w:tcPr>
            <w:tcW w:w="560" w:type="dxa"/>
            <w:vAlign w:val="bottom"/>
          </w:tcPr>
          <w:p>
            <w:pPr>
              <w:spacing w:after="0"/>
              <w:rPr>
                <w:sz w:val="15"/>
                <w:szCs w:val="15"/>
                <w:color w:val="auto"/>
              </w:rPr>
            </w:pPr>
          </w:p>
        </w:tc>
      </w:tr>
      <w:tr>
        <w:trPr>
          <w:trHeight w:val="210"/>
        </w:trPr>
        <w:tc>
          <w:tcPr>
            <w:tcW w:w="580" w:type="dxa"/>
            <w:vAlign w:val="bottom"/>
          </w:tcPr>
          <w:p>
            <w:pPr>
              <w:spacing w:after="0"/>
              <w:rPr>
                <w:sz w:val="18"/>
                <w:szCs w:val="18"/>
                <w:color w:val="auto"/>
              </w:rPr>
            </w:pPr>
          </w:p>
        </w:tc>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Adjusted EBITDA (1)</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   100,801</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88,990</w:t>
            </w: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   252,458</w:t>
            </w: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   237,219</w:t>
            </w:r>
          </w:p>
        </w:tc>
        <w:tc>
          <w:tcPr>
            <w:tcW w:w="18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Net Income Margin (2)</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4.6%</w:t>
            </w: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6.0%</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3.1%</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Adjusted EBITDA Margin (3)</w:t>
            </w:r>
          </w:p>
        </w:tc>
        <w:tc>
          <w:tcPr>
            <w:tcW w:w="13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8.7%</w:t>
            </w:r>
          </w:p>
        </w:tc>
        <w:tc>
          <w:tcPr>
            <w:tcW w:w="13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8.5%</w:t>
            </w:r>
          </w:p>
        </w:tc>
        <w:tc>
          <w:tcPr>
            <w:tcW w:w="1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8.1%</w:t>
            </w:r>
          </w:p>
        </w:tc>
        <w:tc>
          <w:tcPr>
            <w:tcW w:w="560" w:type="dxa"/>
            <w:vAlign w:val="bottom"/>
          </w:tcPr>
          <w:p>
            <w:pPr>
              <w:spacing w:after="0"/>
              <w:rPr>
                <w:sz w:val="18"/>
                <w:szCs w:val="18"/>
                <w:color w:val="auto"/>
              </w:rPr>
            </w:pPr>
          </w:p>
        </w:tc>
      </w:tr>
      <w:tr>
        <w:trPr>
          <w:trHeight w:val="436"/>
        </w:trPr>
        <w:tc>
          <w:tcPr>
            <w:tcW w:w="58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1060" w:type="dxa"/>
            <w:vAlign w:val="bottom"/>
          </w:tcPr>
          <w:p>
            <w:pPr>
              <w:jc w:val="right"/>
              <w:ind w:right="638"/>
              <w:spacing w:after="0"/>
              <w:rPr>
                <w:sz w:val="20"/>
                <w:szCs w:val="20"/>
                <w:color w:val="auto"/>
              </w:rPr>
            </w:pPr>
            <w:r>
              <w:rPr>
                <w:rFonts w:ascii="Arial" w:cs="Arial" w:eastAsia="Arial" w:hAnsi="Arial"/>
                <w:sz w:val="18"/>
                <w:szCs w:val="18"/>
                <w:color w:val="auto"/>
              </w:rPr>
              <w:t>35</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98"/>
        </w:trPr>
        <w:tc>
          <w:tcPr>
            <w:tcW w:w="580" w:type="dxa"/>
            <w:vAlign w:val="bottom"/>
            <w:tcBorders>
              <w:bottom w:val="single" w:sz="8" w:color="9A9A9A"/>
            </w:tcBorders>
          </w:tcPr>
          <w:p>
            <w:pPr>
              <w:spacing w:after="0"/>
              <w:rPr>
                <w:sz w:val="8"/>
                <w:szCs w:val="8"/>
                <w:color w:val="auto"/>
              </w:rPr>
            </w:pPr>
          </w:p>
        </w:tc>
        <w:tc>
          <w:tcPr>
            <w:tcW w:w="480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7" w:name="page38"/>
    <w:bookmarkEnd w:id="37"/>
    <w:p>
      <w:pPr>
        <w:ind w:left="1000" w:hanging="628"/>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95123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951230" cy="8890"/>
                    </a:xfrm>
                    <a:prstGeom prst="rect">
                      <a:avLst/>
                    </a:prstGeom>
                    <a:noFill/>
                  </pic:spPr>
                </pic:pic>
              </a:graphicData>
            </a:graphic>
          </wp:anchor>
        </w:drawing>
        <w:t>A reconciliation of net income attributable to Parsons Corporation to Adjusted EBITDA is set forth below (in thousands).</w:t>
      </w:r>
    </w:p>
    <w:p>
      <w:pPr>
        <w:spacing w:after="0" w:line="36" w:lineRule="exact"/>
        <w:rPr>
          <w:rFonts w:ascii="Arial" w:cs="Arial" w:eastAsia="Arial" w:hAnsi="Arial"/>
          <w:sz w:val="18"/>
          <w:szCs w:val="18"/>
          <w:color w:val="auto"/>
        </w:rPr>
      </w:pPr>
    </w:p>
    <w:p>
      <w:pPr>
        <w:ind w:left="1000" w:hanging="628"/>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Net Income Margin is calculated as net income including noncontrolling interest divided by revenue in the applicable period</w:t>
      </w:r>
    </w:p>
    <w:p>
      <w:pPr>
        <w:spacing w:after="0" w:line="103" w:lineRule="exact"/>
        <w:rPr>
          <w:rFonts w:ascii="Arial" w:cs="Arial" w:eastAsia="Arial" w:hAnsi="Arial"/>
          <w:sz w:val="18"/>
          <w:szCs w:val="18"/>
          <w:color w:val="auto"/>
        </w:rPr>
      </w:pPr>
    </w:p>
    <w:p>
      <w:pPr>
        <w:ind w:left="1000" w:hanging="628"/>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Adjusted EBITDA Margin is calculated as Adjusted EBITDA divided by revenue in the applicable period.</w:t>
      </w:r>
    </w:p>
    <w:p>
      <w:pPr>
        <w:spacing w:after="0" w:line="327" w:lineRule="exact"/>
        <w:rPr>
          <w:sz w:val="20"/>
          <w:szCs w:val="20"/>
          <w:color w:val="auto"/>
        </w:rPr>
      </w:pPr>
    </w:p>
    <w:tbl>
      <w:tblPr>
        <w:tblLayout w:type="fixed"/>
        <w:tblInd w:w="580" w:type="dxa"/>
        <w:tblCellMar>
          <w:top w:w="0" w:type="dxa"/>
          <w:left w:w="0" w:type="dxa"/>
          <w:bottom w:w="0" w:type="dxa"/>
          <w:right w:w="0" w:type="dxa"/>
        </w:tblCellMar>
      </w:tblPr>
      <w:tr>
        <w:trPr>
          <w:trHeight w:val="177"/>
        </w:trPr>
        <w:tc>
          <w:tcPr>
            <w:tcW w:w="5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4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Three Months Ended</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2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Nine Months Ended</w:t>
            </w:r>
          </w:p>
        </w:tc>
      </w:tr>
      <w:tr>
        <w:trPr>
          <w:trHeight w:val="154"/>
        </w:trPr>
        <w:tc>
          <w:tcPr>
            <w:tcW w:w="5120" w:type="dxa"/>
            <w:vAlign w:val="bottom"/>
          </w:tcPr>
          <w:p>
            <w:pPr>
              <w:spacing w:after="0"/>
              <w:rPr>
                <w:sz w:val="13"/>
                <w:szCs w:val="13"/>
                <w:color w:val="auto"/>
              </w:rPr>
            </w:pPr>
          </w:p>
        </w:tc>
        <w:tc>
          <w:tcPr>
            <w:tcW w:w="1180" w:type="dxa"/>
            <w:vAlign w:val="bottom"/>
            <w:tcBorders>
              <w:top w:val="single" w:sz="8" w:color="auto"/>
            </w:tcBorders>
            <w:gridSpan w:val="3"/>
          </w:tcPr>
          <w:p>
            <w:pPr>
              <w:jc w:val="right"/>
              <w:ind w:right="180"/>
              <w:spacing w:after="0" w:line="154" w:lineRule="exact"/>
              <w:rPr>
                <w:sz w:val="20"/>
                <w:szCs w:val="20"/>
                <w:color w:val="auto"/>
              </w:rPr>
            </w:pPr>
            <w:r>
              <w:rPr>
                <w:rFonts w:ascii="Arial" w:cs="Arial" w:eastAsia="Arial" w:hAnsi="Arial"/>
                <w:sz w:val="14"/>
                <w:szCs w:val="14"/>
                <w:b w:val="1"/>
                <w:bCs w:val="1"/>
                <w:color w:val="auto"/>
              </w:rPr>
              <w:t>September 30,</w:t>
            </w:r>
          </w:p>
        </w:tc>
        <w:tc>
          <w:tcPr>
            <w:tcW w:w="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2"/>
          </w:tcPr>
          <w:p>
            <w:pPr>
              <w:jc w:val="right"/>
              <w:spacing w:after="0" w:line="154" w:lineRule="exact"/>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80" w:type="dxa"/>
            <w:vAlign w:val="bottom"/>
            <w:tcBorders>
              <w:top w:val="single" w:sz="8" w:color="auto"/>
            </w:tcBorders>
            <w:gridSpan w:val="3"/>
          </w:tcPr>
          <w:p>
            <w:pPr>
              <w:ind w:left="40"/>
              <w:spacing w:after="0" w:line="154" w:lineRule="exact"/>
              <w:rPr>
                <w:sz w:val="20"/>
                <w:szCs w:val="20"/>
                <w:color w:val="auto"/>
              </w:rPr>
            </w:pPr>
            <w:r>
              <w:rPr>
                <w:rFonts w:ascii="Arial" w:cs="Arial" w:eastAsia="Arial" w:hAnsi="Arial"/>
                <w:sz w:val="14"/>
                <w:szCs w:val="14"/>
                <w:b w:val="1"/>
                <w:bCs w:val="1"/>
                <w:color w:val="auto"/>
              </w:rPr>
              <w:t>September 30,</w:t>
            </w:r>
          </w:p>
        </w:tc>
        <w:tc>
          <w:tcPr>
            <w:tcW w:w="2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2"/>
          </w:tcPr>
          <w:p>
            <w:pPr>
              <w:jc w:val="right"/>
              <w:spacing w:after="0" w:line="154" w:lineRule="exact"/>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3"/>
                <w:szCs w:val="13"/>
                <w:color w:val="auto"/>
              </w:rPr>
            </w:pPr>
          </w:p>
        </w:tc>
      </w:tr>
      <w:tr>
        <w:trPr>
          <w:trHeight w:val="177"/>
        </w:trPr>
        <w:tc>
          <w:tcPr>
            <w:tcW w:w="51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FF0FC"/>
            </w:tcBorders>
          </w:tcPr>
          <w:p>
            <w:pPr>
              <w:spacing w:after="0"/>
              <w:rPr>
                <w:sz w:val="15"/>
                <w:szCs w:val="15"/>
                <w:color w:val="auto"/>
              </w:rPr>
            </w:pPr>
          </w:p>
        </w:tc>
        <w:tc>
          <w:tcPr>
            <w:tcW w:w="6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5"/>
                <w:szCs w:val="15"/>
                <w:color w:val="auto"/>
              </w:rPr>
            </w:pPr>
          </w:p>
        </w:tc>
        <w:tc>
          <w:tcPr>
            <w:tcW w:w="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5"/>
                <w:szCs w:val="15"/>
                <w:color w:val="auto"/>
              </w:rPr>
            </w:pPr>
          </w:p>
        </w:tc>
      </w:tr>
      <w:tr>
        <w:trPr>
          <w:trHeight w:val="209"/>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Net income attributable to Parsons Corporation</w:t>
            </w:r>
          </w:p>
        </w:tc>
        <w:tc>
          <w:tcPr>
            <w:tcW w:w="2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40,658</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56,812</w:t>
            </w: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76,930</w:t>
            </w: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106,812</w:t>
            </w:r>
          </w:p>
        </w:tc>
        <w:tc>
          <w:tcPr>
            <w:tcW w:w="100" w:type="dxa"/>
            <w:vAlign w:val="bottom"/>
            <w:shd w:val="clear" w:color="auto" w:fill="CFF0FC"/>
          </w:tcPr>
          <w:p>
            <w:pPr>
              <w:spacing w:after="0"/>
              <w:rPr>
                <w:sz w:val="18"/>
                <w:szCs w:val="18"/>
                <w:color w:val="auto"/>
              </w:rPr>
            </w:pPr>
          </w:p>
        </w:tc>
      </w:tr>
      <w:tr>
        <w:trPr>
          <w:trHeight w:val="216"/>
        </w:trPr>
        <w:tc>
          <w:tcPr>
            <w:tcW w:w="5120" w:type="dxa"/>
            <w:vAlign w:val="bottom"/>
          </w:tcPr>
          <w:p>
            <w:pPr>
              <w:ind w:left="240"/>
              <w:spacing w:after="0"/>
              <w:rPr>
                <w:sz w:val="20"/>
                <w:szCs w:val="20"/>
                <w:color w:val="auto"/>
              </w:rPr>
            </w:pPr>
            <w:r>
              <w:rPr>
                <w:rFonts w:ascii="Arial" w:cs="Arial" w:eastAsia="Arial" w:hAnsi="Arial"/>
                <w:sz w:val="18"/>
                <w:szCs w:val="18"/>
                <w:color w:val="auto"/>
              </w:rPr>
              <w:t>Interest expense, net</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5,387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4,482</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13,144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18,448</w:t>
            </w:r>
          </w:p>
        </w:tc>
        <w:tc>
          <w:tcPr>
            <w:tcW w:w="100" w:type="dxa"/>
            <w:vAlign w:val="bottom"/>
          </w:tcPr>
          <w:p>
            <w:pPr>
              <w:spacing w:after="0"/>
              <w:rPr>
                <w:sz w:val="18"/>
                <w:szCs w:val="18"/>
                <w:color w:val="auto"/>
              </w:rPr>
            </w:pPr>
          </w:p>
        </w:tc>
      </w:tr>
      <w:tr>
        <w:trPr>
          <w:trHeight w:val="216"/>
        </w:trPr>
        <w:tc>
          <w:tcPr>
            <w:tcW w:w="5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Income tax expense (benefit)</w:t>
            </w: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16,017</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(15,453)</w:t>
            </w: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32,992</w:t>
            </w: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(67,063)</w:t>
            </w:r>
          </w:p>
        </w:tc>
      </w:tr>
      <w:tr>
        <w:trPr>
          <w:trHeight w:val="216"/>
        </w:trPr>
        <w:tc>
          <w:tcPr>
            <w:tcW w:w="512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30,952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31,027</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95,442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92,692</w:t>
            </w:r>
          </w:p>
        </w:tc>
        <w:tc>
          <w:tcPr>
            <w:tcW w:w="100" w:type="dxa"/>
            <w:vAlign w:val="bottom"/>
          </w:tcPr>
          <w:p>
            <w:pPr>
              <w:spacing w:after="0"/>
              <w:rPr>
                <w:sz w:val="18"/>
                <w:szCs w:val="18"/>
                <w:color w:val="auto"/>
              </w:rPr>
            </w:pPr>
          </w:p>
        </w:tc>
      </w:tr>
      <w:tr>
        <w:trPr>
          <w:trHeight w:val="216"/>
        </w:trPr>
        <w:tc>
          <w:tcPr>
            <w:tcW w:w="5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income attributable to noncontrolling interests</w:t>
            </w: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5,862</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4,481</w:t>
            </w: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15,086</w:t>
            </w: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8,012</w:t>
            </w:r>
          </w:p>
        </w:tc>
        <w:tc>
          <w:tcPr>
            <w:tcW w:w="100" w:type="dxa"/>
            <w:vAlign w:val="bottom"/>
            <w:shd w:val="clear" w:color="auto" w:fill="CFF0FC"/>
          </w:tcPr>
          <w:p>
            <w:pPr>
              <w:spacing w:after="0"/>
              <w:rPr>
                <w:sz w:val="18"/>
                <w:szCs w:val="18"/>
                <w:color w:val="auto"/>
              </w:rPr>
            </w:pPr>
          </w:p>
        </w:tc>
      </w:tr>
      <w:tr>
        <w:trPr>
          <w:trHeight w:val="216"/>
        </w:trPr>
        <w:tc>
          <w:tcPr>
            <w:tcW w:w="5120" w:type="dxa"/>
            <w:vAlign w:val="bottom"/>
          </w:tcPr>
          <w:p>
            <w:pPr>
              <w:ind w:left="240"/>
              <w:spacing w:after="0"/>
              <w:rPr>
                <w:sz w:val="20"/>
                <w:szCs w:val="20"/>
                <w:color w:val="auto"/>
              </w:rPr>
            </w:pPr>
            <w:r>
              <w:rPr>
                <w:rFonts w:ascii="Arial" w:cs="Arial" w:eastAsia="Arial" w:hAnsi="Arial"/>
                <w:sz w:val="18"/>
                <w:szCs w:val="18"/>
                <w:color w:val="auto"/>
              </w:rPr>
              <w:t>Equity-based compensation</w:t>
            </w:r>
          </w:p>
        </w:tc>
        <w:tc>
          <w:tcPr>
            <w:tcW w:w="2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(991)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(1,657)</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4,142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45,504</w:t>
            </w:r>
          </w:p>
        </w:tc>
        <w:tc>
          <w:tcPr>
            <w:tcW w:w="100" w:type="dxa"/>
            <w:vAlign w:val="bottom"/>
          </w:tcPr>
          <w:p>
            <w:pPr>
              <w:spacing w:after="0"/>
              <w:rPr>
                <w:sz w:val="18"/>
                <w:szCs w:val="18"/>
                <w:color w:val="auto"/>
              </w:rPr>
            </w:pPr>
          </w:p>
        </w:tc>
      </w:tr>
      <w:tr>
        <w:trPr>
          <w:trHeight w:val="216"/>
        </w:trPr>
        <w:tc>
          <w:tcPr>
            <w:tcW w:w="5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Transaction-related costs (a)</w:t>
            </w: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2,411</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9,891</w:t>
            </w: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11,937</w:t>
            </w: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26,961</w:t>
            </w:r>
          </w:p>
        </w:tc>
        <w:tc>
          <w:tcPr>
            <w:tcW w:w="100" w:type="dxa"/>
            <w:vAlign w:val="bottom"/>
            <w:shd w:val="clear" w:color="auto" w:fill="CFF0FC"/>
          </w:tcPr>
          <w:p>
            <w:pPr>
              <w:spacing w:after="0"/>
              <w:rPr>
                <w:sz w:val="18"/>
                <w:szCs w:val="18"/>
                <w:color w:val="auto"/>
              </w:rPr>
            </w:pPr>
          </w:p>
        </w:tc>
      </w:tr>
      <w:tr>
        <w:trPr>
          <w:trHeight w:val="216"/>
        </w:trPr>
        <w:tc>
          <w:tcPr>
            <w:tcW w:w="5120" w:type="dxa"/>
            <w:vAlign w:val="bottom"/>
          </w:tcPr>
          <w:p>
            <w:pPr>
              <w:ind w:left="240"/>
              <w:spacing w:after="0"/>
              <w:rPr>
                <w:sz w:val="20"/>
                <w:szCs w:val="20"/>
                <w:color w:val="auto"/>
              </w:rPr>
            </w:pPr>
            <w:r>
              <w:rPr>
                <w:rFonts w:ascii="Arial" w:cs="Arial" w:eastAsia="Arial" w:hAnsi="Arial"/>
                <w:sz w:val="18"/>
                <w:szCs w:val="18"/>
                <w:color w:val="auto"/>
              </w:rPr>
              <w:t>Restructuring (b)</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309</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1,475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2,880</w:t>
            </w:r>
          </w:p>
        </w:tc>
        <w:tc>
          <w:tcPr>
            <w:tcW w:w="100" w:type="dxa"/>
            <w:vAlign w:val="bottom"/>
          </w:tcPr>
          <w:p>
            <w:pPr>
              <w:spacing w:after="0"/>
              <w:rPr>
                <w:sz w:val="18"/>
                <w:szCs w:val="18"/>
                <w:color w:val="auto"/>
              </w:rPr>
            </w:pPr>
          </w:p>
        </w:tc>
      </w:tr>
      <w:tr>
        <w:trPr>
          <w:trHeight w:val="216"/>
        </w:trPr>
        <w:tc>
          <w:tcPr>
            <w:tcW w:w="5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(c)</w:t>
            </w: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(902)</w:t>
            </w: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1,310</w:t>
            </w: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2,973</w:t>
            </w:r>
          </w:p>
        </w:tc>
        <w:tc>
          <w:tcPr>
            <w:tcW w:w="100" w:type="dxa"/>
            <w:vAlign w:val="bottom"/>
            <w:shd w:val="clear" w:color="auto" w:fill="CFF0FC"/>
          </w:tcPr>
          <w:p>
            <w:pPr>
              <w:spacing w:after="0"/>
              <w:rPr>
                <w:sz w:val="18"/>
                <w:szCs w:val="18"/>
                <w:color w:val="auto"/>
              </w:rPr>
            </w:pPr>
          </w:p>
        </w:tc>
      </w:tr>
      <w:tr>
        <w:trPr>
          <w:trHeight w:val="209"/>
        </w:trPr>
        <w:tc>
          <w:tcPr>
            <w:tcW w:w="5120" w:type="dxa"/>
            <w:vAlign w:val="bottom"/>
          </w:tcPr>
          <w:p>
            <w:pPr>
              <w:ind w:left="240"/>
              <w:spacing w:after="0"/>
              <w:rPr>
                <w:sz w:val="20"/>
                <w:szCs w:val="20"/>
                <w:color w:val="auto"/>
              </w:rPr>
            </w:pPr>
            <w:r>
              <w:rPr>
                <w:rFonts w:ascii="Arial" w:cs="Arial" w:eastAsia="Arial" w:hAnsi="Arial"/>
                <w:sz w:val="18"/>
                <w:szCs w:val="18"/>
                <w:color w:val="auto"/>
              </w:rPr>
              <w:t>Adjusted EBITDA</w:t>
            </w:r>
          </w:p>
        </w:tc>
        <w:tc>
          <w:tcPr>
            <w:tcW w:w="2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100,801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88,990</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252,458</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237,219</w:t>
            </w:r>
          </w:p>
        </w:tc>
        <w:tc>
          <w:tcPr>
            <w:tcW w:w="100" w:type="dxa"/>
            <w:vAlign w:val="bottom"/>
          </w:tcPr>
          <w:p>
            <w:pPr>
              <w:spacing w:after="0"/>
              <w:rPr>
                <w:sz w:val="18"/>
                <w:szCs w:val="18"/>
                <w:color w:val="auto"/>
              </w:rPr>
            </w:pPr>
          </w:p>
        </w:tc>
      </w:tr>
      <w:tr>
        <w:trPr>
          <w:trHeight w:val="20"/>
        </w:trPr>
        <w:tc>
          <w:tcPr>
            <w:tcW w:w="5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26" w:lineRule="exact"/>
        <w:rPr>
          <w:sz w:val="20"/>
          <w:szCs w:val="20"/>
          <w:color w:val="auto"/>
        </w:rPr>
      </w:pPr>
    </w:p>
    <w:p>
      <w:pPr>
        <w:ind w:left="640" w:right="640" w:hanging="632"/>
        <w:spacing w:after="0" w:line="247" w:lineRule="auto"/>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Reflects costs incurred in connection with acquisitions, IPO, and other non-recurring transaction costs, primarily fees paid for professional services and employee retention.</w:t>
      </w:r>
    </w:p>
    <w:p>
      <w:pPr>
        <w:ind w:left="640" w:hanging="632"/>
        <w:spacing w:after="0" w:line="234" w:lineRule="auto"/>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Reflects costs associated with our corporate restructuring initiatives.</w:t>
      </w:r>
    </w:p>
    <w:p>
      <w:pPr>
        <w:ind w:left="640" w:right="60" w:hanging="632"/>
        <w:spacing w:after="0" w:line="250" w:lineRule="auto"/>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Includes a combination of gain/loss related to sale of fixed assets, software implementation costs, and other individually insignificant items that are non-recurring in 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-666750</wp:posOffset>
            </wp:positionV>
            <wp:extent cx="95123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148" w:lineRule="exact"/>
        <w:rPr>
          <w:sz w:val="20"/>
          <w:szCs w:val="20"/>
          <w:color w:val="auto"/>
        </w:rPr>
      </w:pPr>
    </w:p>
    <w:p>
      <w:pPr>
        <w:ind w:right="100" w:firstLine="637"/>
        <w:spacing w:after="0" w:line="245" w:lineRule="auto"/>
        <w:rPr>
          <w:sz w:val="20"/>
          <w:szCs w:val="20"/>
          <w:color w:val="auto"/>
        </w:rPr>
      </w:pPr>
      <w:r>
        <w:rPr>
          <w:rFonts w:ascii="Arial" w:cs="Arial" w:eastAsia="Arial" w:hAnsi="Arial"/>
          <w:sz w:val="18"/>
          <w:szCs w:val="18"/>
          <w:color w:val="auto"/>
        </w:rPr>
        <w:t>Adjusted EBITDA is a supplemental measure of our operating performance used by management and our board of directors to assess our financial performance both on a segment and on a consolidated basis. We discuss Adjusted EBITDA because our management uses this measure for business planning purposes, including to manage the business against internal projected results of operations and measure the performance of the business generally. Adjusted EBITDA is frequently used by analysts, investors and other interested parties to evaluate companies in our industry.</w:t>
      </w:r>
    </w:p>
    <w:p>
      <w:pPr>
        <w:spacing w:after="0" w:line="172" w:lineRule="exact"/>
        <w:rPr>
          <w:sz w:val="20"/>
          <w:szCs w:val="20"/>
          <w:color w:val="auto"/>
        </w:rPr>
      </w:pPr>
    </w:p>
    <w:p>
      <w:pPr>
        <w:ind w:firstLine="637"/>
        <w:spacing w:after="0" w:line="238" w:lineRule="auto"/>
        <w:rPr>
          <w:sz w:val="20"/>
          <w:szCs w:val="20"/>
          <w:color w:val="auto"/>
        </w:rPr>
      </w:pPr>
      <w:r>
        <w:rPr>
          <w:rFonts w:ascii="Arial" w:cs="Arial" w:eastAsia="Arial" w:hAnsi="Arial"/>
          <w:sz w:val="18"/>
          <w:szCs w:val="18"/>
          <w:color w:val="auto"/>
        </w:rPr>
        <w:t>Adjusted EBITDA is not a GAAP measure of our financial performance or liquidity and should not be considered as an alternative to net income as a measure of financial performance or cash flows from operations as measures of liquidity, or any other performance measure derived in accordance with GAAP. We define Adjusted EBITDA as net income (loss) attributable to Parsons Corporation, adjusted to include net income (loss) attributable to noncontrolling interests and to exclude interest expense (net of interest income), provision for income taxes, depreciation and amortization and certain other items that we do not consider in our evaluation of ongoing operating performance. These other items include, among other things, impairment of goodwill, intangible and other assets, interest and other expenses recognized on litigation matters, amortization of deferred gain resulting from sale-leaseback transactions, expenses incurred in connection with acquisitions and other non-recurring transaction costs and expenses related to our corporate restructuring initiatives. Adjusted EBITDA should not be construed as an inference that our future results will be unaffected by unusual or non-recurring items. Additionally, Adjusted EBITDA is not intended to be a measure of free cash flow for management’s discretionary use, as it does not reflect tax payments, debt service requirements, capital expenditures and certain other cash costs that may recur in the future, including, among other things, cash requirements for working capital needs and cash costs to replace assets being depreciated and amortized. Management compensates for these limitations by relying on our GAAP results in addition to using Adjusted EBITDA supplementally. Our measure of Adjusted EBITDA is not necessarily comparable to similarly titled captions of other companies due to different methods of calculation.</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22" w:right="399" w:bottom="1440" w:gutter="0" w:footer="0" w:header="0"/>
        </w:sectPr>
      </w:pPr>
    </w:p>
    <w:bookmarkStart w:id="38" w:name="page39"/>
    <w:bookmarkEnd w:id="38"/>
    <w:p>
      <w:pPr>
        <w:ind w:right="240" w:firstLine="637"/>
        <w:spacing w:after="0" w:line="276" w:lineRule="auto"/>
        <w:rPr>
          <w:sz w:val="20"/>
          <w:szCs w:val="20"/>
          <w:color w:val="auto"/>
        </w:rPr>
      </w:pPr>
      <w:r>
        <w:rPr>
          <w:rFonts w:ascii="Arial" w:cs="Arial" w:eastAsia="Arial" w:hAnsi="Arial"/>
          <w:sz w:val="18"/>
          <w:szCs w:val="18"/>
          <w:color w:val="auto"/>
        </w:rPr>
        <w:t>The following table shows Adjusted EBITDA attributable to Parsons Corporation for each of our reportable segments and Adjusted EBITDA attributable to noncontrolling interests (in thousands):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4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w:t>
            </w:r>
          </w:p>
        </w:tc>
        <w:tc>
          <w:tcPr>
            <w:tcW w:w="178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rPr>
              <w:t>Variance</w:t>
            </w:r>
          </w:p>
        </w:tc>
        <w:tc>
          <w:tcPr>
            <w:tcW w:w="240" w:type="dxa"/>
            <w:vAlign w:val="bottom"/>
          </w:tcPr>
          <w:p>
            <w:pPr>
              <w:spacing w:after="0"/>
              <w:rPr>
                <w:sz w:val="15"/>
                <w:szCs w:val="15"/>
                <w:color w:val="auto"/>
              </w:rPr>
            </w:pPr>
          </w:p>
        </w:tc>
        <w:tc>
          <w:tcPr>
            <w:tcW w:w="2180" w:type="dxa"/>
            <w:vAlign w:val="bottom"/>
            <w:gridSpan w:val="5"/>
          </w:tcPr>
          <w:p>
            <w:pPr>
              <w:ind w:left="200"/>
              <w:spacing w:after="0"/>
              <w:rPr>
                <w:sz w:val="20"/>
                <w:szCs w:val="20"/>
                <w:color w:val="auto"/>
              </w:rPr>
            </w:pPr>
            <w:r>
              <w:rPr>
                <w:rFonts w:ascii="Arial" w:cs="Arial" w:eastAsia="Arial" w:hAnsi="Arial"/>
                <w:sz w:val="14"/>
                <w:szCs w:val="14"/>
                <w:b w:val="1"/>
                <w:bCs w:val="1"/>
                <w:color w:val="auto"/>
              </w:rPr>
              <w:t>Nine Months Ended</w:t>
            </w:r>
          </w:p>
        </w:tc>
        <w:tc>
          <w:tcPr>
            <w:tcW w:w="20" w:type="dxa"/>
            <w:vAlign w:val="bottom"/>
          </w:tcPr>
          <w:p>
            <w:pPr>
              <w:spacing w:after="0"/>
              <w:rPr>
                <w:sz w:val="15"/>
                <w:szCs w:val="15"/>
                <w:color w:val="auto"/>
              </w:rPr>
            </w:pPr>
          </w:p>
        </w:tc>
        <w:tc>
          <w:tcPr>
            <w:tcW w:w="170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Variance</w:t>
            </w:r>
          </w:p>
        </w:tc>
      </w:tr>
      <w:tr>
        <w:trPr>
          <w:trHeight w:val="154"/>
        </w:trPr>
        <w:tc>
          <w:tcPr>
            <w:tcW w:w="2980" w:type="dxa"/>
            <w:vAlign w:val="bottom"/>
          </w:tcPr>
          <w:p>
            <w:pPr>
              <w:spacing w:after="0"/>
              <w:rPr>
                <w:sz w:val="13"/>
                <w:szCs w:val="13"/>
                <w:color w:val="auto"/>
              </w:rPr>
            </w:pPr>
          </w:p>
        </w:tc>
        <w:tc>
          <w:tcPr>
            <w:tcW w:w="980" w:type="dxa"/>
            <w:vAlign w:val="bottom"/>
            <w:tcBorders>
              <w:top w:val="single" w:sz="8" w:color="auto"/>
            </w:tcBorders>
            <w:gridSpan w:val="2"/>
          </w:tcPr>
          <w:p>
            <w:pPr>
              <w:spacing w:after="0" w:line="154" w:lineRule="exact"/>
              <w:rPr>
                <w:sz w:val="20"/>
                <w:szCs w:val="20"/>
                <w:color w:val="auto"/>
              </w:rPr>
            </w:pPr>
            <w:r>
              <w:rPr>
                <w:rFonts w:ascii="Arial" w:cs="Arial" w:eastAsia="Arial" w:hAnsi="Arial"/>
                <w:sz w:val="14"/>
                <w:szCs w:val="14"/>
                <w:b w:val="1"/>
                <w:bCs w:val="1"/>
                <w:color w:val="auto"/>
              </w:rPr>
              <w:t>September 30,</w:t>
            </w:r>
          </w:p>
        </w:tc>
        <w:tc>
          <w:tcPr>
            <w:tcW w:w="1180" w:type="dxa"/>
            <w:vAlign w:val="bottom"/>
            <w:tcBorders>
              <w:top w:val="single" w:sz="8" w:color="auto"/>
            </w:tcBorders>
            <w:gridSpan w:val="3"/>
          </w:tcPr>
          <w:p>
            <w:pPr>
              <w:jc w:val="right"/>
              <w:spacing w:after="0" w:line="154" w:lineRule="exact"/>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Borders>
              <w:top w:val="single" w:sz="8" w:color="auto"/>
            </w:tcBorders>
            <w:gridSpan w:val="3"/>
          </w:tcPr>
          <w:p>
            <w:pPr>
              <w:ind w:left="40"/>
              <w:spacing w:after="0" w:line="154" w:lineRule="exact"/>
              <w:rPr>
                <w:sz w:val="20"/>
                <w:szCs w:val="20"/>
                <w:color w:val="auto"/>
              </w:rPr>
            </w:pPr>
            <w:r>
              <w:rPr>
                <w:rFonts w:ascii="Arial" w:cs="Arial" w:eastAsia="Arial" w:hAnsi="Arial"/>
                <w:sz w:val="14"/>
                <w:szCs w:val="14"/>
                <w:b w:val="1"/>
                <w:bCs w:val="1"/>
                <w:color w:val="auto"/>
              </w:rPr>
              <w:t>September 30,</w:t>
            </w:r>
          </w:p>
        </w:tc>
        <w:tc>
          <w:tcPr>
            <w:tcW w:w="980" w:type="dxa"/>
            <w:vAlign w:val="bottom"/>
            <w:tcBorders>
              <w:top w:val="single" w:sz="8" w:color="auto"/>
            </w:tcBorders>
            <w:gridSpan w:val="2"/>
          </w:tcPr>
          <w:p>
            <w:pPr>
              <w:spacing w:after="0" w:line="154" w:lineRule="exact"/>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r>
      <w:tr>
        <w:trPr>
          <w:trHeight w:val="177"/>
        </w:trPr>
        <w:tc>
          <w:tcPr>
            <w:tcW w:w="2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ind w:right="256"/>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ind w:right="254"/>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5"/>
                <w:szCs w:val="15"/>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Dollar</w:t>
            </w:r>
          </w:p>
        </w:tc>
        <w:tc>
          <w:tcPr>
            <w:tcW w:w="9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Percent</w:t>
            </w:r>
          </w:p>
        </w:tc>
        <w:tc>
          <w:tcPr>
            <w:tcW w:w="240" w:type="dxa"/>
            <w:vAlign w:val="bottom"/>
          </w:tcPr>
          <w:p>
            <w:pPr>
              <w:spacing w:after="0"/>
              <w:rPr>
                <w:sz w:val="15"/>
                <w:szCs w:val="15"/>
                <w:color w:val="auto"/>
              </w:rPr>
            </w:pPr>
          </w:p>
        </w:tc>
        <w:tc>
          <w:tcPr>
            <w:tcW w:w="820" w:type="dxa"/>
            <w:vAlign w:val="bottom"/>
          </w:tcPr>
          <w:p>
            <w:pPr>
              <w:jc w:val="right"/>
              <w:ind w:right="296"/>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ind w:right="254"/>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Dollar</w:t>
            </w:r>
          </w:p>
        </w:tc>
        <w:tc>
          <w:tcPr>
            <w:tcW w:w="8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Percent</w:t>
            </w:r>
          </w:p>
        </w:tc>
      </w:tr>
      <w:tr>
        <w:trPr>
          <w:trHeight w:val="187"/>
        </w:trPr>
        <w:tc>
          <w:tcPr>
            <w:tcW w:w="2980" w:type="dxa"/>
            <w:vAlign w:val="bottom"/>
            <w:tcBorders>
              <w:top w:val="single" w:sz="8" w:color="CFF0FC"/>
            </w:tcBorders>
            <w:shd w:val="clear" w:color="auto" w:fill="CFF0FC"/>
          </w:tcPr>
          <w:p>
            <w:pPr>
              <w:spacing w:after="0" w:line="187" w:lineRule="exact"/>
              <w:rPr>
                <w:sz w:val="20"/>
                <w:szCs w:val="20"/>
                <w:color w:val="auto"/>
              </w:rPr>
            </w:pPr>
            <w:r>
              <w:rPr>
                <w:rFonts w:ascii="Arial" w:cs="Arial" w:eastAsia="Arial" w:hAnsi="Arial"/>
                <w:sz w:val="18"/>
                <w:szCs w:val="18"/>
                <w:color w:val="auto"/>
              </w:rPr>
              <w:t>Federal Solutions Adjusted EBITDA</w:t>
            </w:r>
          </w:p>
        </w:tc>
        <w:tc>
          <w:tcPr>
            <w:tcW w:w="200" w:type="dxa"/>
            <w:vAlign w:val="bottom"/>
            <w:tcBorders>
              <w:top w:val="single" w:sz="8" w:color="auto"/>
            </w:tcBorders>
            <w:shd w:val="clear" w:color="auto" w:fill="CFF0FC"/>
          </w:tcPr>
          <w:p>
            <w:pPr>
              <w:spacing w:after="0"/>
              <w:rPr>
                <w:sz w:val="16"/>
                <w:szCs w:val="16"/>
                <w:color w:val="auto"/>
              </w:rPr>
            </w:pPr>
          </w:p>
        </w:tc>
        <w:tc>
          <w:tcPr>
            <w:tcW w:w="780" w:type="dxa"/>
            <w:vAlign w:val="bottom"/>
            <w:tcBorders>
              <w:top w:val="single" w:sz="8" w:color="auto"/>
            </w:tcBorders>
            <w:shd w:val="clear" w:color="auto" w:fill="CFF0FC"/>
          </w:tcPr>
          <w:p>
            <w:pPr>
              <w:spacing w:after="0"/>
              <w:rPr>
                <w:sz w:val="16"/>
                <w:szCs w:val="16"/>
                <w:color w:val="auto"/>
              </w:rPr>
            </w:pPr>
          </w:p>
        </w:tc>
        <w:tc>
          <w:tcPr>
            <w:tcW w:w="200" w:type="dxa"/>
            <w:vAlign w:val="bottom"/>
            <w:tcBorders>
              <w:top w:val="single" w:sz="8" w:color="CFF0FC"/>
            </w:tcBorders>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spacing w:after="0"/>
              <w:rPr>
                <w:sz w:val="16"/>
                <w:szCs w:val="16"/>
                <w:color w:val="auto"/>
              </w:rPr>
            </w:pPr>
          </w:p>
        </w:tc>
        <w:tc>
          <w:tcPr>
            <w:tcW w:w="780" w:type="dxa"/>
            <w:vAlign w:val="bottom"/>
            <w:tcBorders>
              <w:top w:val="single" w:sz="8" w:color="auto"/>
            </w:tcBorders>
            <w:shd w:val="clear" w:color="auto" w:fill="CFF0FC"/>
          </w:tcPr>
          <w:p>
            <w:pPr>
              <w:spacing w:after="0"/>
              <w:rPr>
                <w:sz w:val="16"/>
                <w:szCs w:val="16"/>
                <w:color w:val="auto"/>
              </w:rPr>
            </w:pPr>
          </w:p>
        </w:tc>
        <w:tc>
          <w:tcPr>
            <w:tcW w:w="180" w:type="dxa"/>
            <w:vAlign w:val="bottom"/>
            <w:tcBorders>
              <w:top w:val="single" w:sz="8" w:color="CFF0FC"/>
            </w:tcBorders>
            <w:shd w:val="clear" w:color="auto" w:fill="CFF0FC"/>
          </w:tcPr>
          <w:p>
            <w:pPr>
              <w:spacing w:after="0"/>
              <w:rPr>
                <w:sz w:val="16"/>
                <w:szCs w:val="16"/>
                <w:color w:val="auto"/>
              </w:rPr>
            </w:pPr>
          </w:p>
        </w:tc>
        <w:tc>
          <w:tcPr>
            <w:tcW w:w="700" w:type="dxa"/>
            <w:vAlign w:val="bottom"/>
            <w:tcBorders>
              <w:top w:val="single" w:sz="8" w:color="auto"/>
            </w:tcBorders>
            <w:shd w:val="clear" w:color="auto" w:fill="CFF0FC"/>
          </w:tcPr>
          <w:p>
            <w:pPr>
              <w:spacing w:after="0"/>
              <w:rPr>
                <w:sz w:val="16"/>
                <w:szCs w:val="16"/>
                <w:color w:val="auto"/>
              </w:rPr>
            </w:pPr>
          </w:p>
        </w:tc>
        <w:tc>
          <w:tcPr>
            <w:tcW w:w="180" w:type="dxa"/>
            <w:vAlign w:val="bottom"/>
            <w:tcBorders>
              <w:top w:val="single" w:sz="8" w:color="CFF0FC"/>
            </w:tcBorders>
            <w:shd w:val="clear" w:color="auto" w:fill="CFF0FC"/>
          </w:tcPr>
          <w:p>
            <w:pPr>
              <w:spacing w:after="0"/>
              <w:rPr>
                <w:sz w:val="16"/>
                <w:szCs w:val="16"/>
                <w:color w:val="auto"/>
              </w:rPr>
            </w:pPr>
          </w:p>
        </w:tc>
        <w:tc>
          <w:tcPr>
            <w:tcW w:w="660" w:type="dxa"/>
            <w:vAlign w:val="bottom"/>
            <w:tcBorders>
              <w:top w:val="single" w:sz="8" w:color="auto"/>
            </w:tcBorders>
            <w:shd w:val="clear" w:color="auto" w:fill="CFF0FC"/>
          </w:tcPr>
          <w:p>
            <w:pPr>
              <w:spacing w:after="0"/>
              <w:rPr>
                <w:sz w:val="16"/>
                <w:szCs w:val="16"/>
                <w:color w:val="auto"/>
              </w:rPr>
            </w:pPr>
          </w:p>
        </w:tc>
        <w:tc>
          <w:tcPr>
            <w:tcW w:w="240" w:type="dxa"/>
            <w:vAlign w:val="bottom"/>
            <w:tcBorders>
              <w:top w:val="single" w:sz="8" w:color="CFF0FC"/>
            </w:tcBorders>
            <w:shd w:val="clear" w:color="auto" w:fill="CFF0FC"/>
          </w:tcPr>
          <w:p>
            <w:pPr>
              <w:spacing w:after="0"/>
              <w:rPr>
                <w:sz w:val="16"/>
                <w:szCs w:val="16"/>
                <w:color w:val="auto"/>
              </w:rPr>
            </w:pPr>
          </w:p>
        </w:tc>
        <w:tc>
          <w:tcPr>
            <w:tcW w:w="240" w:type="dxa"/>
            <w:vAlign w:val="bottom"/>
            <w:tcBorders>
              <w:top w:val="single" w:sz="8" w:color="auto"/>
            </w:tcBorders>
            <w:shd w:val="clear" w:color="auto" w:fill="CFF0FC"/>
          </w:tcPr>
          <w:p>
            <w:pPr>
              <w:spacing w:after="0"/>
              <w:rPr>
                <w:sz w:val="16"/>
                <w:szCs w:val="16"/>
                <w:color w:val="auto"/>
              </w:rPr>
            </w:pPr>
          </w:p>
        </w:tc>
        <w:tc>
          <w:tcPr>
            <w:tcW w:w="820" w:type="dxa"/>
            <w:vAlign w:val="bottom"/>
            <w:tcBorders>
              <w:top w:val="single" w:sz="8" w:color="auto"/>
            </w:tcBorders>
            <w:shd w:val="clear" w:color="auto" w:fill="CFF0FC"/>
          </w:tcPr>
          <w:p>
            <w:pPr>
              <w:spacing w:after="0"/>
              <w:rPr>
                <w:sz w:val="16"/>
                <w:szCs w:val="16"/>
                <w:color w:val="auto"/>
              </w:rPr>
            </w:pPr>
          </w:p>
        </w:tc>
        <w:tc>
          <w:tcPr>
            <w:tcW w:w="200" w:type="dxa"/>
            <w:vAlign w:val="bottom"/>
            <w:tcBorders>
              <w:top w:val="single" w:sz="8" w:color="CFF0FC"/>
            </w:tcBorders>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spacing w:after="0"/>
              <w:rPr>
                <w:sz w:val="16"/>
                <w:szCs w:val="16"/>
                <w:color w:val="auto"/>
              </w:rPr>
            </w:pPr>
          </w:p>
        </w:tc>
        <w:tc>
          <w:tcPr>
            <w:tcW w:w="780" w:type="dxa"/>
            <w:vAlign w:val="bottom"/>
            <w:tcBorders>
              <w:top w:val="single" w:sz="8" w:color="auto"/>
            </w:tcBorders>
            <w:shd w:val="clear" w:color="auto" w:fill="CFF0FC"/>
          </w:tcPr>
          <w:p>
            <w:pPr>
              <w:spacing w:after="0"/>
              <w:rPr>
                <w:sz w:val="16"/>
                <w:szCs w:val="16"/>
                <w:color w:val="auto"/>
              </w:rPr>
            </w:pPr>
          </w:p>
        </w:tc>
        <w:tc>
          <w:tcPr>
            <w:tcW w:w="180" w:type="dxa"/>
            <w:vAlign w:val="bottom"/>
            <w:tcBorders>
              <w:top w:val="single" w:sz="8" w:color="CFF0FC"/>
            </w:tcBorders>
            <w:shd w:val="clear" w:color="auto" w:fill="CFF0FC"/>
          </w:tcPr>
          <w:p>
            <w:pPr>
              <w:spacing w:after="0"/>
              <w:rPr>
                <w:sz w:val="16"/>
                <w:szCs w:val="16"/>
                <w:color w:val="auto"/>
              </w:rPr>
            </w:pPr>
          </w:p>
        </w:tc>
        <w:tc>
          <w:tcPr>
            <w:tcW w:w="20" w:type="dxa"/>
            <w:vAlign w:val="bottom"/>
            <w:tcBorders>
              <w:top w:val="single" w:sz="8" w:color="CFF0FC"/>
            </w:tcBorders>
            <w:shd w:val="clear" w:color="auto" w:fill="CFF0FC"/>
          </w:tcPr>
          <w:p>
            <w:pPr>
              <w:spacing w:after="0"/>
              <w:rPr>
                <w:sz w:val="16"/>
                <w:szCs w:val="16"/>
                <w:color w:val="auto"/>
              </w:rPr>
            </w:pPr>
          </w:p>
        </w:tc>
        <w:tc>
          <w:tcPr>
            <w:tcW w:w="680" w:type="dxa"/>
            <w:vAlign w:val="bottom"/>
            <w:tcBorders>
              <w:top w:val="single" w:sz="8" w:color="auto"/>
            </w:tcBorders>
            <w:shd w:val="clear" w:color="auto" w:fill="CFF0FC"/>
          </w:tcPr>
          <w:p>
            <w:pPr>
              <w:spacing w:after="0"/>
              <w:rPr>
                <w:sz w:val="16"/>
                <w:szCs w:val="16"/>
                <w:color w:val="auto"/>
              </w:rPr>
            </w:pPr>
          </w:p>
        </w:tc>
        <w:tc>
          <w:tcPr>
            <w:tcW w:w="180" w:type="dxa"/>
            <w:vAlign w:val="bottom"/>
            <w:tcBorders>
              <w:top w:val="single" w:sz="8" w:color="CFF0FC"/>
            </w:tcBorders>
            <w:shd w:val="clear" w:color="auto" w:fill="CFF0FC"/>
          </w:tcPr>
          <w:p>
            <w:pPr>
              <w:spacing w:after="0"/>
              <w:rPr>
                <w:sz w:val="16"/>
                <w:szCs w:val="16"/>
                <w:color w:val="auto"/>
              </w:rPr>
            </w:pPr>
          </w:p>
        </w:tc>
        <w:tc>
          <w:tcPr>
            <w:tcW w:w="660" w:type="dxa"/>
            <w:vAlign w:val="bottom"/>
            <w:tcBorders>
              <w:top w:val="single" w:sz="8" w:color="auto"/>
            </w:tcBorders>
            <w:shd w:val="clear" w:color="auto" w:fill="CFF0FC"/>
          </w:tcPr>
          <w:p>
            <w:pPr>
              <w:spacing w:after="0"/>
              <w:rPr>
                <w:sz w:val="16"/>
                <w:szCs w:val="16"/>
                <w:color w:val="auto"/>
              </w:rPr>
            </w:pPr>
          </w:p>
        </w:tc>
        <w:tc>
          <w:tcPr>
            <w:tcW w:w="180" w:type="dxa"/>
            <w:vAlign w:val="bottom"/>
            <w:tcBorders>
              <w:top w:val="single" w:sz="8" w:color="CFF0FC"/>
            </w:tcBorders>
            <w:shd w:val="clear" w:color="auto" w:fill="CFF0FC"/>
          </w:tcPr>
          <w:p>
            <w:pPr>
              <w:spacing w:after="0"/>
              <w:rPr>
                <w:sz w:val="16"/>
                <w:szCs w:val="16"/>
                <w:color w:val="auto"/>
              </w:rPr>
            </w:pPr>
          </w:p>
        </w:tc>
      </w:tr>
      <w:tr>
        <w:trPr>
          <w:trHeight w:val="225"/>
        </w:trPr>
        <w:tc>
          <w:tcPr>
            <w:tcW w:w="2980" w:type="dxa"/>
            <w:vAlign w:val="bottom"/>
            <w:shd w:val="clear" w:color="auto" w:fill="CFF0FC"/>
          </w:tcPr>
          <w:p>
            <w:pPr>
              <w:spacing w:after="0"/>
              <w:rPr>
                <w:sz w:val="20"/>
                <w:szCs w:val="20"/>
                <w:color w:val="auto"/>
              </w:rPr>
            </w:pPr>
            <w:r>
              <w:rPr>
                <w:rFonts w:ascii="Arial" w:cs="Arial" w:eastAsia="Arial" w:hAnsi="Arial"/>
                <w:sz w:val="18"/>
                <w:szCs w:val="18"/>
                <w:color w:val="auto"/>
              </w:rPr>
              <w:t>attributable to Parsons Corporation</w:t>
            </w: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45,874</w:t>
            </w:r>
          </w:p>
        </w:tc>
        <w:tc>
          <w:tcPr>
            <w:tcW w:w="40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50,359</w:t>
            </w: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 (4,485)</w:t>
            </w:r>
          </w:p>
        </w:tc>
        <w:tc>
          <w:tcPr>
            <w:tcW w:w="1140" w:type="dxa"/>
            <w:vAlign w:val="bottom"/>
            <w:gridSpan w:val="3"/>
            <w:shd w:val="clear" w:color="auto" w:fill="CFF0FC"/>
          </w:tcPr>
          <w:p>
            <w:pPr>
              <w:jc w:val="right"/>
              <w:ind w:right="59"/>
              <w:spacing w:after="0"/>
              <w:rPr>
                <w:sz w:val="20"/>
                <w:szCs w:val="20"/>
                <w:color w:val="auto"/>
              </w:rPr>
            </w:pPr>
            <w:r>
              <w:rPr>
                <w:rFonts w:ascii="Arial" w:cs="Arial" w:eastAsia="Arial" w:hAnsi="Arial"/>
                <w:sz w:val="18"/>
                <w:szCs w:val="18"/>
                <w:color w:val="auto"/>
              </w:rPr>
              <w:t>-8.9% $</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125,191</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126,658</w:t>
            </w:r>
          </w:p>
        </w:tc>
        <w:tc>
          <w:tcPr>
            <w:tcW w:w="180" w:type="dxa"/>
            <w:vAlign w:val="bottom"/>
            <w:shd w:val="clear" w:color="auto" w:fill="CFF0FC"/>
          </w:tcPr>
          <w:p>
            <w:pPr>
              <w:spacing w:after="0"/>
              <w:rPr>
                <w:sz w:val="19"/>
                <w:szCs w:val="19"/>
                <w:color w:val="auto"/>
              </w:rPr>
            </w:pPr>
          </w:p>
        </w:tc>
        <w:tc>
          <w:tcPr>
            <w:tcW w:w="88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 (1,467)</w:t>
            </w: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w:t>
            </w:r>
          </w:p>
        </w:tc>
      </w:tr>
      <w:tr>
        <w:trPr>
          <w:trHeight w:val="193"/>
        </w:trPr>
        <w:tc>
          <w:tcPr>
            <w:tcW w:w="2980" w:type="dxa"/>
            <w:vAlign w:val="bottom"/>
          </w:tcPr>
          <w:p>
            <w:pPr>
              <w:spacing w:after="0" w:line="193" w:lineRule="exact"/>
              <w:rPr>
                <w:sz w:val="20"/>
                <w:szCs w:val="20"/>
                <w:color w:val="auto"/>
              </w:rPr>
            </w:pPr>
            <w:r>
              <w:rPr>
                <w:rFonts w:ascii="Arial" w:cs="Arial" w:eastAsia="Arial" w:hAnsi="Arial"/>
                <w:sz w:val="18"/>
                <w:szCs w:val="18"/>
                <w:color w:val="auto"/>
              </w:rPr>
              <w:t>Critical Infrastructure Adjusted</w:t>
            </w: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03"/>
        </w:trPr>
        <w:tc>
          <w:tcPr>
            <w:tcW w:w="2980" w:type="dxa"/>
            <w:vAlign w:val="bottom"/>
          </w:tcPr>
          <w:p>
            <w:pPr>
              <w:spacing w:after="0" w:line="202" w:lineRule="exact"/>
              <w:rPr>
                <w:sz w:val="20"/>
                <w:szCs w:val="20"/>
                <w:color w:val="auto"/>
              </w:rPr>
            </w:pPr>
            <w:r>
              <w:rPr>
                <w:rFonts w:ascii="Arial" w:cs="Arial" w:eastAsia="Arial" w:hAnsi="Arial"/>
                <w:sz w:val="18"/>
                <w:szCs w:val="18"/>
                <w:color w:val="auto"/>
              </w:rPr>
              <w:t>EBITDA attributable to Parsons</w:t>
            </w: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25"/>
        </w:trPr>
        <w:tc>
          <w:tcPr>
            <w:tcW w:w="2980" w:type="dxa"/>
            <w:vAlign w:val="bottom"/>
          </w:tcPr>
          <w:p>
            <w:pPr>
              <w:spacing w:after="0"/>
              <w:rPr>
                <w:sz w:val="20"/>
                <w:szCs w:val="20"/>
                <w:color w:val="auto"/>
              </w:rPr>
            </w:pPr>
            <w:r>
              <w:rPr>
                <w:rFonts w:ascii="Arial" w:cs="Arial" w:eastAsia="Arial" w:hAnsi="Arial"/>
                <w:sz w:val="18"/>
                <w:szCs w:val="18"/>
                <w:color w:val="auto"/>
              </w:rPr>
              <w:t>Corporation</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48,856</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33,976</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14,880</w:t>
            </w:r>
          </w:p>
        </w:tc>
        <w:tc>
          <w:tcPr>
            <w:tcW w:w="18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43.8%</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111,732</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102,177</w:t>
            </w:r>
          </w:p>
        </w:tc>
        <w:tc>
          <w:tcPr>
            <w:tcW w:w="18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9,555</w:t>
            </w:r>
          </w:p>
        </w:tc>
        <w:tc>
          <w:tcPr>
            <w:tcW w:w="18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9.4%</w:t>
            </w:r>
          </w:p>
        </w:tc>
      </w:tr>
      <w:tr>
        <w:trPr>
          <w:trHeight w:val="193"/>
        </w:trPr>
        <w:tc>
          <w:tcPr>
            <w:tcW w:w="2980" w:type="dxa"/>
            <w:vAlign w:val="bottom"/>
            <w:shd w:val="clear" w:color="auto" w:fill="CFF0FC"/>
          </w:tcPr>
          <w:p>
            <w:pPr>
              <w:spacing w:after="0" w:line="193" w:lineRule="exact"/>
              <w:rPr>
                <w:sz w:val="20"/>
                <w:szCs w:val="20"/>
                <w:color w:val="auto"/>
              </w:rPr>
            </w:pPr>
            <w:r>
              <w:rPr>
                <w:rFonts w:ascii="Arial" w:cs="Arial" w:eastAsia="Arial" w:hAnsi="Arial"/>
                <w:sz w:val="18"/>
                <w:szCs w:val="18"/>
                <w:color w:val="auto"/>
              </w:rPr>
              <w:t>Adjusted EBITDA attributable to</w:t>
            </w:r>
          </w:p>
        </w:tc>
        <w:tc>
          <w:tcPr>
            <w:tcW w:w="20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r>
      <w:tr>
        <w:trPr>
          <w:trHeight w:val="225"/>
        </w:trPr>
        <w:tc>
          <w:tcPr>
            <w:tcW w:w="2980" w:type="dxa"/>
            <w:vAlign w:val="bottom"/>
            <w:shd w:val="clear" w:color="auto" w:fill="CFF0FC"/>
          </w:tcPr>
          <w:p>
            <w:pPr>
              <w:spacing w:after="0"/>
              <w:rPr>
                <w:sz w:val="20"/>
                <w:szCs w:val="20"/>
                <w:color w:val="auto"/>
              </w:rPr>
            </w:pPr>
            <w:r>
              <w:rPr>
                <w:rFonts w:ascii="Arial" w:cs="Arial" w:eastAsia="Arial" w:hAnsi="Arial"/>
                <w:sz w:val="18"/>
                <w:szCs w:val="18"/>
                <w:color w:val="auto"/>
              </w:rPr>
              <w:t>noncontrolling interests</w:t>
            </w: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6,071</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4,655</w:t>
            </w: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1,416</w:t>
            </w: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30.4%</w:t>
            </w: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15,535</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8,384</w:t>
            </w:r>
          </w:p>
        </w:tc>
        <w:tc>
          <w:tcPr>
            <w:tcW w:w="18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7,151</w:t>
            </w:r>
          </w:p>
        </w:tc>
        <w:tc>
          <w:tcPr>
            <w:tcW w:w="1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85.3%</w:t>
            </w:r>
          </w:p>
        </w:tc>
      </w:tr>
      <w:tr>
        <w:trPr>
          <w:trHeight w:val="209"/>
        </w:trPr>
        <w:tc>
          <w:tcPr>
            <w:tcW w:w="2980" w:type="dxa"/>
            <w:vAlign w:val="bottom"/>
          </w:tcPr>
          <w:p>
            <w:pPr>
              <w:spacing w:after="0"/>
              <w:rPr>
                <w:sz w:val="20"/>
                <w:szCs w:val="20"/>
                <w:color w:val="auto"/>
              </w:rPr>
            </w:pPr>
            <w:r>
              <w:rPr>
                <w:rFonts w:ascii="Arial" w:cs="Arial" w:eastAsia="Arial" w:hAnsi="Arial"/>
                <w:sz w:val="18"/>
                <w:szCs w:val="18"/>
                <w:color w:val="auto"/>
              </w:rPr>
              <w:t>Total Adjusted EBITDA</w:t>
            </w: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100,801</w:t>
            </w:r>
          </w:p>
        </w:tc>
        <w:tc>
          <w:tcPr>
            <w:tcW w:w="2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88,990</w:t>
            </w:r>
          </w:p>
        </w:tc>
        <w:tc>
          <w:tcPr>
            <w:tcW w:w="18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$ 11,811</w:t>
            </w:r>
          </w:p>
        </w:tc>
        <w:tc>
          <w:tcPr>
            <w:tcW w:w="1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13.3%</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252,458</w:t>
            </w:r>
          </w:p>
        </w:tc>
        <w:tc>
          <w:tcPr>
            <w:tcW w:w="2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237,219</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$ 15,239</w:t>
            </w:r>
          </w:p>
        </w:tc>
        <w:tc>
          <w:tcPr>
            <w:tcW w:w="1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6.4%</w:t>
            </w:r>
          </w:p>
        </w:tc>
      </w:tr>
      <w:tr>
        <w:trPr>
          <w:trHeight w:val="20"/>
        </w:trPr>
        <w:tc>
          <w:tcPr>
            <w:tcW w:w="2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301" w:lineRule="exact"/>
        <w:rPr>
          <w:sz w:val="20"/>
          <w:szCs w:val="20"/>
          <w:color w:val="auto"/>
        </w:rPr>
      </w:pPr>
    </w:p>
    <w:p>
      <w:pPr>
        <w:ind w:right="120" w:firstLine="637"/>
        <w:spacing w:after="0" w:line="276" w:lineRule="auto"/>
        <w:rPr>
          <w:sz w:val="20"/>
          <w:szCs w:val="20"/>
          <w:color w:val="auto"/>
        </w:rPr>
      </w:pPr>
      <w:r>
        <w:rPr>
          <w:rFonts w:ascii="Arial" w:cs="Arial" w:eastAsia="Arial" w:hAnsi="Arial"/>
          <w:sz w:val="18"/>
          <w:szCs w:val="18"/>
          <w:color w:val="auto"/>
        </w:rPr>
        <w:t>The following table sets forth our results of operations for the three and nine months ended September 30, 2020 and September 30, 2019 as a percentage of revenue.</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8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60" w:type="dxa"/>
            <w:vAlign w:val="bottom"/>
            <w:gridSpan w:val="8"/>
          </w:tcPr>
          <w:p>
            <w:pPr>
              <w:jc w:val="right"/>
              <w:ind w:right="76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5"/>
                <w:szCs w:val="15"/>
                <w:color w:val="auto"/>
              </w:rPr>
            </w:pPr>
          </w:p>
        </w:tc>
        <w:tc>
          <w:tcPr>
            <w:tcW w:w="1900" w:type="dxa"/>
            <w:vAlign w:val="bottom"/>
            <w:gridSpan w:val="4"/>
          </w:tcPr>
          <w:p>
            <w:pPr>
              <w:jc w:val="right"/>
              <w:ind w:right="136"/>
              <w:spacing w:after="0"/>
              <w:rPr>
                <w:sz w:val="20"/>
                <w:szCs w:val="20"/>
                <w:color w:val="auto"/>
              </w:rPr>
            </w:pPr>
            <w:r>
              <w:rPr>
                <w:rFonts w:ascii="Arial" w:cs="Arial" w:eastAsia="Arial" w:hAnsi="Arial"/>
                <w:sz w:val="14"/>
                <w:szCs w:val="14"/>
                <w:b w:val="1"/>
                <w:bCs w:val="1"/>
                <w:color w:val="auto"/>
              </w:rPr>
              <w:t>Nine Months Ended</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58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tcBorders>
              <w:top w:val="single" w:sz="8" w:color="auto"/>
            </w:tcBorders>
            <w:gridSpan w:val="5"/>
          </w:tcPr>
          <w:p>
            <w:pPr>
              <w:jc w:val="center"/>
              <w:ind w:right="320"/>
              <w:spacing w:after="0" w:line="154" w:lineRule="exact"/>
              <w:rPr>
                <w:sz w:val="20"/>
                <w:szCs w:val="20"/>
                <w:color w:val="auto"/>
              </w:rPr>
            </w:pPr>
            <w:r>
              <w:rPr>
                <w:rFonts w:ascii="Arial" w:cs="Arial" w:eastAsia="Arial" w:hAnsi="Arial"/>
                <w:sz w:val="14"/>
                <w:szCs w:val="14"/>
                <w:b w:val="1"/>
                <w:bCs w:val="1"/>
                <w:color w:val="auto"/>
              </w:rPr>
              <w:t>September 30,</w:t>
            </w:r>
          </w:p>
        </w:tc>
        <w:tc>
          <w:tcPr>
            <w:tcW w:w="1000" w:type="dxa"/>
            <w:vAlign w:val="bottom"/>
            <w:tcBorders>
              <w:top w:val="single" w:sz="8" w:color="auto"/>
            </w:tcBorders>
            <w:gridSpan w:val="2"/>
          </w:tcPr>
          <w:p>
            <w:pPr>
              <w:jc w:val="right"/>
              <w:spacing w:after="0" w:line="154" w:lineRule="exact"/>
              <w:rPr>
                <w:sz w:val="20"/>
                <w:szCs w:val="20"/>
                <w:color w:val="auto"/>
              </w:rPr>
            </w:pPr>
            <w:r>
              <w:rPr>
                <w:rFonts w:ascii="Arial" w:cs="Arial" w:eastAsia="Arial" w:hAnsi="Arial"/>
                <w:sz w:val="14"/>
                <w:szCs w:val="14"/>
                <w:b w:val="1"/>
                <w:bCs w:val="1"/>
                <w:color w:val="auto"/>
                <w:w w:val="98"/>
              </w:rPr>
              <w:t>September 30,</w:t>
            </w:r>
          </w:p>
        </w:tc>
        <w:tc>
          <w:tcPr>
            <w:tcW w:w="280" w:type="dxa"/>
            <w:vAlign w:val="bottom"/>
          </w:tcPr>
          <w:p>
            <w:pPr>
              <w:spacing w:after="0"/>
              <w:rPr>
                <w:sz w:val="13"/>
                <w:szCs w:val="13"/>
                <w:color w:val="auto"/>
              </w:rPr>
            </w:pPr>
          </w:p>
        </w:tc>
        <w:tc>
          <w:tcPr>
            <w:tcW w:w="1340" w:type="dxa"/>
            <w:vAlign w:val="bottom"/>
            <w:tcBorders>
              <w:top w:val="single" w:sz="8" w:color="auto"/>
            </w:tcBorders>
            <w:gridSpan w:val="4"/>
          </w:tcPr>
          <w:p>
            <w:pPr>
              <w:jc w:val="right"/>
              <w:ind w:right="340"/>
              <w:spacing w:after="0" w:line="154" w:lineRule="exact"/>
              <w:rPr>
                <w:sz w:val="20"/>
                <w:szCs w:val="20"/>
                <w:color w:val="auto"/>
              </w:rPr>
            </w:pPr>
            <w:r>
              <w:rPr>
                <w:rFonts w:ascii="Arial" w:cs="Arial" w:eastAsia="Arial" w:hAnsi="Arial"/>
                <w:sz w:val="14"/>
                <w:szCs w:val="14"/>
                <w:b w:val="1"/>
                <w:bCs w:val="1"/>
                <w:color w:val="auto"/>
              </w:rPr>
              <w:t>September 30,</w:t>
            </w:r>
          </w:p>
        </w:tc>
        <w:tc>
          <w:tcPr>
            <w:tcW w:w="1020" w:type="dxa"/>
            <w:vAlign w:val="bottom"/>
            <w:tcBorders>
              <w:top w:val="single" w:sz="8" w:color="auto"/>
            </w:tcBorders>
            <w:gridSpan w:val="3"/>
          </w:tcPr>
          <w:p>
            <w:pPr>
              <w:spacing w:after="0" w:line="154" w:lineRule="exact"/>
              <w:rPr>
                <w:sz w:val="20"/>
                <w:szCs w:val="20"/>
                <w:color w:val="auto"/>
              </w:rPr>
            </w:pPr>
            <w:r>
              <w:rPr>
                <w:rFonts w:ascii="Arial" w:cs="Arial" w:eastAsia="Arial" w:hAnsi="Arial"/>
                <w:sz w:val="14"/>
                <w:szCs w:val="14"/>
                <w:b w:val="1"/>
                <w:bCs w:val="1"/>
                <w:color w:val="auto"/>
              </w:rPr>
              <w:t>September 30,</w:t>
            </w:r>
          </w:p>
        </w:tc>
        <w:tc>
          <w:tcPr>
            <w:tcW w:w="560" w:type="dxa"/>
            <w:vAlign w:val="bottom"/>
            <w:gridSpan w:val="2"/>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580" w:type="dxa"/>
            <w:vAlign w:val="bottom"/>
          </w:tcPr>
          <w:p>
            <w:pPr>
              <w:spacing w:after="0"/>
              <w:rPr>
                <w:sz w:val="15"/>
                <w:szCs w:val="15"/>
                <w:color w:val="auto"/>
              </w:rPr>
            </w:pPr>
          </w:p>
        </w:tc>
        <w:tc>
          <w:tcPr>
            <w:tcW w:w="2320" w:type="dxa"/>
            <w:vAlign w:val="bottom"/>
            <w:tcBorders>
              <w:bottom w:val="single" w:sz="8" w:color="CFF0FC"/>
            </w:tcBorders>
          </w:tcPr>
          <w:p>
            <w:pPr>
              <w:spacing w:after="0"/>
              <w:rPr>
                <w:sz w:val="15"/>
                <w:szCs w:val="15"/>
                <w:color w:val="auto"/>
              </w:rPr>
            </w:pPr>
          </w:p>
        </w:tc>
        <w:tc>
          <w:tcPr>
            <w:tcW w:w="980" w:type="dxa"/>
            <w:vAlign w:val="bottom"/>
            <w:tcBorders>
              <w:bottom w:val="single" w:sz="8" w:color="CFF0FC"/>
            </w:tcBorders>
          </w:tcPr>
          <w:p>
            <w:pPr>
              <w:spacing w:after="0"/>
              <w:rPr>
                <w:sz w:val="15"/>
                <w:szCs w:val="15"/>
                <w:color w:val="auto"/>
              </w:rPr>
            </w:pPr>
          </w:p>
        </w:tc>
        <w:tc>
          <w:tcPr>
            <w:tcW w:w="200" w:type="dxa"/>
            <w:vAlign w:val="bottom"/>
            <w:tcBorders>
              <w:bottom w:val="single" w:sz="8" w:color="CFF0FC"/>
            </w:tcBorders>
          </w:tcPr>
          <w:p>
            <w:pPr>
              <w:spacing w:after="0"/>
              <w:rPr>
                <w:sz w:val="15"/>
                <w:szCs w:val="15"/>
                <w:color w:val="auto"/>
              </w:rPr>
            </w:pPr>
          </w:p>
        </w:tc>
        <w:tc>
          <w:tcPr>
            <w:tcW w:w="980" w:type="dxa"/>
            <w:vAlign w:val="bottom"/>
            <w:tcBorders>
              <w:bottom w:val="single" w:sz="8" w:color="CFF0FC"/>
            </w:tcBorders>
          </w:tcPr>
          <w:p>
            <w:pPr>
              <w:spacing w:after="0"/>
              <w:rPr>
                <w:sz w:val="15"/>
                <w:szCs w:val="15"/>
                <w:color w:val="auto"/>
              </w:rPr>
            </w:pPr>
          </w:p>
        </w:tc>
        <w:tc>
          <w:tcPr>
            <w:tcW w:w="180" w:type="dxa"/>
            <w:vAlign w:val="bottom"/>
            <w:tcBorders>
              <w:bottom w:val="single" w:sz="8" w:color="CFF0FC"/>
            </w:tcBorders>
          </w:tcPr>
          <w:p>
            <w:pPr>
              <w:spacing w:after="0"/>
              <w:rPr>
                <w:sz w:val="15"/>
                <w:szCs w:val="15"/>
                <w:color w:val="auto"/>
              </w:rPr>
            </w:pPr>
          </w:p>
        </w:tc>
        <w:tc>
          <w:tcPr>
            <w:tcW w:w="240" w:type="dxa"/>
            <w:vAlign w:val="bottom"/>
            <w:tcBorders>
              <w:bottom w:val="single" w:sz="8" w:color="CFF0FC"/>
            </w:tcBorders>
          </w:tcPr>
          <w:p>
            <w:pPr>
              <w:spacing w:after="0"/>
              <w:rPr>
                <w:sz w:val="15"/>
                <w:szCs w:val="15"/>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340" w:type="dxa"/>
            <w:vAlign w:val="bottom"/>
            <w:tcBorders>
              <w:bottom w:val="single" w:sz="8" w:color="CFF0FC"/>
            </w:tcBorders>
          </w:tcPr>
          <w:p>
            <w:pPr>
              <w:spacing w:after="0"/>
              <w:rPr>
                <w:sz w:val="15"/>
                <w:szCs w:val="15"/>
                <w:color w:val="auto"/>
              </w:rPr>
            </w:pPr>
          </w:p>
        </w:tc>
        <w:tc>
          <w:tcPr>
            <w:tcW w:w="1000" w:type="dxa"/>
            <w:vAlign w:val="bottom"/>
            <w:tcBorders>
              <w:bottom w:val="single" w:sz="8" w:color="auto"/>
            </w:tcBorders>
            <w:gridSpan w:val="2"/>
          </w:tcPr>
          <w:p>
            <w:pPr>
              <w:jc w:val="right"/>
              <w:ind w:right="304"/>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CFF0FC"/>
            </w:tcBorders>
          </w:tcPr>
          <w:p>
            <w:pPr>
              <w:spacing w:after="0"/>
              <w:rPr>
                <w:sz w:val="15"/>
                <w:szCs w:val="15"/>
                <w:color w:val="auto"/>
              </w:rPr>
            </w:pPr>
          </w:p>
        </w:tc>
        <w:tc>
          <w:tcPr>
            <w:tcW w:w="1040" w:type="dxa"/>
            <w:vAlign w:val="bottom"/>
            <w:tcBorders>
              <w:bottom w:val="single" w:sz="8" w:color="auto"/>
            </w:tcBorders>
            <w:gridSpan w:val="2"/>
          </w:tcPr>
          <w:p>
            <w:pPr>
              <w:jc w:val="right"/>
              <w:ind w:right="30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5"/>
                <w:szCs w:val="15"/>
                <w:color w:val="auto"/>
              </w:rPr>
            </w:pPr>
          </w:p>
        </w:tc>
        <w:tc>
          <w:tcPr>
            <w:tcW w:w="200" w:type="dxa"/>
            <w:vAlign w:val="bottom"/>
            <w:tcBorders>
              <w:bottom w:val="single" w:sz="8" w:color="CFF0FC"/>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CFF0FC"/>
            </w:tcBorders>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232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tcBorders>
              <w:right w:val="single" w:sz="8" w:color="CFF0FC"/>
            </w:tcBorders>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100%</w:t>
            </w:r>
          </w:p>
        </w:tc>
        <w:tc>
          <w:tcPr>
            <w:tcW w:w="1280" w:type="dxa"/>
            <w:vAlign w:val="bottom"/>
            <w:tcBorders>
              <w:right w:val="single" w:sz="8" w:color="CFF0FC"/>
            </w:tcBorders>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100%</w:t>
            </w:r>
          </w:p>
        </w:tc>
        <w:tc>
          <w:tcPr>
            <w:tcW w:w="1340" w:type="dxa"/>
            <w:vAlign w:val="bottom"/>
            <w:tcBorders>
              <w:right w:val="single" w:sz="8" w:color="CFF0FC"/>
            </w:tcBorders>
            <w:gridSpan w:val="4"/>
            <w:shd w:val="clear" w:color="auto" w:fill="CFF0FC"/>
          </w:tcPr>
          <w:p>
            <w:pPr>
              <w:jc w:val="right"/>
              <w:ind w:right="140"/>
              <w:spacing w:after="0"/>
              <w:rPr>
                <w:sz w:val="20"/>
                <w:szCs w:val="20"/>
                <w:color w:val="auto"/>
              </w:rPr>
            </w:pPr>
            <w:r>
              <w:rPr>
                <w:rFonts w:ascii="Arial" w:cs="Arial" w:eastAsia="Arial" w:hAnsi="Arial"/>
                <w:sz w:val="18"/>
                <w:szCs w:val="18"/>
                <w:color w:val="auto"/>
              </w:rPr>
              <w:t>100%</w:t>
            </w:r>
          </w:p>
        </w:tc>
        <w:tc>
          <w:tcPr>
            <w:tcW w:w="120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100%</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320" w:type="dxa"/>
            <w:vAlign w:val="bottom"/>
          </w:tcPr>
          <w:p>
            <w:pPr>
              <w:spacing w:after="0"/>
              <w:rPr>
                <w:sz w:val="20"/>
                <w:szCs w:val="20"/>
                <w:color w:val="auto"/>
              </w:rPr>
            </w:pPr>
            <w:r>
              <w:rPr>
                <w:rFonts w:ascii="Arial" w:cs="Arial" w:eastAsia="Arial" w:hAnsi="Arial"/>
                <w:sz w:val="18"/>
                <w:szCs w:val="18"/>
                <w:color w:val="auto"/>
              </w:rPr>
              <w:t>Direct costs of contracts</w:t>
            </w: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3"/>
          </w:tcPr>
          <w:p>
            <w:pPr>
              <w:jc w:val="right"/>
              <w:ind w:right="180"/>
              <w:spacing w:after="0"/>
              <w:rPr>
                <w:sz w:val="20"/>
                <w:szCs w:val="20"/>
                <w:color w:val="auto"/>
              </w:rPr>
            </w:pPr>
            <w:r>
              <w:rPr>
                <w:rFonts w:ascii="Arial" w:cs="Arial" w:eastAsia="Arial" w:hAnsi="Arial"/>
                <w:sz w:val="18"/>
                <w:szCs w:val="18"/>
                <w:color w:val="auto"/>
                <w:w w:val="97"/>
              </w:rPr>
              <w:t>78.5%</w:t>
            </w:r>
          </w:p>
        </w:tc>
        <w:tc>
          <w:tcPr>
            <w:tcW w:w="1280" w:type="dxa"/>
            <w:vAlign w:val="bottom"/>
            <w:gridSpan w:val="3"/>
          </w:tcPr>
          <w:p>
            <w:pPr>
              <w:jc w:val="right"/>
              <w:ind w:right="120"/>
              <w:spacing w:after="0"/>
              <w:rPr>
                <w:sz w:val="20"/>
                <w:szCs w:val="20"/>
                <w:color w:val="auto"/>
              </w:rPr>
            </w:pPr>
            <w:r>
              <w:rPr>
                <w:rFonts w:ascii="Arial" w:cs="Arial" w:eastAsia="Arial" w:hAnsi="Arial"/>
                <w:sz w:val="18"/>
                <w:szCs w:val="18"/>
                <w:color w:val="auto"/>
              </w:rPr>
              <w:t>78.0%</w:t>
            </w:r>
          </w:p>
        </w:tc>
        <w:tc>
          <w:tcPr>
            <w:tcW w:w="1340" w:type="dxa"/>
            <w:vAlign w:val="bottom"/>
            <w:gridSpan w:val="4"/>
          </w:tcPr>
          <w:p>
            <w:pPr>
              <w:jc w:val="right"/>
              <w:ind w:right="140"/>
              <w:spacing w:after="0"/>
              <w:rPr>
                <w:sz w:val="20"/>
                <w:szCs w:val="20"/>
                <w:color w:val="auto"/>
              </w:rPr>
            </w:pPr>
            <w:r>
              <w:rPr>
                <w:rFonts w:ascii="Arial" w:cs="Arial" w:eastAsia="Arial" w:hAnsi="Arial"/>
                <w:sz w:val="18"/>
                <w:szCs w:val="18"/>
                <w:color w:val="auto"/>
              </w:rPr>
              <w:t>78.1%</w:t>
            </w:r>
          </w:p>
        </w:tc>
        <w:tc>
          <w:tcPr>
            <w:tcW w:w="1200" w:type="dxa"/>
            <w:vAlign w:val="bottom"/>
            <w:gridSpan w:val="4"/>
          </w:tcPr>
          <w:p>
            <w:pPr>
              <w:jc w:val="right"/>
              <w:ind w:right="20"/>
              <w:spacing w:after="0"/>
              <w:rPr>
                <w:sz w:val="20"/>
                <w:szCs w:val="20"/>
                <w:color w:val="auto"/>
              </w:rPr>
            </w:pPr>
            <w:r>
              <w:rPr>
                <w:rFonts w:ascii="Arial" w:cs="Arial" w:eastAsia="Arial" w:hAnsi="Arial"/>
                <w:sz w:val="18"/>
                <w:szCs w:val="18"/>
                <w:color w:val="auto"/>
              </w:rPr>
              <w:t>78.8%</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660" w:type="dxa"/>
            <w:vAlign w:val="bottom"/>
            <w:gridSpan w:val="5"/>
            <w:shd w:val="clear" w:color="auto" w:fill="CFF0FC"/>
          </w:tcPr>
          <w:p>
            <w:pPr>
              <w:spacing w:after="0"/>
              <w:rPr>
                <w:sz w:val="20"/>
                <w:szCs w:val="20"/>
                <w:color w:val="auto"/>
              </w:rPr>
            </w:pPr>
            <w:r>
              <w:rPr>
                <w:rFonts w:ascii="Arial" w:cs="Arial" w:eastAsia="Arial" w:hAnsi="Arial"/>
                <w:sz w:val="18"/>
                <w:szCs w:val="18"/>
                <w:color w:val="auto"/>
              </w:rPr>
              <w:t>Equity in earnings of unconsolidated joint ventures</w:t>
            </w:r>
          </w:p>
        </w:tc>
        <w:tc>
          <w:tcPr>
            <w:tcW w:w="2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tcBorders>
              <w:right w:val="single" w:sz="8" w:color="CFF0FC"/>
            </w:tcBorders>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1.7%</w:t>
            </w:r>
          </w:p>
        </w:tc>
        <w:tc>
          <w:tcPr>
            <w:tcW w:w="1280" w:type="dxa"/>
            <w:vAlign w:val="bottom"/>
            <w:tcBorders>
              <w:right w:val="single" w:sz="8" w:color="CFF0FC"/>
            </w:tcBorders>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0.7%</w:t>
            </w:r>
          </w:p>
        </w:tc>
        <w:tc>
          <w:tcPr>
            <w:tcW w:w="1340" w:type="dxa"/>
            <w:vAlign w:val="bottom"/>
            <w:tcBorders>
              <w:right w:val="single" w:sz="8" w:color="CFF0FC"/>
            </w:tcBorders>
            <w:gridSpan w:val="4"/>
            <w:shd w:val="clear" w:color="auto" w:fill="CFF0FC"/>
          </w:tcPr>
          <w:p>
            <w:pPr>
              <w:jc w:val="right"/>
              <w:ind w:right="140"/>
              <w:spacing w:after="0"/>
              <w:rPr>
                <w:sz w:val="20"/>
                <w:szCs w:val="20"/>
                <w:color w:val="auto"/>
              </w:rPr>
            </w:pPr>
            <w:r>
              <w:rPr>
                <w:rFonts w:ascii="Arial" w:cs="Arial" w:eastAsia="Arial" w:hAnsi="Arial"/>
                <w:sz w:val="18"/>
                <w:szCs w:val="18"/>
                <w:color w:val="auto"/>
              </w:rPr>
              <w:t>0.9%</w:t>
            </w:r>
          </w:p>
        </w:tc>
        <w:tc>
          <w:tcPr>
            <w:tcW w:w="720" w:type="dxa"/>
            <w:vAlign w:val="bottom"/>
            <w:shd w:val="clear" w:color="auto" w:fill="CFF0FC"/>
          </w:tcPr>
          <w:p>
            <w:pPr>
              <w:spacing w:after="0"/>
              <w:rPr>
                <w:sz w:val="18"/>
                <w:szCs w:val="18"/>
                <w:color w:val="auto"/>
              </w:rPr>
            </w:pPr>
          </w:p>
        </w:tc>
        <w:tc>
          <w:tcPr>
            <w:tcW w:w="4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1.0%</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660" w:type="dxa"/>
            <w:vAlign w:val="bottom"/>
            <w:gridSpan w:val="5"/>
          </w:tcPr>
          <w:p>
            <w:pPr>
              <w:spacing w:after="0"/>
              <w:rPr>
                <w:sz w:val="20"/>
                <w:szCs w:val="20"/>
                <w:color w:val="auto"/>
              </w:rPr>
            </w:pPr>
            <w:r>
              <w:rPr>
                <w:rFonts w:ascii="Arial" w:cs="Arial" w:eastAsia="Arial" w:hAnsi="Arial"/>
                <w:sz w:val="18"/>
                <w:szCs w:val="18"/>
                <w:color w:val="auto"/>
              </w:rPr>
              <w:t>Indirect, general and administrative expenses</w:t>
            </w: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3"/>
          </w:tcPr>
          <w:p>
            <w:pPr>
              <w:jc w:val="right"/>
              <w:ind w:right="180"/>
              <w:spacing w:after="0"/>
              <w:rPr>
                <w:sz w:val="20"/>
                <w:szCs w:val="20"/>
                <w:color w:val="auto"/>
              </w:rPr>
            </w:pPr>
            <w:r>
              <w:rPr>
                <w:rFonts w:ascii="Arial" w:cs="Arial" w:eastAsia="Arial" w:hAnsi="Arial"/>
                <w:sz w:val="18"/>
                <w:szCs w:val="18"/>
                <w:color w:val="auto"/>
                <w:w w:val="97"/>
              </w:rPr>
              <w:t>16.5%</w:t>
            </w:r>
          </w:p>
        </w:tc>
        <w:tc>
          <w:tcPr>
            <w:tcW w:w="1280" w:type="dxa"/>
            <w:vAlign w:val="bottom"/>
            <w:gridSpan w:val="3"/>
          </w:tcPr>
          <w:p>
            <w:pPr>
              <w:jc w:val="right"/>
              <w:ind w:right="120"/>
              <w:spacing w:after="0"/>
              <w:rPr>
                <w:sz w:val="20"/>
                <w:szCs w:val="20"/>
                <w:color w:val="auto"/>
              </w:rPr>
            </w:pPr>
            <w:r>
              <w:rPr>
                <w:rFonts w:ascii="Arial" w:cs="Arial" w:eastAsia="Arial" w:hAnsi="Arial"/>
                <w:sz w:val="18"/>
                <w:szCs w:val="18"/>
                <w:color w:val="auto"/>
              </w:rPr>
              <w:t>17.4%</w:t>
            </w:r>
          </w:p>
        </w:tc>
        <w:tc>
          <w:tcPr>
            <w:tcW w:w="1340" w:type="dxa"/>
            <w:vAlign w:val="bottom"/>
            <w:gridSpan w:val="4"/>
          </w:tcPr>
          <w:p>
            <w:pPr>
              <w:jc w:val="right"/>
              <w:ind w:right="140"/>
              <w:spacing w:after="0"/>
              <w:rPr>
                <w:sz w:val="20"/>
                <w:szCs w:val="20"/>
                <w:color w:val="auto"/>
              </w:rPr>
            </w:pPr>
            <w:r>
              <w:rPr>
                <w:rFonts w:ascii="Arial" w:cs="Arial" w:eastAsia="Arial" w:hAnsi="Arial"/>
                <w:sz w:val="18"/>
                <w:szCs w:val="18"/>
                <w:color w:val="auto"/>
              </w:rPr>
              <w:t>18.2%</w:t>
            </w:r>
          </w:p>
        </w:tc>
        <w:tc>
          <w:tcPr>
            <w:tcW w:w="1200" w:type="dxa"/>
            <w:vAlign w:val="bottom"/>
            <w:gridSpan w:val="4"/>
          </w:tcPr>
          <w:p>
            <w:pPr>
              <w:jc w:val="right"/>
              <w:ind w:right="20"/>
              <w:spacing w:after="0"/>
              <w:rPr>
                <w:sz w:val="20"/>
                <w:szCs w:val="20"/>
                <w:color w:val="auto"/>
              </w:rPr>
            </w:pPr>
            <w:r>
              <w:rPr>
                <w:rFonts w:ascii="Arial" w:cs="Arial" w:eastAsia="Arial" w:hAnsi="Arial"/>
                <w:sz w:val="18"/>
                <w:szCs w:val="18"/>
                <w:color w:val="auto"/>
              </w:rPr>
              <w:t>19.9%</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320" w:type="dxa"/>
            <w:vAlign w:val="bottom"/>
            <w:vMerge w:val="restart"/>
            <w:shd w:val="clear" w:color="auto" w:fill="CFF0FC"/>
          </w:tcPr>
          <w:p>
            <w:pPr>
              <w:ind w:left="240"/>
              <w:spacing w:after="0"/>
              <w:rPr>
                <w:sz w:val="20"/>
                <w:szCs w:val="20"/>
                <w:color w:val="auto"/>
              </w:rPr>
            </w:pPr>
            <w:r>
              <w:rPr>
                <w:rFonts w:ascii="Arial" w:cs="Arial" w:eastAsia="Arial" w:hAnsi="Arial"/>
                <w:sz w:val="18"/>
                <w:szCs w:val="18"/>
                <w:color w:val="auto"/>
              </w:rPr>
              <w:t>Operating income (loss)</w:t>
            </w:r>
          </w:p>
        </w:tc>
        <w:tc>
          <w:tcPr>
            <w:tcW w:w="98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98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Borders>
              <w:right w:val="single" w:sz="8" w:color="CFF0FC"/>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tcBorders>
              <w:right w:val="single" w:sz="8" w:color="auto"/>
            </w:tcBorders>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2320" w:type="dxa"/>
            <w:vAlign w:val="bottom"/>
            <w:vMerge w:val="continue"/>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tcBorders>
              <w:right w:val="single" w:sz="8" w:color="CFF0FC"/>
            </w:tcBorders>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6.6%</w:t>
            </w:r>
          </w:p>
        </w:tc>
        <w:tc>
          <w:tcPr>
            <w:tcW w:w="1280" w:type="dxa"/>
            <w:vAlign w:val="bottom"/>
            <w:tcBorders>
              <w:right w:val="single" w:sz="8" w:color="CFF0FC"/>
            </w:tcBorders>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5.2%</w:t>
            </w:r>
          </w:p>
        </w:tc>
        <w:tc>
          <w:tcPr>
            <w:tcW w:w="1340" w:type="dxa"/>
            <w:vAlign w:val="bottom"/>
            <w:tcBorders>
              <w:right w:val="single" w:sz="8" w:color="CFF0FC"/>
            </w:tcBorders>
            <w:gridSpan w:val="4"/>
            <w:shd w:val="clear" w:color="auto" w:fill="CFF0FC"/>
          </w:tcPr>
          <w:p>
            <w:pPr>
              <w:jc w:val="right"/>
              <w:ind w:right="140"/>
              <w:spacing w:after="0"/>
              <w:rPr>
                <w:sz w:val="20"/>
                <w:szCs w:val="20"/>
                <w:color w:val="auto"/>
              </w:rPr>
            </w:pPr>
            <w:r>
              <w:rPr>
                <w:rFonts w:ascii="Arial" w:cs="Arial" w:eastAsia="Arial" w:hAnsi="Arial"/>
                <w:sz w:val="18"/>
                <w:szCs w:val="18"/>
                <w:color w:val="auto"/>
              </w:rPr>
              <w:t>4.6%</w:t>
            </w:r>
          </w:p>
        </w:tc>
        <w:tc>
          <w:tcPr>
            <w:tcW w:w="720" w:type="dxa"/>
            <w:vAlign w:val="bottom"/>
            <w:shd w:val="clear" w:color="auto" w:fill="CFF0FC"/>
          </w:tcPr>
          <w:p>
            <w:pPr>
              <w:spacing w:after="0"/>
              <w:rPr>
                <w:sz w:val="18"/>
                <w:szCs w:val="18"/>
                <w:color w:val="auto"/>
              </w:rPr>
            </w:pPr>
          </w:p>
        </w:tc>
        <w:tc>
          <w:tcPr>
            <w:tcW w:w="4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2.3%</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320" w:type="dxa"/>
            <w:vAlign w:val="bottom"/>
            <w:vMerge w:val="restart"/>
          </w:tcPr>
          <w:p>
            <w:pPr>
              <w:spacing w:after="0"/>
              <w:rPr>
                <w:sz w:val="20"/>
                <w:szCs w:val="20"/>
                <w:color w:val="auto"/>
              </w:rPr>
            </w:pPr>
            <w:r>
              <w:rPr>
                <w:rFonts w:ascii="Arial" w:cs="Arial" w:eastAsia="Arial" w:hAnsi="Arial"/>
                <w:sz w:val="18"/>
                <w:szCs w:val="18"/>
                <w:color w:val="auto"/>
              </w:rPr>
              <w:t>Interest income</w:t>
            </w: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0" w:type="dxa"/>
            <w:vAlign w:val="bottom"/>
          </w:tcPr>
          <w:p>
            <w:pPr>
              <w:spacing w:after="0"/>
              <w:rPr>
                <w:sz w:val="18"/>
                <w:szCs w:val="18"/>
                <w:color w:val="auto"/>
              </w:rPr>
            </w:pPr>
          </w:p>
        </w:tc>
        <w:tc>
          <w:tcPr>
            <w:tcW w:w="2320" w:type="dxa"/>
            <w:vAlign w:val="bottom"/>
            <w:vMerge w:val="continue"/>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3"/>
          </w:tcPr>
          <w:p>
            <w:pPr>
              <w:jc w:val="right"/>
              <w:ind w:right="180"/>
              <w:spacing w:after="0"/>
              <w:rPr>
                <w:sz w:val="20"/>
                <w:szCs w:val="20"/>
                <w:color w:val="auto"/>
              </w:rPr>
            </w:pPr>
            <w:r>
              <w:rPr>
                <w:rFonts w:ascii="Arial" w:cs="Arial" w:eastAsia="Arial" w:hAnsi="Arial"/>
                <w:sz w:val="18"/>
                <w:szCs w:val="18"/>
                <w:color w:val="auto"/>
              </w:rPr>
              <w:t>0.0%</w:t>
            </w:r>
          </w:p>
        </w:tc>
        <w:tc>
          <w:tcPr>
            <w:tcW w:w="1280" w:type="dxa"/>
            <w:vAlign w:val="bottom"/>
            <w:gridSpan w:val="3"/>
          </w:tcPr>
          <w:p>
            <w:pPr>
              <w:jc w:val="right"/>
              <w:ind w:right="120"/>
              <w:spacing w:after="0"/>
              <w:rPr>
                <w:sz w:val="20"/>
                <w:szCs w:val="20"/>
                <w:color w:val="auto"/>
              </w:rPr>
            </w:pPr>
            <w:r>
              <w:rPr>
                <w:rFonts w:ascii="Arial" w:cs="Arial" w:eastAsia="Arial" w:hAnsi="Arial"/>
                <w:sz w:val="18"/>
                <w:szCs w:val="18"/>
                <w:color w:val="auto"/>
              </w:rPr>
              <w:t>0.0%</w:t>
            </w:r>
          </w:p>
        </w:tc>
        <w:tc>
          <w:tcPr>
            <w:tcW w:w="1340" w:type="dxa"/>
            <w:vAlign w:val="bottom"/>
            <w:gridSpan w:val="4"/>
          </w:tcPr>
          <w:p>
            <w:pPr>
              <w:jc w:val="right"/>
              <w:ind w:right="140"/>
              <w:spacing w:after="0"/>
              <w:rPr>
                <w:sz w:val="20"/>
                <w:szCs w:val="20"/>
                <w:color w:val="auto"/>
              </w:rPr>
            </w:pPr>
            <w:r>
              <w:rPr>
                <w:rFonts w:ascii="Arial" w:cs="Arial" w:eastAsia="Arial" w:hAnsi="Arial"/>
                <w:sz w:val="18"/>
                <w:szCs w:val="18"/>
                <w:color w:val="auto"/>
              </w:rPr>
              <w:t>0.0%</w:t>
            </w:r>
          </w:p>
        </w:tc>
        <w:tc>
          <w:tcPr>
            <w:tcW w:w="720" w:type="dxa"/>
            <w:vAlign w:val="bottom"/>
          </w:tcPr>
          <w:p>
            <w:pPr>
              <w:spacing w:after="0"/>
              <w:rPr>
                <w:sz w:val="18"/>
                <w:szCs w:val="18"/>
                <w:color w:val="auto"/>
              </w:rPr>
            </w:pPr>
          </w:p>
        </w:tc>
        <w:tc>
          <w:tcPr>
            <w:tcW w:w="480" w:type="dxa"/>
            <w:vAlign w:val="bottom"/>
            <w:gridSpan w:val="3"/>
          </w:tcPr>
          <w:p>
            <w:pPr>
              <w:jc w:val="right"/>
              <w:ind w:right="20"/>
              <w:spacing w:after="0"/>
              <w:rPr>
                <w:sz w:val="20"/>
                <w:szCs w:val="20"/>
                <w:color w:val="auto"/>
              </w:rPr>
            </w:pPr>
            <w:r>
              <w:rPr>
                <w:rFonts w:ascii="Arial" w:cs="Arial" w:eastAsia="Arial" w:hAnsi="Arial"/>
                <w:sz w:val="18"/>
                <w:szCs w:val="18"/>
                <w:color w:val="auto"/>
              </w:rPr>
              <w:t>0.0%</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32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tcBorders>
              <w:right w:val="single" w:sz="8" w:color="CFF0FC"/>
            </w:tcBorders>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-0.5%</w:t>
            </w:r>
          </w:p>
        </w:tc>
        <w:tc>
          <w:tcPr>
            <w:tcW w:w="1280" w:type="dxa"/>
            <w:vAlign w:val="bottom"/>
            <w:tcBorders>
              <w:right w:val="single" w:sz="8" w:color="CFF0FC"/>
            </w:tcBorders>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-0.5%</w:t>
            </w:r>
          </w:p>
        </w:tc>
        <w:tc>
          <w:tcPr>
            <w:tcW w:w="1340" w:type="dxa"/>
            <w:vAlign w:val="bottom"/>
            <w:tcBorders>
              <w:right w:val="single" w:sz="8" w:color="CFF0FC"/>
            </w:tcBorders>
            <w:gridSpan w:val="4"/>
            <w:shd w:val="clear" w:color="auto" w:fill="CFF0FC"/>
          </w:tcPr>
          <w:p>
            <w:pPr>
              <w:jc w:val="right"/>
              <w:ind w:right="140"/>
              <w:spacing w:after="0"/>
              <w:rPr>
                <w:sz w:val="20"/>
                <w:szCs w:val="20"/>
                <w:color w:val="auto"/>
              </w:rPr>
            </w:pPr>
            <w:r>
              <w:rPr>
                <w:rFonts w:ascii="Arial" w:cs="Arial" w:eastAsia="Arial" w:hAnsi="Arial"/>
                <w:sz w:val="18"/>
                <w:szCs w:val="18"/>
                <w:color w:val="auto"/>
              </w:rPr>
              <w:t>-0.5%</w:t>
            </w:r>
          </w:p>
        </w:tc>
        <w:tc>
          <w:tcPr>
            <w:tcW w:w="120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-0.7%</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320" w:type="dxa"/>
            <w:vAlign w:val="bottom"/>
          </w:tcPr>
          <w:p>
            <w:pPr>
              <w:spacing w:after="0"/>
              <w:rPr>
                <w:sz w:val="20"/>
                <w:szCs w:val="20"/>
                <w:color w:val="auto"/>
              </w:rPr>
            </w:pPr>
            <w:r>
              <w:rPr>
                <w:rFonts w:ascii="Arial" w:cs="Arial" w:eastAsia="Arial" w:hAnsi="Arial"/>
                <w:sz w:val="18"/>
                <w:szCs w:val="18"/>
                <w:color w:val="auto"/>
              </w:rPr>
              <w:t>Other income, net</w:t>
            </w: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3"/>
          </w:tcPr>
          <w:p>
            <w:pPr>
              <w:jc w:val="right"/>
              <w:ind w:right="180"/>
              <w:spacing w:after="0"/>
              <w:rPr>
                <w:sz w:val="20"/>
                <w:szCs w:val="20"/>
                <w:color w:val="auto"/>
              </w:rPr>
            </w:pPr>
            <w:r>
              <w:rPr>
                <w:rFonts w:ascii="Arial" w:cs="Arial" w:eastAsia="Arial" w:hAnsi="Arial"/>
                <w:sz w:val="18"/>
                <w:szCs w:val="18"/>
                <w:color w:val="auto"/>
              </w:rPr>
              <w:t>0.2%</w:t>
            </w:r>
          </w:p>
        </w:tc>
        <w:tc>
          <w:tcPr>
            <w:tcW w:w="1280" w:type="dxa"/>
            <w:vAlign w:val="bottom"/>
            <w:gridSpan w:val="3"/>
          </w:tcPr>
          <w:p>
            <w:pPr>
              <w:jc w:val="right"/>
              <w:ind w:right="120"/>
              <w:spacing w:after="0"/>
              <w:rPr>
                <w:sz w:val="20"/>
                <w:szCs w:val="20"/>
                <w:color w:val="auto"/>
              </w:rPr>
            </w:pPr>
            <w:r>
              <w:rPr>
                <w:rFonts w:ascii="Arial" w:cs="Arial" w:eastAsia="Arial" w:hAnsi="Arial"/>
                <w:sz w:val="18"/>
                <w:szCs w:val="18"/>
                <w:color w:val="auto"/>
              </w:rPr>
              <w:t>-0.3%</w:t>
            </w:r>
          </w:p>
        </w:tc>
        <w:tc>
          <w:tcPr>
            <w:tcW w:w="1340" w:type="dxa"/>
            <w:vAlign w:val="bottom"/>
            <w:gridSpan w:val="4"/>
          </w:tcPr>
          <w:p>
            <w:pPr>
              <w:jc w:val="right"/>
              <w:ind w:right="140"/>
              <w:spacing w:after="0"/>
              <w:rPr>
                <w:sz w:val="20"/>
                <w:szCs w:val="20"/>
                <w:color w:val="auto"/>
              </w:rPr>
            </w:pPr>
            <w:r>
              <w:rPr>
                <w:rFonts w:ascii="Arial" w:cs="Arial" w:eastAsia="Arial" w:hAnsi="Arial"/>
                <w:sz w:val="18"/>
                <w:szCs w:val="18"/>
                <w:color w:val="auto"/>
              </w:rPr>
              <w:t>0.1%</w:t>
            </w:r>
          </w:p>
        </w:tc>
        <w:tc>
          <w:tcPr>
            <w:tcW w:w="1200" w:type="dxa"/>
            <w:vAlign w:val="bottom"/>
            <w:gridSpan w:val="4"/>
          </w:tcPr>
          <w:p>
            <w:pPr>
              <w:jc w:val="right"/>
              <w:ind w:right="20"/>
              <w:spacing w:after="0"/>
              <w:rPr>
                <w:sz w:val="20"/>
                <w:szCs w:val="20"/>
                <w:color w:val="auto"/>
              </w:rPr>
            </w:pPr>
            <w:r>
              <w:rPr>
                <w:rFonts w:ascii="Arial" w:cs="Arial" w:eastAsia="Arial" w:hAnsi="Arial"/>
                <w:sz w:val="18"/>
                <w:szCs w:val="18"/>
                <w:color w:val="auto"/>
              </w:rPr>
              <w:t>-0.1%</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580" w:type="dxa"/>
            <w:vAlign w:val="bottom"/>
          </w:tcPr>
          <w:p>
            <w:pPr>
              <w:spacing w:after="0"/>
              <w:rPr>
                <w:sz w:val="16"/>
                <w:szCs w:val="16"/>
                <w:color w:val="auto"/>
              </w:rPr>
            </w:pPr>
          </w:p>
        </w:tc>
        <w:tc>
          <w:tcPr>
            <w:tcW w:w="4660" w:type="dxa"/>
            <w:vAlign w:val="bottom"/>
            <w:gridSpan w:val="5"/>
            <w:shd w:val="clear" w:color="auto" w:fill="CFF0FC"/>
          </w:tcPr>
          <w:p>
            <w:pPr>
              <w:spacing w:after="0" w:line="193" w:lineRule="exact"/>
              <w:rPr>
                <w:sz w:val="20"/>
                <w:szCs w:val="20"/>
                <w:color w:val="auto"/>
              </w:rPr>
            </w:pPr>
            <w:r>
              <w:rPr>
                <w:rFonts w:ascii="Arial" w:cs="Arial" w:eastAsia="Arial" w:hAnsi="Arial"/>
                <w:sz w:val="18"/>
                <w:szCs w:val="18"/>
                <w:color w:val="auto"/>
                <w:w w:val="99"/>
              </w:rPr>
              <w:t>(Interest and other expense) gain associated with claim on</w:t>
            </w:r>
          </w:p>
        </w:tc>
        <w:tc>
          <w:tcPr>
            <w:tcW w:w="24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340" w:type="dxa"/>
            <w:vAlign w:val="bottom"/>
            <w:tcBorders>
              <w:right w:val="single" w:sz="8" w:color="CFF0FC"/>
            </w:tcBorders>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80" w:type="dxa"/>
            <w:vAlign w:val="bottom"/>
            <w:tcBorders>
              <w:right w:val="single" w:sz="8" w:color="CFF0FC"/>
            </w:tcBorders>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0" w:type="dxa"/>
            <w:vAlign w:val="bottom"/>
            <w:tcBorders>
              <w:right w:val="single" w:sz="8" w:color="CFF0FC"/>
            </w:tcBorders>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580" w:type="dxa"/>
            <w:vAlign w:val="bottom"/>
          </w:tcPr>
          <w:p>
            <w:pPr>
              <w:spacing w:after="0"/>
              <w:rPr>
                <w:sz w:val="19"/>
                <w:szCs w:val="19"/>
                <w:color w:val="auto"/>
              </w:rPr>
            </w:pPr>
          </w:p>
        </w:tc>
        <w:tc>
          <w:tcPr>
            <w:tcW w:w="2320" w:type="dxa"/>
            <w:vAlign w:val="bottom"/>
            <w:shd w:val="clear" w:color="auto" w:fill="CFF0FC"/>
          </w:tcPr>
          <w:p>
            <w:pPr>
              <w:spacing w:after="0"/>
              <w:rPr>
                <w:sz w:val="20"/>
                <w:szCs w:val="20"/>
                <w:color w:val="auto"/>
              </w:rPr>
            </w:pPr>
            <w:r>
              <w:rPr>
                <w:rFonts w:ascii="Arial" w:cs="Arial" w:eastAsia="Arial" w:hAnsi="Arial"/>
                <w:sz w:val="18"/>
                <w:szCs w:val="18"/>
                <w:color w:val="auto"/>
              </w:rPr>
              <w:t>long-term contract</w:t>
            </w:r>
          </w:p>
        </w:tc>
        <w:tc>
          <w:tcPr>
            <w:tcW w:w="9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00" w:type="dxa"/>
            <w:vAlign w:val="bottom"/>
            <w:tcBorders>
              <w:right w:val="single" w:sz="8" w:color="CFF0FC"/>
            </w:tcBorders>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0.0%</w:t>
            </w:r>
          </w:p>
        </w:tc>
        <w:tc>
          <w:tcPr>
            <w:tcW w:w="1280" w:type="dxa"/>
            <w:vAlign w:val="bottom"/>
            <w:tcBorders>
              <w:right w:val="single" w:sz="8" w:color="CFF0FC"/>
            </w:tcBorders>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0.0%</w:t>
            </w:r>
          </w:p>
        </w:tc>
        <w:tc>
          <w:tcPr>
            <w:tcW w:w="1340" w:type="dxa"/>
            <w:vAlign w:val="bottom"/>
            <w:tcBorders>
              <w:right w:val="single" w:sz="8" w:color="CFF0FC"/>
            </w:tcBorders>
            <w:gridSpan w:val="4"/>
            <w:shd w:val="clear" w:color="auto" w:fill="CFF0FC"/>
          </w:tcPr>
          <w:p>
            <w:pPr>
              <w:jc w:val="right"/>
              <w:ind w:right="140"/>
              <w:spacing w:after="0"/>
              <w:rPr>
                <w:sz w:val="20"/>
                <w:szCs w:val="20"/>
                <w:color w:val="auto"/>
              </w:rPr>
            </w:pPr>
            <w:r>
              <w:rPr>
                <w:rFonts w:ascii="Arial" w:cs="Arial" w:eastAsia="Arial" w:hAnsi="Arial"/>
                <w:sz w:val="18"/>
                <w:szCs w:val="18"/>
                <w:color w:val="auto"/>
              </w:rPr>
              <w:t>0.0%</w:t>
            </w:r>
          </w:p>
        </w:tc>
        <w:tc>
          <w:tcPr>
            <w:tcW w:w="720" w:type="dxa"/>
            <w:vAlign w:val="bottom"/>
            <w:shd w:val="clear" w:color="auto" w:fill="CFF0FC"/>
          </w:tcPr>
          <w:p>
            <w:pPr>
              <w:spacing w:after="0"/>
              <w:rPr>
                <w:sz w:val="19"/>
                <w:szCs w:val="19"/>
                <w:color w:val="auto"/>
              </w:rPr>
            </w:pPr>
          </w:p>
        </w:tc>
        <w:tc>
          <w:tcPr>
            <w:tcW w:w="4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0.0%</w:t>
            </w: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300" w:type="dxa"/>
            <w:vAlign w:val="bottom"/>
            <w:gridSpan w:val="2"/>
            <w:vMerge w:val="restart"/>
          </w:tcPr>
          <w:p>
            <w:pPr>
              <w:ind w:left="240"/>
              <w:spacing w:after="0"/>
              <w:rPr>
                <w:sz w:val="20"/>
                <w:szCs w:val="20"/>
                <w:color w:val="auto"/>
              </w:rPr>
            </w:pPr>
            <w:r>
              <w:rPr>
                <w:rFonts w:ascii="Arial" w:cs="Arial" w:eastAsia="Arial" w:hAnsi="Arial"/>
                <w:sz w:val="18"/>
                <w:szCs w:val="18"/>
                <w:color w:val="auto"/>
              </w:rPr>
              <w:t>Total other income (expense)</w:t>
            </w: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33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3"/>
          </w:tcPr>
          <w:p>
            <w:pPr>
              <w:jc w:val="right"/>
              <w:ind w:right="180"/>
              <w:spacing w:after="0"/>
              <w:rPr>
                <w:sz w:val="20"/>
                <w:szCs w:val="20"/>
                <w:color w:val="auto"/>
              </w:rPr>
            </w:pPr>
            <w:r>
              <w:rPr>
                <w:rFonts w:ascii="Arial" w:cs="Arial" w:eastAsia="Arial" w:hAnsi="Arial"/>
                <w:sz w:val="18"/>
                <w:szCs w:val="18"/>
                <w:color w:val="auto"/>
              </w:rPr>
              <w:t>-0.4%</w:t>
            </w:r>
          </w:p>
        </w:tc>
        <w:tc>
          <w:tcPr>
            <w:tcW w:w="1280" w:type="dxa"/>
            <w:vAlign w:val="bottom"/>
            <w:gridSpan w:val="3"/>
          </w:tcPr>
          <w:p>
            <w:pPr>
              <w:jc w:val="right"/>
              <w:ind w:right="120"/>
              <w:spacing w:after="0"/>
              <w:rPr>
                <w:sz w:val="20"/>
                <w:szCs w:val="20"/>
                <w:color w:val="auto"/>
              </w:rPr>
            </w:pPr>
            <w:r>
              <w:rPr>
                <w:rFonts w:ascii="Arial" w:cs="Arial" w:eastAsia="Arial" w:hAnsi="Arial"/>
                <w:sz w:val="18"/>
                <w:szCs w:val="18"/>
                <w:color w:val="auto"/>
              </w:rPr>
              <w:t>-0.7%</w:t>
            </w:r>
          </w:p>
        </w:tc>
        <w:tc>
          <w:tcPr>
            <w:tcW w:w="1340" w:type="dxa"/>
            <w:vAlign w:val="bottom"/>
            <w:gridSpan w:val="4"/>
          </w:tcPr>
          <w:p>
            <w:pPr>
              <w:jc w:val="right"/>
              <w:ind w:right="140"/>
              <w:spacing w:after="0"/>
              <w:rPr>
                <w:sz w:val="20"/>
                <w:szCs w:val="20"/>
                <w:color w:val="auto"/>
              </w:rPr>
            </w:pPr>
            <w:r>
              <w:rPr>
                <w:rFonts w:ascii="Arial" w:cs="Arial" w:eastAsia="Arial" w:hAnsi="Arial"/>
                <w:sz w:val="18"/>
                <w:szCs w:val="18"/>
                <w:color w:val="auto"/>
              </w:rPr>
              <w:t>-0.4%</w:t>
            </w:r>
          </w:p>
        </w:tc>
        <w:tc>
          <w:tcPr>
            <w:tcW w:w="1200" w:type="dxa"/>
            <w:vAlign w:val="bottom"/>
            <w:gridSpan w:val="4"/>
          </w:tcPr>
          <w:p>
            <w:pPr>
              <w:jc w:val="right"/>
              <w:ind w:right="20"/>
              <w:spacing w:after="0"/>
              <w:rPr>
                <w:sz w:val="20"/>
                <w:szCs w:val="20"/>
                <w:color w:val="auto"/>
              </w:rPr>
            </w:pPr>
            <w:r>
              <w:rPr>
                <w:rFonts w:ascii="Arial" w:cs="Arial" w:eastAsia="Arial" w:hAnsi="Arial"/>
                <w:sz w:val="18"/>
                <w:szCs w:val="18"/>
                <w:color w:val="auto"/>
              </w:rPr>
              <w:t>-0.7%</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660" w:type="dxa"/>
            <w:vAlign w:val="bottom"/>
            <w:gridSpan w:val="5"/>
            <w:vMerge w:val="restart"/>
            <w:shd w:val="clear" w:color="auto" w:fill="CFF0FC"/>
          </w:tcPr>
          <w:p>
            <w:pPr>
              <w:ind w:left="240"/>
              <w:spacing w:after="0"/>
              <w:rPr>
                <w:sz w:val="20"/>
                <w:szCs w:val="20"/>
                <w:color w:val="auto"/>
              </w:rPr>
            </w:pPr>
            <w:r>
              <w:rPr>
                <w:rFonts w:ascii="Arial" w:cs="Arial" w:eastAsia="Arial" w:hAnsi="Arial"/>
                <w:sz w:val="18"/>
                <w:szCs w:val="18"/>
                <w:color w:val="auto"/>
              </w:rPr>
              <w:t>Income (loss) before income tax expense</w:t>
            </w:r>
          </w:p>
        </w:tc>
        <w:tc>
          <w:tcPr>
            <w:tcW w:w="240" w:type="dxa"/>
            <w:vAlign w:val="bottom"/>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Borders>
              <w:right w:val="single" w:sz="8" w:color="CFF0FC"/>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tcBorders>
              <w:right w:val="single" w:sz="8" w:color="auto"/>
            </w:tcBorders>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4660" w:type="dxa"/>
            <w:vAlign w:val="bottom"/>
            <w:gridSpan w:val="5"/>
            <w:vMerge w:val="continue"/>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tcBorders>
              <w:right w:val="single" w:sz="8" w:color="CFF0FC"/>
            </w:tcBorders>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6.2%</w:t>
            </w:r>
          </w:p>
        </w:tc>
        <w:tc>
          <w:tcPr>
            <w:tcW w:w="1280" w:type="dxa"/>
            <w:vAlign w:val="bottom"/>
            <w:tcBorders>
              <w:right w:val="single" w:sz="8" w:color="CFF0FC"/>
            </w:tcBorders>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4.5%</w:t>
            </w:r>
          </w:p>
        </w:tc>
        <w:tc>
          <w:tcPr>
            <w:tcW w:w="1340" w:type="dxa"/>
            <w:vAlign w:val="bottom"/>
            <w:tcBorders>
              <w:right w:val="single" w:sz="8" w:color="CFF0FC"/>
            </w:tcBorders>
            <w:gridSpan w:val="4"/>
            <w:shd w:val="clear" w:color="auto" w:fill="CFF0FC"/>
          </w:tcPr>
          <w:p>
            <w:pPr>
              <w:jc w:val="right"/>
              <w:ind w:right="140"/>
              <w:spacing w:after="0"/>
              <w:rPr>
                <w:sz w:val="20"/>
                <w:szCs w:val="20"/>
                <w:color w:val="auto"/>
              </w:rPr>
            </w:pPr>
            <w:r>
              <w:rPr>
                <w:rFonts w:ascii="Arial" w:cs="Arial" w:eastAsia="Arial" w:hAnsi="Arial"/>
                <w:sz w:val="18"/>
                <w:szCs w:val="18"/>
                <w:color w:val="auto"/>
              </w:rPr>
              <w:t>4.2%</w:t>
            </w:r>
          </w:p>
        </w:tc>
        <w:tc>
          <w:tcPr>
            <w:tcW w:w="720" w:type="dxa"/>
            <w:vAlign w:val="bottom"/>
            <w:shd w:val="clear" w:color="auto" w:fill="CFF0FC"/>
          </w:tcPr>
          <w:p>
            <w:pPr>
              <w:spacing w:after="0"/>
              <w:rPr>
                <w:sz w:val="18"/>
                <w:szCs w:val="18"/>
                <w:color w:val="auto"/>
              </w:rPr>
            </w:pPr>
          </w:p>
        </w:tc>
        <w:tc>
          <w:tcPr>
            <w:tcW w:w="4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1.6%</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300" w:type="dxa"/>
            <w:vAlign w:val="bottom"/>
            <w:gridSpan w:val="2"/>
          </w:tcPr>
          <w:p>
            <w:pPr>
              <w:spacing w:after="0"/>
              <w:rPr>
                <w:sz w:val="20"/>
                <w:szCs w:val="20"/>
                <w:color w:val="auto"/>
              </w:rPr>
            </w:pPr>
            <w:r>
              <w:rPr>
                <w:rFonts w:ascii="Arial" w:cs="Arial" w:eastAsia="Arial" w:hAnsi="Arial"/>
                <w:sz w:val="18"/>
                <w:szCs w:val="18"/>
                <w:color w:val="auto"/>
              </w:rPr>
              <w:t>Income tax benefit (provision)</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3"/>
          </w:tcPr>
          <w:p>
            <w:pPr>
              <w:jc w:val="right"/>
              <w:ind w:right="180"/>
              <w:spacing w:after="0"/>
              <w:rPr>
                <w:sz w:val="20"/>
                <w:szCs w:val="20"/>
                <w:color w:val="auto"/>
              </w:rPr>
            </w:pPr>
            <w:r>
              <w:rPr>
                <w:rFonts w:ascii="Arial" w:cs="Arial" w:eastAsia="Arial" w:hAnsi="Arial"/>
                <w:sz w:val="18"/>
                <w:szCs w:val="18"/>
                <w:color w:val="auto"/>
              </w:rPr>
              <w:t>-1.6%</w:t>
            </w:r>
          </w:p>
        </w:tc>
        <w:tc>
          <w:tcPr>
            <w:tcW w:w="1280" w:type="dxa"/>
            <w:vAlign w:val="bottom"/>
            <w:gridSpan w:val="3"/>
          </w:tcPr>
          <w:p>
            <w:pPr>
              <w:jc w:val="right"/>
              <w:ind w:right="120"/>
              <w:spacing w:after="0"/>
              <w:rPr>
                <w:sz w:val="20"/>
                <w:szCs w:val="20"/>
                <w:color w:val="auto"/>
              </w:rPr>
            </w:pPr>
            <w:r>
              <w:rPr>
                <w:rFonts w:ascii="Arial" w:cs="Arial" w:eastAsia="Arial" w:hAnsi="Arial"/>
                <w:sz w:val="18"/>
                <w:szCs w:val="18"/>
                <w:color w:val="auto"/>
              </w:rPr>
              <w:t>1.5%</w:t>
            </w:r>
          </w:p>
        </w:tc>
        <w:tc>
          <w:tcPr>
            <w:tcW w:w="1340" w:type="dxa"/>
            <w:vAlign w:val="bottom"/>
            <w:gridSpan w:val="4"/>
          </w:tcPr>
          <w:p>
            <w:pPr>
              <w:jc w:val="right"/>
              <w:ind w:right="140"/>
              <w:spacing w:after="0"/>
              <w:rPr>
                <w:sz w:val="20"/>
                <w:szCs w:val="20"/>
                <w:color w:val="auto"/>
              </w:rPr>
            </w:pPr>
            <w:r>
              <w:rPr>
                <w:rFonts w:ascii="Arial" w:cs="Arial" w:eastAsia="Arial" w:hAnsi="Arial"/>
                <w:sz w:val="18"/>
                <w:szCs w:val="18"/>
                <w:color w:val="auto"/>
              </w:rPr>
              <w:t>-1.1%</w:t>
            </w:r>
          </w:p>
        </w:tc>
        <w:tc>
          <w:tcPr>
            <w:tcW w:w="720" w:type="dxa"/>
            <w:vAlign w:val="bottom"/>
          </w:tcPr>
          <w:p>
            <w:pPr>
              <w:spacing w:after="0"/>
              <w:rPr>
                <w:sz w:val="18"/>
                <w:szCs w:val="18"/>
                <w:color w:val="auto"/>
              </w:rPr>
            </w:pPr>
          </w:p>
        </w:tc>
        <w:tc>
          <w:tcPr>
            <w:tcW w:w="480" w:type="dxa"/>
            <w:vAlign w:val="bottom"/>
            <w:gridSpan w:val="3"/>
          </w:tcPr>
          <w:p>
            <w:pPr>
              <w:jc w:val="right"/>
              <w:ind w:right="20"/>
              <w:spacing w:after="0"/>
              <w:rPr>
                <w:sz w:val="20"/>
                <w:szCs w:val="20"/>
                <w:color w:val="auto"/>
              </w:rPr>
            </w:pPr>
            <w:r>
              <w:rPr>
                <w:rFonts w:ascii="Arial" w:cs="Arial" w:eastAsia="Arial" w:hAnsi="Arial"/>
                <w:sz w:val="18"/>
                <w:szCs w:val="18"/>
                <w:color w:val="auto"/>
              </w:rPr>
              <w:t>2.3%</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660" w:type="dxa"/>
            <w:vAlign w:val="bottom"/>
            <w:gridSpan w:val="5"/>
            <w:vMerge w:val="restart"/>
            <w:shd w:val="clear" w:color="auto" w:fill="CFF0FC"/>
          </w:tcPr>
          <w:p>
            <w:pPr>
              <w:ind w:left="240"/>
              <w:spacing w:after="0"/>
              <w:rPr>
                <w:sz w:val="20"/>
                <w:szCs w:val="20"/>
                <w:color w:val="auto"/>
              </w:rPr>
            </w:pPr>
            <w:r>
              <w:rPr>
                <w:rFonts w:ascii="Arial" w:cs="Arial" w:eastAsia="Arial" w:hAnsi="Arial"/>
                <w:sz w:val="18"/>
                <w:szCs w:val="18"/>
                <w:color w:val="auto"/>
              </w:rPr>
              <w:t>Net income including noncontrolling interests</w:t>
            </w:r>
          </w:p>
        </w:tc>
        <w:tc>
          <w:tcPr>
            <w:tcW w:w="240" w:type="dxa"/>
            <w:vAlign w:val="bottom"/>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Borders>
              <w:right w:val="single" w:sz="8" w:color="CFF0FC"/>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tcBorders>
              <w:right w:val="single" w:sz="8" w:color="auto"/>
            </w:tcBorders>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4660" w:type="dxa"/>
            <w:vAlign w:val="bottom"/>
            <w:gridSpan w:val="5"/>
            <w:vMerge w:val="continue"/>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tcBorders>
              <w:right w:val="single" w:sz="8" w:color="CFF0FC"/>
            </w:tcBorders>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4.6%</w:t>
            </w:r>
          </w:p>
        </w:tc>
        <w:tc>
          <w:tcPr>
            <w:tcW w:w="1280" w:type="dxa"/>
            <w:vAlign w:val="bottom"/>
            <w:tcBorders>
              <w:right w:val="single" w:sz="8" w:color="CFF0FC"/>
            </w:tcBorders>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6.0%</w:t>
            </w:r>
          </w:p>
        </w:tc>
        <w:tc>
          <w:tcPr>
            <w:tcW w:w="1340" w:type="dxa"/>
            <w:vAlign w:val="bottom"/>
            <w:tcBorders>
              <w:right w:val="single" w:sz="8" w:color="CFF0FC"/>
            </w:tcBorders>
            <w:gridSpan w:val="4"/>
            <w:shd w:val="clear" w:color="auto" w:fill="CFF0FC"/>
          </w:tcPr>
          <w:p>
            <w:pPr>
              <w:jc w:val="right"/>
              <w:ind w:right="140"/>
              <w:spacing w:after="0"/>
              <w:rPr>
                <w:sz w:val="20"/>
                <w:szCs w:val="20"/>
                <w:color w:val="auto"/>
              </w:rPr>
            </w:pPr>
            <w:r>
              <w:rPr>
                <w:rFonts w:ascii="Arial" w:cs="Arial" w:eastAsia="Arial" w:hAnsi="Arial"/>
                <w:sz w:val="18"/>
                <w:szCs w:val="18"/>
                <w:color w:val="auto"/>
              </w:rPr>
              <w:t>3.1%</w:t>
            </w:r>
          </w:p>
        </w:tc>
        <w:tc>
          <w:tcPr>
            <w:tcW w:w="720" w:type="dxa"/>
            <w:vAlign w:val="bottom"/>
            <w:shd w:val="clear" w:color="auto" w:fill="CFF0FC"/>
          </w:tcPr>
          <w:p>
            <w:pPr>
              <w:spacing w:after="0"/>
              <w:rPr>
                <w:sz w:val="18"/>
                <w:szCs w:val="18"/>
                <w:color w:val="auto"/>
              </w:rPr>
            </w:pPr>
          </w:p>
        </w:tc>
        <w:tc>
          <w:tcPr>
            <w:tcW w:w="4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3.9%</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660" w:type="dxa"/>
            <w:vAlign w:val="bottom"/>
            <w:gridSpan w:val="5"/>
          </w:tcPr>
          <w:p>
            <w:pPr>
              <w:spacing w:after="0"/>
              <w:rPr>
                <w:sz w:val="20"/>
                <w:szCs w:val="20"/>
                <w:color w:val="auto"/>
              </w:rPr>
            </w:pPr>
            <w:r>
              <w:rPr>
                <w:rFonts w:ascii="Arial" w:cs="Arial" w:eastAsia="Arial" w:hAnsi="Arial"/>
                <w:sz w:val="18"/>
                <w:szCs w:val="18"/>
                <w:color w:val="auto"/>
              </w:rPr>
              <w:t>Net income attributable to noncontrolling interests</w:t>
            </w: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3"/>
          </w:tcPr>
          <w:p>
            <w:pPr>
              <w:jc w:val="right"/>
              <w:ind w:right="180"/>
              <w:spacing w:after="0"/>
              <w:rPr>
                <w:sz w:val="20"/>
                <w:szCs w:val="20"/>
                <w:color w:val="auto"/>
              </w:rPr>
            </w:pPr>
            <w:r>
              <w:rPr>
                <w:rFonts w:ascii="Arial" w:cs="Arial" w:eastAsia="Arial" w:hAnsi="Arial"/>
                <w:sz w:val="18"/>
                <w:szCs w:val="18"/>
                <w:color w:val="auto"/>
              </w:rPr>
              <w:t>-0.6%</w:t>
            </w:r>
          </w:p>
        </w:tc>
        <w:tc>
          <w:tcPr>
            <w:tcW w:w="1280" w:type="dxa"/>
            <w:vAlign w:val="bottom"/>
            <w:gridSpan w:val="3"/>
          </w:tcPr>
          <w:p>
            <w:pPr>
              <w:jc w:val="right"/>
              <w:ind w:right="120"/>
              <w:spacing w:after="0"/>
              <w:rPr>
                <w:sz w:val="20"/>
                <w:szCs w:val="20"/>
                <w:color w:val="auto"/>
              </w:rPr>
            </w:pPr>
            <w:r>
              <w:rPr>
                <w:rFonts w:ascii="Arial" w:cs="Arial" w:eastAsia="Arial" w:hAnsi="Arial"/>
                <w:sz w:val="18"/>
                <w:szCs w:val="18"/>
                <w:color w:val="auto"/>
              </w:rPr>
              <w:t>-0.4%</w:t>
            </w:r>
          </w:p>
        </w:tc>
        <w:tc>
          <w:tcPr>
            <w:tcW w:w="1340" w:type="dxa"/>
            <w:vAlign w:val="bottom"/>
            <w:gridSpan w:val="4"/>
          </w:tcPr>
          <w:p>
            <w:pPr>
              <w:jc w:val="right"/>
              <w:ind w:right="140"/>
              <w:spacing w:after="0"/>
              <w:rPr>
                <w:sz w:val="20"/>
                <w:szCs w:val="20"/>
                <w:color w:val="auto"/>
              </w:rPr>
            </w:pPr>
            <w:r>
              <w:rPr>
                <w:rFonts w:ascii="Arial" w:cs="Arial" w:eastAsia="Arial" w:hAnsi="Arial"/>
                <w:sz w:val="18"/>
                <w:szCs w:val="18"/>
                <w:color w:val="auto"/>
              </w:rPr>
              <w:t>-0.5%</w:t>
            </w:r>
          </w:p>
        </w:tc>
        <w:tc>
          <w:tcPr>
            <w:tcW w:w="1200" w:type="dxa"/>
            <w:vAlign w:val="bottom"/>
            <w:gridSpan w:val="4"/>
          </w:tcPr>
          <w:p>
            <w:pPr>
              <w:jc w:val="right"/>
              <w:ind w:right="20"/>
              <w:spacing w:after="0"/>
              <w:rPr>
                <w:sz w:val="20"/>
                <w:szCs w:val="20"/>
                <w:color w:val="auto"/>
              </w:rPr>
            </w:pPr>
            <w:r>
              <w:rPr>
                <w:rFonts w:ascii="Arial" w:cs="Arial" w:eastAsia="Arial" w:hAnsi="Arial"/>
                <w:sz w:val="18"/>
                <w:szCs w:val="18"/>
                <w:color w:val="auto"/>
              </w:rPr>
              <w:t>-0.3%</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660" w:type="dxa"/>
            <w:vAlign w:val="bottom"/>
            <w:gridSpan w:val="5"/>
            <w:vMerge w:val="restart"/>
            <w:shd w:val="clear" w:color="auto" w:fill="CFF0FC"/>
          </w:tcPr>
          <w:p>
            <w:pPr>
              <w:ind w:left="240"/>
              <w:spacing w:after="0"/>
              <w:rPr>
                <w:sz w:val="20"/>
                <w:szCs w:val="20"/>
                <w:color w:val="auto"/>
              </w:rPr>
            </w:pPr>
            <w:r>
              <w:rPr>
                <w:rFonts w:ascii="Arial" w:cs="Arial" w:eastAsia="Arial" w:hAnsi="Arial"/>
                <w:sz w:val="18"/>
                <w:szCs w:val="18"/>
                <w:color w:val="auto"/>
              </w:rPr>
              <w:t>Net income attributable to Parsons Corporation</w:t>
            </w:r>
          </w:p>
        </w:tc>
        <w:tc>
          <w:tcPr>
            <w:tcW w:w="240" w:type="dxa"/>
            <w:vAlign w:val="bottom"/>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Borders>
              <w:right w:val="single" w:sz="8" w:color="CFF0FC"/>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tcBorders>
              <w:right w:val="single" w:sz="8" w:color="auto"/>
            </w:tcBorders>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4660" w:type="dxa"/>
            <w:vAlign w:val="bottom"/>
            <w:gridSpan w:val="5"/>
            <w:vMerge w:val="continue"/>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tcBorders>
              <w:right w:val="single" w:sz="8" w:color="CFF0FC"/>
            </w:tcBorders>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4.0%</w:t>
            </w:r>
          </w:p>
        </w:tc>
        <w:tc>
          <w:tcPr>
            <w:tcW w:w="1280" w:type="dxa"/>
            <w:vAlign w:val="bottom"/>
            <w:tcBorders>
              <w:right w:val="single" w:sz="8" w:color="CFF0FC"/>
            </w:tcBorders>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5.6%</w:t>
            </w:r>
          </w:p>
        </w:tc>
        <w:tc>
          <w:tcPr>
            <w:tcW w:w="1340" w:type="dxa"/>
            <w:vAlign w:val="bottom"/>
            <w:tcBorders>
              <w:right w:val="single" w:sz="8" w:color="CFF0FC"/>
            </w:tcBorders>
            <w:gridSpan w:val="4"/>
            <w:shd w:val="clear" w:color="auto" w:fill="CFF0FC"/>
          </w:tcPr>
          <w:p>
            <w:pPr>
              <w:jc w:val="right"/>
              <w:ind w:right="140"/>
              <w:spacing w:after="0"/>
              <w:rPr>
                <w:sz w:val="20"/>
                <w:szCs w:val="20"/>
                <w:color w:val="auto"/>
              </w:rPr>
            </w:pPr>
            <w:r>
              <w:rPr>
                <w:rFonts w:ascii="Arial" w:cs="Arial" w:eastAsia="Arial" w:hAnsi="Arial"/>
                <w:sz w:val="18"/>
                <w:szCs w:val="18"/>
                <w:color w:val="auto"/>
              </w:rPr>
              <w:t>2.6%</w:t>
            </w:r>
          </w:p>
        </w:tc>
        <w:tc>
          <w:tcPr>
            <w:tcW w:w="720" w:type="dxa"/>
            <w:vAlign w:val="bottom"/>
            <w:shd w:val="clear" w:color="auto" w:fill="CFF0FC"/>
          </w:tcPr>
          <w:p>
            <w:pPr>
              <w:spacing w:after="0"/>
              <w:rPr>
                <w:sz w:val="18"/>
                <w:szCs w:val="18"/>
                <w:color w:val="auto"/>
              </w:rPr>
            </w:pPr>
          </w:p>
        </w:tc>
        <w:tc>
          <w:tcPr>
            <w:tcW w:w="4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3.7%</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320" w:type="dxa"/>
            <w:vAlign w:val="bottom"/>
            <w:shd w:val="clear" w:color="auto" w:fill="CFF0FC"/>
          </w:tcPr>
          <w:p>
            <w:pPr>
              <w:spacing w:after="0" w:line="20" w:lineRule="exact"/>
              <w:rPr>
                <w:sz w:val="1"/>
                <w:szCs w:val="1"/>
                <w:color w:val="auto"/>
              </w:rPr>
            </w:pPr>
          </w:p>
        </w:tc>
        <w:tc>
          <w:tcPr>
            <w:tcW w:w="98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98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Borders>
              <w:right w:val="single" w:sz="8" w:color="CFF0FC"/>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tcBorders>
              <w:right w:val="single" w:sz="8" w:color="auto"/>
            </w:tcBorders>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90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Revenue</w:t>
            </w: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1"/>
        </w:trPr>
        <w:tc>
          <w:tcPr>
            <w:tcW w:w="2900" w:type="dxa"/>
            <w:vAlign w:val="bottom"/>
            <w:gridSpan w:val="2"/>
            <w:vMerge w:val="continue"/>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5"/>
        </w:trPr>
        <w:tc>
          <w:tcPr>
            <w:tcW w:w="5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340" w:type="dxa"/>
            <w:vAlign w:val="bottom"/>
            <w:gridSpan w:val="4"/>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24"/>
                <w:szCs w:val="24"/>
                <w:color w:val="auto"/>
              </w:rPr>
            </w:pPr>
          </w:p>
        </w:tc>
        <w:tc>
          <w:tcPr>
            <w:tcW w:w="138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Variance</w:t>
            </w:r>
          </w:p>
        </w:tc>
        <w:tc>
          <w:tcPr>
            <w:tcW w:w="260" w:type="dxa"/>
            <w:vAlign w:val="bottom"/>
          </w:tcPr>
          <w:p>
            <w:pPr>
              <w:spacing w:after="0"/>
              <w:rPr>
                <w:sz w:val="24"/>
                <w:szCs w:val="24"/>
                <w:color w:val="auto"/>
              </w:rPr>
            </w:pPr>
          </w:p>
        </w:tc>
        <w:tc>
          <w:tcPr>
            <w:tcW w:w="236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Nine Months Ended</w:t>
            </w:r>
          </w:p>
        </w:tc>
        <w:tc>
          <w:tcPr>
            <w:tcW w:w="1760" w:type="dxa"/>
            <w:vAlign w:val="bottom"/>
            <w:gridSpan w:val="6"/>
          </w:tcPr>
          <w:p>
            <w:pPr>
              <w:ind w:left="480"/>
              <w:spacing w:after="0"/>
              <w:rPr>
                <w:sz w:val="20"/>
                <w:szCs w:val="20"/>
                <w:color w:val="auto"/>
              </w:rPr>
            </w:pPr>
            <w:r>
              <w:rPr>
                <w:rFonts w:ascii="Arial" w:cs="Arial" w:eastAsia="Arial" w:hAnsi="Arial"/>
                <w:sz w:val="14"/>
                <w:szCs w:val="14"/>
                <w:b w:val="1"/>
                <w:bCs w:val="1"/>
                <w:color w:val="auto"/>
              </w:rPr>
              <w:t>Variance</w:t>
            </w:r>
          </w:p>
        </w:tc>
        <w:tc>
          <w:tcPr>
            <w:tcW w:w="0" w:type="dxa"/>
            <w:vAlign w:val="bottom"/>
          </w:tcPr>
          <w:p>
            <w:pPr>
              <w:spacing w:after="0"/>
              <w:rPr>
                <w:sz w:val="1"/>
                <w:szCs w:val="1"/>
                <w:color w:val="auto"/>
              </w:rPr>
            </w:pPr>
          </w:p>
        </w:tc>
      </w:tr>
      <w:tr>
        <w:trPr>
          <w:trHeight w:val="154"/>
        </w:trPr>
        <w:tc>
          <w:tcPr>
            <w:tcW w:w="58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980" w:type="dxa"/>
            <w:vAlign w:val="bottom"/>
            <w:tcBorders>
              <w:top w:val="single" w:sz="8" w:color="auto"/>
            </w:tcBorders>
          </w:tcPr>
          <w:p>
            <w:pPr>
              <w:spacing w:after="0" w:line="154" w:lineRule="exact"/>
              <w:rPr>
                <w:sz w:val="20"/>
                <w:szCs w:val="20"/>
                <w:color w:val="auto"/>
              </w:rPr>
            </w:pPr>
            <w:r>
              <w:rPr>
                <w:rFonts w:ascii="Arial" w:cs="Arial" w:eastAsia="Arial" w:hAnsi="Arial"/>
                <w:sz w:val="14"/>
                <w:szCs w:val="14"/>
                <w:b w:val="1"/>
                <w:bCs w:val="1"/>
                <w:color w:val="auto"/>
              </w:rPr>
              <w:t>September 30,</w:t>
            </w:r>
          </w:p>
        </w:tc>
        <w:tc>
          <w:tcPr>
            <w:tcW w:w="1180" w:type="dxa"/>
            <w:vAlign w:val="bottom"/>
            <w:tcBorders>
              <w:top w:val="single" w:sz="8" w:color="auto"/>
            </w:tcBorders>
            <w:gridSpan w:val="2"/>
          </w:tcPr>
          <w:p>
            <w:pPr>
              <w:jc w:val="center"/>
              <w:ind w:left="128"/>
              <w:spacing w:after="0" w:line="154" w:lineRule="exact"/>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Borders>
              <w:top w:val="single" w:sz="8" w:color="auto"/>
            </w:tcBorders>
            <w:gridSpan w:val="2"/>
          </w:tcPr>
          <w:p>
            <w:pPr>
              <w:jc w:val="right"/>
              <w:ind w:right="40"/>
              <w:spacing w:after="0" w:line="154" w:lineRule="exact"/>
              <w:rPr>
                <w:sz w:val="20"/>
                <w:szCs w:val="20"/>
                <w:color w:val="auto"/>
              </w:rPr>
            </w:pPr>
            <w:r>
              <w:rPr>
                <w:rFonts w:ascii="Arial" w:cs="Arial" w:eastAsia="Arial" w:hAnsi="Arial"/>
                <w:sz w:val="14"/>
                <w:szCs w:val="14"/>
                <w:b w:val="1"/>
                <w:bCs w:val="1"/>
                <w:color w:val="auto"/>
              </w:rPr>
              <w:t>September 30,</w:t>
            </w:r>
          </w:p>
        </w:tc>
        <w:tc>
          <w:tcPr>
            <w:tcW w:w="1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gridSpan w:val="2"/>
          </w:tcPr>
          <w:p>
            <w:pPr>
              <w:spacing w:after="0" w:line="154" w:lineRule="exact"/>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2900" w:type="dxa"/>
            <w:vAlign w:val="bottom"/>
            <w:tcBorders>
              <w:bottom w:val="single" w:sz="8" w:color="CFF0FC"/>
            </w:tcBorders>
            <w:gridSpan w:val="2"/>
          </w:tcPr>
          <w:p>
            <w:pPr>
              <w:spacing w:after="0"/>
              <w:rPr>
                <w:sz w:val="20"/>
                <w:szCs w:val="20"/>
                <w:color w:val="auto"/>
              </w:rPr>
            </w:pPr>
            <w:r>
              <w:rPr>
                <w:rFonts w:ascii="Arial" w:cs="Arial" w:eastAsia="Arial" w:hAnsi="Arial"/>
                <w:sz w:val="14"/>
                <w:szCs w:val="14"/>
                <w:b w:val="1"/>
                <w:bCs w:val="1"/>
                <w:color w:val="auto"/>
              </w:rPr>
              <w:t>(U.S. dollars in thousands)</w:t>
            </w:r>
          </w:p>
        </w:tc>
        <w:tc>
          <w:tcPr>
            <w:tcW w:w="980" w:type="dxa"/>
            <w:vAlign w:val="bottom"/>
            <w:tcBorders>
              <w:bottom w:val="single" w:sz="8" w:color="auto"/>
            </w:tcBorders>
          </w:tcPr>
          <w:p>
            <w:pPr>
              <w:jc w:val="right"/>
              <w:ind w:right="264"/>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5"/>
                <w:szCs w:val="15"/>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FF0FC"/>
            </w:tcBorders>
          </w:tcPr>
          <w:p>
            <w:pPr>
              <w:spacing w:after="0"/>
              <w:rPr>
                <w:sz w:val="15"/>
                <w:szCs w:val="15"/>
                <w:color w:val="auto"/>
              </w:rPr>
            </w:pPr>
          </w:p>
        </w:tc>
        <w:tc>
          <w:tcPr>
            <w:tcW w:w="7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Dollar</w:t>
            </w:r>
          </w:p>
        </w:tc>
        <w:tc>
          <w:tcPr>
            <w:tcW w:w="160" w:type="dxa"/>
            <w:vAlign w:val="bottom"/>
            <w:tcBorders>
              <w:bottom w:val="single" w:sz="8" w:color="CFF0FC"/>
            </w:tcBorders>
          </w:tcPr>
          <w:p>
            <w:pPr>
              <w:spacing w:after="0"/>
              <w:rPr>
                <w:sz w:val="15"/>
                <w:szCs w:val="15"/>
                <w:color w:val="auto"/>
              </w:rPr>
            </w:pPr>
          </w:p>
        </w:tc>
        <w:tc>
          <w:tcPr>
            <w:tcW w:w="40" w:type="dxa"/>
            <w:vAlign w:val="bottom"/>
            <w:tcBorders>
              <w:bottom w:val="single" w:sz="8" w:color="CFF0FC"/>
            </w:tcBorders>
          </w:tcPr>
          <w:p>
            <w:pPr>
              <w:spacing w:after="0"/>
              <w:rPr>
                <w:sz w:val="15"/>
                <w:szCs w:val="15"/>
                <w:color w:val="auto"/>
              </w:rPr>
            </w:pPr>
          </w:p>
        </w:tc>
        <w:tc>
          <w:tcPr>
            <w:tcW w:w="6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Percent</w:t>
            </w:r>
          </w:p>
        </w:tc>
        <w:tc>
          <w:tcPr>
            <w:tcW w:w="260" w:type="dxa"/>
            <w:vAlign w:val="bottom"/>
            <w:tcBorders>
              <w:bottom w:val="single" w:sz="8" w:color="CFF0FC"/>
            </w:tcBorders>
          </w:tcPr>
          <w:p>
            <w:pPr>
              <w:spacing w:after="0"/>
              <w:rPr>
                <w:sz w:val="15"/>
                <w:szCs w:val="15"/>
                <w:color w:val="auto"/>
              </w:rPr>
            </w:pPr>
          </w:p>
        </w:tc>
        <w:tc>
          <w:tcPr>
            <w:tcW w:w="740" w:type="dxa"/>
            <w:vAlign w:val="bottom"/>
            <w:tcBorders>
              <w:bottom w:val="single" w:sz="8" w:color="auto"/>
            </w:tcBorders>
          </w:tcPr>
          <w:p>
            <w:pPr>
              <w:jc w:val="right"/>
              <w:ind w:right="24"/>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auto"/>
            </w:tcBorders>
          </w:tcPr>
          <w:p>
            <w:pPr>
              <w:spacing w:after="0"/>
              <w:rPr>
                <w:sz w:val="15"/>
                <w:szCs w:val="15"/>
                <w:color w:val="auto"/>
              </w:rPr>
            </w:pPr>
          </w:p>
        </w:tc>
        <w:tc>
          <w:tcPr>
            <w:tcW w:w="160" w:type="dxa"/>
            <w:vAlign w:val="bottom"/>
            <w:tcBorders>
              <w:bottom w:val="single" w:sz="8" w:color="CFF0FC"/>
            </w:tcBorders>
          </w:tcPr>
          <w:p>
            <w:pPr>
              <w:spacing w:after="0"/>
              <w:rPr>
                <w:sz w:val="15"/>
                <w:szCs w:val="15"/>
                <w:color w:val="auto"/>
              </w:rPr>
            </w:pPr>
          </w:p>
        </w:tc>
        <w:tc>
          <w:tcPr>
            <w:tcW w:w="880" w:type="dxa"/>
            <w:vAlign w:val="bottom"/>
            <w:tcBorders>
              <w:bottom w:val="single" w:sz="8" w:color="auto"/>
            </w:tcBorders>
          </w:tcPr>
          <w:p>
            <w:pPr>
              <w:jc w:val="right"/>
              <w:ind w:right="16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CFF0FC"/>
            </w:tcBorders>
          </w:tcPr>
          <w:p>
            <w:pPr>
              <w:spacing w:after="0"/>
              <w:rPr>
                <w:sz w:val="15"/>
                <w:szCs w:val="15"/>
                <w:color w:val="auto"/>
              </w:rPr>
            </w:pPr>
          </w:p>
        </w:tc>
        <w:tc>
          <w:tcPr>
            <w:tcW w:w="7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Dollar</w:t>
            </w:r>
          </w:p>
        </w:tc>
        <w:tc>
          <w:tcPr>
            <w:tcW w:w="180" w:type="dxa"/>
            <w:vAlign w:val="bottom"/>
            <w:tcBorders>
              <w:bottom w:val="single" w:sz="8" w:color="CFF0FC"/>
            </w:tcBorders>
          </w:tcPr>
          <w:p>
            <w:pPr>
              <w:spacing w:after="0"/>
              <w:rPr>
                <w:sz w:val="15"/>
                <w:szCs w:val="15"/>
                <w:color w:val="auto"/>
              </w:rPr>
            </w:pPr>
          </w:p>
        </w:tc>
        <w:tc>
          <w:tcPr>
            <w:tcW w:w="68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Percent</w:t>
            </w:r>
          </w:p>
        </w:tc>
        <w:tc>
          <w:tcPr>
            <w:tcW w:w="18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9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Revenue</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$ 1,004,236</w:t>
            </w:r>
          </w:p>
        </w:tc>
        <w:tc>
          <w:tcPr>
            <w:tcW w:w="200" w:type="dxa"/>
            <w:vAlign w:val="bottom"/>
            <w:shd w:val="clear" w:color="auto" w:fill="CFF0FC"/>
          </w:tcPr>
          <w:p>
            <w:pPr>
              <w:spacing w:after="0"/>
              <w:rPr>
                <w:sz w:val="18"/>
                <w:szCs w:val="18"/>
                <w:color w:val="auto"/>
              </w:rPr>
            </w:pPr>
          </w:p>
        </w:tc>
        <w:tc>
          <w:tcPr>
            <w:tcW w:w="98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$ 1,023,277</w:t>
            </w:r>
          </w:p>
        </w:tc>
        <w:tc>
          <w:tcPr>
            <w:tcW w:w="18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0"/>
              </w:rPr>
              <w:t>$ (19,041)</w:t>
            </w:r>
          </w:p>
        </w:tc>
        <w:tc>
          <w:tcPr>
            <w:tcW w:w="1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920" w:type="dxa"/>
            <w:vAlign w:val="bottom"/>
            <w:gridSpan w:val="3"/>
            <w:shd w:val="clear" w:color="auto" w:fill="CFF0FC"/>
          </w:tcPr>
          <w:p>
            <w:pPr>
              <w:jc w:val="right"/>
              <w:ind w:right="12"/>
              <w:spacing w:after="0"/>
              <w:rPr>
                <w:sz w:val="20"/>
                <w:szCs w:val="20"/>
                <w:color w:val="auto"/>
              </w:rPr>
            </w:pPr>
            <w:r>
              <w:rPr>
                <w:rFonts w:ascii="Arial" w:cs="Arial" w:eastAsia="Arial" w:hAnsi="Arial"/>
                <w:sz w:val="18"/>
                <w:szCs w:val="18"/>
                <w:color w:val="auto"/>
              </w:rPr>
              <w:t>-1.9%</w:t>
            </w:r>
          </w:p>
        </w:tc>
        <w:tc>
          <w:tcPr>
            <w:tcW w:w="1020" w:type="dxa"/>
            <w:vAlign w:val="bottom"/>
            <w:tcBorders>
              <w:right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$ 2,954,688</w:t>
            </w:r>
          </w:p>
        </w:tc>
        <w:tc>
          <w:tcPr>
            <w:tcW w:w="16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98"/>
              </w:rPr>
              <w:t>$ 2,917,424</w:t>
            </w:r>
          </w:p>
        </w:tc>
        <w:tc>
          <w:tcPr>
            <w:tcW w:w="200" w:type="dxa"/>
            <w:vAlign w:val="bottom"/>
            <w:tcBorders>
              <w:right w:val="single" w:sz="8" w:color="CFF0FC"/>
            </w:tcBorders>
            <w:shd w:val="clear" w:color="auto" w:fill="CFF0FC"/>
          </w:tcPr>
          <w:p>
            <w:pPr>
              <w:spacing w:after="0"/>
              <w:rPr>
                <w:sz w:val="18"/>
                <w:szCs w:val="18"/>
                <w:color w:val="auto"/>
              </w:rPr>
            </w:pPr>
          </w:p>
        </w:tc>
        <w:tc>
          <w:tcPr>
            <w:tcW w:w="720" w:type="dxa"/>
            <w:vAlign w:val="bottom"/>
            <w:shd w:val="clear" w:color="auto" w:fill="CFF0FC"/>
          </w:tcPr>
          <w:p>
            <w:pPr>
              <w:spacing w:after="0"/>
              <w:rPr>
                <w:sz w:val="20"/>
                <w:szCs w:val="20"/>
                <w:color w:val="auto"/>
              </w:rPr>
            </w:pPr>
            <w:r>
              <w:rPr>
                <w:rFonts w:ascii="Arial" w:cs="Arial" w:eastAsia="Arial" w:hAnsi="Arial"/>
                <w:sz w:val="18"/>
                <w:szCs w:val="18"/>
                <w:color w:val="auto"/>
                <w:w w:val="99"/>
              </w:rPr>
              <w:t>$ 37,264</w:t>
            </w:r>
          </w:p>
        </w:tc>
        <w:tc>
          <w:tcPr>
            <w:tcW w:w="180" w:type="dxa"/>
            <w:vAlign w:val="bottom"/>
            <w:shd w:val="clear" w:color="auto" w:fill="CFF0FC"/>
          </w:tcPr>
          <w:p>
            <w:pPr>
              <w:spacing w:after="0"/>
              <w:rPr>
                <w:sz w:val="18"/>
                <w:szCs w:val="18"/>
                <w:color w:val="auto"/>
              </w:rPr>
            </w:pPr>
          </w:p>
        </w:tc>
        <w:tc>
          <w:tcPr>
            <w:tcW w:w="86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bl>
    <w:p>
      <w:pPr>
        <w:spacing w:after="0" w:line="220" w:lineRule="exact"/>
        <w:rPr>
          <w:sz w:val="20"/>
          <w:szCs w:val="20"/>
          <w:color w:val="auto"/>
        </w:rPr>
      </w:pPr>
    </w:p>
    <w:p>
      <w:pPr>
        <w:ind w:right="120" w:firstLine="644"/>
        <w:spacing w:after="0" w:line="245" w:lineRule="auto"/>
        <w:rPr>
          <w:sz w:val="20"/>
          <w:szCs w:val="20"/>
          <w:color w:val="auto"/>
        </w:rPr>
      </w:pPr>
      <w:r>
        <w:rPr>
          <w:rFonts w:ascii="Arial" w:cs="Arial" w:eastAsia="Arial" w:hAnsi="Arial"/>
          <w:sz w:val="18"/>
          <w:szCs w:val="18"/>
          <w:color w:val="auto"/>
        </w:rPr>
        <w:t>Revenue decreased $19.0 million for the three months ended September 30, 2020 when compared to the corresponding period last year, primarily due to a decrease in revenue in our Critical Infrastructure segment of $31.0 million, partially offset by an increase in our Federal Solutions segment of $12.0 million. Revenue increased $37.3 million for the nine months ended September 30, 2020 when compared to the corresponding period last year, primarily due to an increase in revenue in our Federal Solutions segment of $70.5 million, offset by a decrease in our Critical Infrastructure segment of $33.2 million. See “Segment Results” below for a further discussion.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i w:val="1"/>
          <w:iCs w:val="1"/>
          <w:color w:val="auto"/>
        </w:rPr>
        <w:t>Direct costs of contracts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920" w:type="dxa"/>
            <w:vAlign w:val="bottom"/>
          </w:tcPr>
          <w:p>
            <w:pPr>
              <w:spacing w:after="0"/>
              <w:rPr>
                <w:sz w:val="15"/>
                <w:szCs w:val="15"/>
                <w:color w:val="auto"/>
              </w:rPr>
            </w:pPr>
          </w:p>
        </w:tc>
        <w:tc>
          <w:tcPr>
            <w:tcW w:w="2360" w:type="dxa"/>
            <w:vAlign w:val="bottom"/>
            <w:gridSpan w:val="4"/>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1820" w:type="dxa"/>
            <w:vAlign w:val="bottom"/>
            <w:gridSpan w:val="4"/>
          </w:tcPr>
          <w:p>
            <w:pPr>
              <w:jc w:val="right"/>
              <w:ind w:right="740"/>
              <w:spacing w:after="0"/>
              <w:rPr>
                <w:sz w:val="20"/>
                <w:szCs w:val="20"/>
                <w:color w:val="auto"/>
              </w:rPr>
            </w:pPr>
            <w:r>
              <w:rPr>
                <w:rFonts w:ascii="Arial" w:cs="Arial" w:eastAsia="Arial" w:hAnsi="Arial"/>
                <w:sz w:val="14"/>
                <w:szCs w:val="14"/>
                <w:b w:val="1"/>
                <w:bCs w:val="1"/>
                <w:color w:val="auto"/>
              </w:rPr>
              <w:t>Variance</w:t>
            </w:r>
          </w:p>
        </w:tc>
        <w:tc>
          <w:tcPr>
            <w:tcW w:w="2360" w:type="dxa"/>
            <w:vAlign w:val="bottom"/>
            <w:gridSpan w:val="4"/>
          </w:tcPr>
          <w:p>
            <w:pPr>
              <w:ind w:left="420"/>
              <w:spacing w:after="0"/>
              <w:rPr>
                <w:sz w:val="20"/>
                <w:szCs w:val="20"/>
                <w:color w:val="auto"/>
              </w:rPr>
            </w:pPr>
            <w:r>
              <w:rPr>
                <w:rFonts w:ascii="Arial" w:cs="Arial" w:eastAsia="Arial" w:hAnsi="Arial"/>
                <w:sz w:val="14"/>
                <w:szCs w:val="14"/>
                <w:b w:val="1"/>
                <w:bCs w:val="1"/>
                <w:color w:val="auto"/>
              </w:rPr>
              <w:t>Nine Months Ended</w:t>
            </w:r>
          </w:p>
        </w:tc>
        <w:tc>
          <w:tcPr>
            <w:tcW w:w="178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Variance</w:t>
            </w:r>
          </w:p>
        </w:tc>
      </w:tr>
      <w:tr>
        <w:trPr>
          <w:trHeight w:val="154"/>
        </w:trPr>
        <w:tc>
          <w:tcPr>
            <w:tcW w:w="2920" w:type="dxa"/>
            <w:vAlign w:val="bottom"/>
          </w:tcPr>
          <w:p>
            <w:pPr>
              <w:spacing w:after="0"/>
              <w:rPr>
                <w:sz w:val="13"/>
                <w:szCs w:val="13"/>
                <w:color w:val="auto"/>
              </w:rPr>
            </w:pPr>
          </w:p>
        </w:tc>
        <w:tc>
          <w:tcPr>
            <w:tcW w:w="980" w:type="dxa"/>
            <w:vAlign w:val="bottom"/>
            <w:tcBorders>
              <w:top w:val="single" w:sz="8" w:color="auto"/>
            </w:tcBorders>
          </w:tcPr>
          <w:p>
            <w:pPr>
              <w:spacing w:after="0" w:line="154" w:lineRule="exact"/>
              <w:rPr>
                <w:sz w:val="20"/>
                <w:szCs w:val="20"/>
                <w:color w:val="auto"/>
              </w:rPr>
            </w:pPr>
            <w:r>
              <w:rPr>
                <w:rFonts w:ascii="Arial" w:cs="Arial" w:eastAsia="Arial" w:hAnsi="Arial"/>
                <w:sz w:val="14"/>
                <w:szCs w:val="14"/>
                <w:b w:val="1"/>
                <w:bCs w:val="1"/>
                <w:color w:val="auto"/>
              </w:rPr>
              <w:t>September 30,</w:t>
            </w:r>
          </w:p>
        </w:tc>
        <w:tc>
          <w:tcPr>
            <w:tcW w:w="1180" w:type="dxa"/>
            <w:vAlign w:val="bottom"/>
            <w:tcBorders>
              <w:top w:val="single" w:sz="8" w:color="auto"/>
            </w:tcBorders>
            <w:gridSpan w:val="2"/>
          </w:tcPr>
          <w:p>
            <w:pPr>
              <w:ind w:left="200"/>
              <w:spacing w:after="0" w:line="154" w:lineRule="exact"/>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Borders>
              <w:top w:val="single" w:sz="8" w:color="auto"/>
            </w:tcBorders>
          </w:tcPr>
          <w:p>
            <w:pPr>
              <w:spacing w:after="0" w:line="154" w:lineRule="exact"/>
              <w:rPr>
                <w:sz w:val="20"/>
                <w:szCs w:val="20"/>
                <w:color w:val="auto"/>
              </w:rPr>
            </w:pPr>
            <w:r>
              <w:rPr>
                <w:rFonts w:ascii="Arial" w:cs="Arial" w:eastAsia="Arial" w:hAnsi="Arial"/>
                <w:sz w:val="14"/>
                <w:szCs w:val="14"/>
                <w:b w:val="1"/>
                <w:bCs w:val="1"/>
                <w:color w:val="auto"/>
              </w:rPr>
              <w:t>September 30,</w:t>
            </w:r>
          </w:p>
        </w:tc>
        <w:tc>
          <w:tcPr>
            <w:tcW w:w="1160" w:type="dxa"/>
            <w:vAlign w:val="bottom"/>
            <w:tcBorders>
              <w:top w:val="single" w:sz="8" w:color="auto"/>
            </w:tcBorders>
            <w:gridSpan w:val="2"/>
          </w:tcPr>
          <w:p>
            <w:pPr>
              <w:ind w:left="180"/>
              <w:spacing w:after="0" w:line="154" w:lineRule="exact"/>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r>
      <w:tr>
        <w:trPr>
          <w:trHeight w:val="177"/>
        </w:trPr>
        <w:tc>
          <w:tcPr>
            <w:tcW w:w="292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auto"/>
              </w:rPr>
              <w:t>(U.S. dollars in thousands)</w:t>
            </w:r>
          </w:p>
        </w:tc>
        <w:tc>
          <w:tcPr>
            <w:tcW w:w="980" w:type="dxa"/>
            <w:vAlign w:val="bottom"/>
            <w:tcBorders>
              <w:bottom w:val="single" w:sz="8" w:color="auto"/>
            </w:tcBorders>
          </w:tcPr>
          <w:p>
            <w:pPr>
              <w:jc w:val="right"/>
              <w:ind w:right="244"/>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5"/>
                <w:szCs w:val="15"/>
                <w:color w:val="auto"/>
              </w:rPr>
            </w:pPr>
          </w:p>
        </w:tc>
        <w:tc>
          <w:tcPr>
            <w:tcW w:w="98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FF0FC"/>
            </w:tcBorders>
          </w:tcPr>
          <w:p>
            <w:pPr>
              <w:spacing w:after="0"/>
              <w:rPr>
                <w:sz w:val="15"/>
                <w:szCs w:val="15"/>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Dollar</w:t>
            </w:r>
          </w:p>
        </w:tc>
        <w:tc>
          <w:tcPr>
            <w:tcW w:w="200" w:type="dxa"/>
            <w:vAlign w:val="bottom"/>
            <w:tcBorders>
              <w:bottom w:val="single" w:sz="8" w:color="CFF0FC"/>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Percent</w:t>
            </w:r>
          </w:p>
        </w:tc>
        <w:tc>
          <w:tcPr>
            <w:tcW w:w="240" w:type="dxa"/>
            <w:vAlign w:val="bottom"/>
            <w:tcBorders>
              <w:bottom w:val="single" w:sz="8" w:color="CFF0FC"/>
            </w:tcBorders>
          </w:tcPr>
          <w:p>
            <w:pPr>
              <w:spacing w:after="0"/>
              <w:rPr>
                <w:sz w:val="15"/>
                <w:szCs w:val="15"/>
                <w:color w:val="auto"/>
              </w:rPr>
            </w:pPr>
          </w:p>
        </w:tc>
        <w:tc>
          <w:tcPr>
            <w:tcW w:w="1000" w:type="dxa"/>
            <w:vAlign w:val="bottom"/>
            <w:tcBorders>
              <w:bottom w:val="single" w:sz="8" w:color="auto"/>
            </w:tcBorders>
          </w:tcPr>
          <w:p>
            <w:pPr>
              <w:jc w:val="right"/>
              <w:ind w:right="264"/>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5"/>
                <w:szCs w:val="15"/>
                <w:color w:val="auto"/>
              </w:rPr>
            </w:pPr>
          </w:p>
        </w:tc>
        <w:tc>
          <w:tcPr>
            <w:tcW w:w="98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FF0FC"/>
            </w:tcBorders>
          </w:tcPr>
          <w:p>
            <w:pPr>
              <w:spacing w:after="0"/>
              <w:rPr>
                <w:sz w:val="15"/>
                <w:szCs w:val="15"/>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Dollar</w:t>
            </w:r>
          </w:p>
        </w:tc>
        <w:tc>
          <w:tcPr>
            <w:tcW w:w="200" w:type="dxa"/>
            <w:vAlign w:val="bottom"/>
            <w:tcBorders>
              <w:bottom w:val="single" w:sz="8" w:color="CFF0FC"/>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Percent</w:t>
            </w:r>
          </w:p>
        </w:tc>
        <w:tc>
          <w:tcPr>
            <w:tcW w:w="180" w:type="dxa"/>
            <w:vAlign w:val="bottom"/>
            <w:tcBorders>
              <w:bottom w:val="single" w:sz="8" w:color="CFF0FC"/>
            </w:tcBorders>
          </w:tcPr>
          <w:p>
            <w:pPr>
              <w:spacing w:after="0"/>
              <w:rPr>
                <w:sz w:val="15"/>
                <w:szCs w:val="15"/>
                <w:color w:val="auto"/>
              </w:rPr>
            </w:pPr>
          </w:p>
        </w:tc>
      </w:tr>
      <w:tr>
        <w:trPr>
          <w:trHeight w:val="210"/>
        </w:trPr>
        <w:tc>
          <w:tcPr>
            <w:tcW w:w="2920" w:type="dxa"/>
            <w:vAlign w:val="bottom"/>
            <w:shd w:val="clear" w:color="auto" w:fill="CFF0FC"/>
          </w:tcPr>
          <w:p>
            <w:pPr>
              <w:spacing w:after="0"/>
              <w:rPr>
                <w:sz w:val="20"/>
                <w:szCs w:val="20"/>
                <w:color w:val="auto"/>
              </w:rPr>
            </w:pPr>
            <w:r>
              <w:rPr>
                <w:rFonts w:ascii="Arial" w:cs="Arial" w:eastAsia="Arial" w:hAnsi="Arial"/>
                <w:sz w:val="18"/>
                <w:szCs w:val="18"/>
                <w:color w:val="auto"/>
              </w:rPr>
              <w:t>Direct costs of contracts</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   788,769</w:t>
            </w:r>
          </w:p>
        </w:tc>
        <w:tc>
          <w:tcPr>
            <w:tcW w:w="2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   798,552</w:t>
            </w: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 (9,783)</w:t>
            </w:r>
          </w:p>
        </w:tc>
        <w:tc>
          <w:tcPr>
            <w:tcW w:w="2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-1.2%</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$ 2,307,725</w:t>
            </w: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$ 2,297,512</w:t>
            </w: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$ 10,213</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0.4%</w:t>
            </w:r>
          </w:p>
        </w:tc>
      </w:tr>
    </w:tbl>
    <w:p>
      <w:pPr>
        <w:spacing w:after="0" w:line="200" w:lineRule="exact"/>
        <w:rPr>
          <w:sz w:val="20"/>
          <w:szCs w:val="20"/>
          <w:color w:val="auto"/>
        </w:rPr>
      </w:pPr>
    </w:p>
    <w:p>
      <w:pPr>
        <w:spacing w:after="0" w:line="236" w:lineRule="exact"/>
        <w:rPr>
          <w:sz w:val="20"/>
          <w:szCs w:val="20"/>
          <w:color w:val="auto"/>
        </w:rPr>
      </w:pPr>
    </w:p>
    <w:p>
      <w:pPr>
        <w:ind w:firstLine="637"/>
        <w:spacing w:after="0" w:line="245" w:lineRule="auto"/>
        <w:rPr>
          <w:sz w:val="20"/>
          <w:szCs w:val="20"/>
          <w:color w:val="auto"/>
        </w:rPr>
      </w:pPr>
      <w:r>
        <w:rPr>
          <w:rFonts w:ascii="Arial" w:cs="Arial" w:eastAsia="Arial" w:hAnsi="Arial"/>
          <w:sz w:val="18"/>
          <w:szCs w:val="18"/>
          <w:color w:val="auto"/>
        </w:rPr>
        <w:t>Direct cost of contracts decreased $ 9.8 million for the three months ended September 30, 2020 when compared to the corresponding period last year, primarily due to a decrease of $25.3 million in our Critical Infrastructure segment and an increase of $15.5 million in our Federal Solutions segment. The decrease in our Critical Infrastructure segment was primarily due to programs with high levels of pass-through costs reaching substantial completion. The increase in our Federal Solutions segment was primarily due to an increase in business volume and increased pass-through costs.</w:t>
      </w:r>
    </w:p>
    <w:p>
      <w:pPr>
        <w:spacing w:after="0" w:line="172" w:lineRule="exact"/>
        <w:rPr>
          <w:sz w:val="20"/>
          <w:szCs w:val="20"/>
          <w:color w:val="auto"/>
        </w:rPr>
      </w:pPr>
    </w:p>
    <w:p>
      <w:pPr>
        <w:ind w:right="40" w:firstLine="637"/>
        <w:spacing w:after="0" w:line="245" w:lineRule="auto"/>
        <w:rPr>
          <w:sz w:val="20"/>
          <w:szCs w:val="20"/>
          <w:color w:val="auto"/>
        </w:rPr>
      </w:pPr>
      <w:r>
        <w:rPr>
          <w:rFonts w:ascii="Arial" w:cs="Arial" w:eastAsia="Arial" w:hAnsi="Arial"/>
          <w:sz w:val="18"/>
          <w:szCs w:val="18"/>
          <w:color w:val="auto"/>
        </w:rPr>
        <w:t>Direct cost of contracts increased $10.2 million for the nine months ended September 30, 2020 when compared to the corresponding period last year, primarily due to an increase of $56.5 million in our Federal Solutions segment offset by a decrease of $46.3 million in our Critical Infrastructure segment. The increase in our Federal Solutions segment was primarily from increased pass-through costs. The decrease in our Critical Infrastructure segment was primarily due to programs with high levels of pass-through costs reaching substantial completion.</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in earnings of unconsolidated joint ventures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40" w:type="dxa"/>
            <w:vAlign w:val="bottom"/>
            <w:gridSpan w:val="4"/>
          </w:tcPr>
          <w:p>
            <w:pPr>
              <w:jc w:val="right"/>
              <w:ind w:right="299"/>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5"/>
                <w:szCs w:val="15"/>
                <w:color w:val="auto"/>
              </w:rPr>
            </w:pPr>
          </w:p>
        </w:tc>
        <w:tc>
          <w:tcPr>
            <w:tcW w:w="2020" w:type="dxa"/>
            <w:vAlign w:val="bottom"/>
            <w:gridSpan w:val="5"/>
          </w:tcPr>
          <w:p>
            <w:pPr>
              <w:jc w:val="right"/>
              <w:ind w:right="888"/>
              <w:spacing w:after="0"/>
              <w:rPr>
                <w:sz w:val="20"/>
                <w:szCs w:val="20"/>
                <w:color w:val="auto"/>
              </w:rPr>
            </w:pPr>
            <w:r>
              <w:rPr>
                <w:rFonts w:ascii="Arial" w:cs="Arial" w:eastAsia="Arial" w:hAnsi="Arial"/>
                <w:sz w:val="14"/>
                <w:szCs w:val="14"/>
                <w:b w:val="1"/>
                <w:bCs w:val="1"/>
                <w:color w:val="auto"/>
              </w:rPr>
              <w:t>Variance</w:t>
            </w:r>
          </w:p>
        </w:tc>
        <w:tc>
          <w:tcPr>
            <w:tcW w:w="2140" w:type="dxa"/>
            <w:vAlign w:val="bottom"/>
            <w:gridSpan w:val="5"/>
          </w:tcPr>
          <w:p>
            <w:pPr>
              <w:ind w:left="200"/>
              <w:spacing w:after="0"/>
              <w:rPr>
                <w:sz w:val="20"/>
                <w:szCs w:val="20"/>
                <w:color w:val="auto"/>
              </w:rPr>
            </w:pPr>
            <w:r>
              <w:rPr>
                <w:rFonts w:ascii="Arial" w:cs="Arial" w:eastAsia="Arial" w:hAnsi="Arial"/>
                <w:sz w:val="14"/>
                <w:szCs w:val="14"/>
                <w:b w:val="1"/>
                <w:bCs w:val="1"/>
                <w:color w:val="auto"/>
              </w:rPr>
              <w:t>Nine Months Ended</w:t>
            </w:r>
          </w:p>
        </w:tc>
        <w:tc>
          <w:tcPr>
            <w:tcW w:w="176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Variance</w:t>
            </w:r>
          </w:p>
        </w:tc>
      </w:tr>
      <w:tr>
        <w:trPr>
          <w:trHeight w:val="154"/>
        </w:trPr>
        <w:tc>
          <w:tcPr>
            <w:tcW w:w="2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tcBorders>
              <w:top w:val="single" w:sz="8" w:color="auto"/>
            </w:tcBorders>
            <w:gridSpan w:val="3"/>
          </w:tcPr>
          <w:p>
            <w:pPr>
              <w:spacing w:after="0" w:line="154" w:lineRule="exact"/>
              <w:rPr>
                <w:sz w:val="20"/>
                <w:szCs w:val="20"/>
                <w:color w:val="auto"/>
              </w:rPr>
            </w:pPr>
            <w:r>
              <w:rPr>
                <w:rFonts w:ascii="Arial" w:cs="Arial" w:eastAsia="Arial" w:hAnsi="Arial"/>
                <w:sz w:val="14"/>
                <w:szCs w:val="14"/>
                <w:b w:val="1"/>
                <w:bCs w:val="1"/>
                <w:color w:val="auto"/>
              </w:rPr>
              <w:t>September 30,</w:t>
            </w:r>
          </w:p>
        </w:tc>
        <w:tc>
          <w:tcPr>
            <w:tcW w:w="980" w:type="dxa"/>
            <w:vAlign w:val="bottom"/>
            <w:tcBorders>
              <w:top w:val="single" w:sz="8" w:color="auto"/>
            </w:tcBorders>
            <w:gridSpan w:val="2"/>
          </w:tcPr>
          <w:p>
            <w:pPr>
              <w:spacing w:after="0" w:line="154" w:lineRule="exact"/>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Borders>
              <w:top w:val="single" w:sz="8" w:color="auto"/>
            </w:tcBorders>
            <w:gridSpan w:val="2"/>
          </w:tcPr>
          <w:p>
            <w:pPr>
              <w:jc w:val="center"/>
              <w:spacing w:after="0" w:line="154" w:lineRule="exact"/>
              <w:rPr>
                <w:sz w:val="20"/>
                <w:szCs w:val="20"/>
                <w:color w:val="auto"/>
              </w:rPr>
            </w:pPr>
            <w:r>
              <w:rPr>
                <w:rFonts w:ascii="Arial" w:cs="Arial" w:eastAsia="Arial" w:hAnsi="Arial"/>
                <w:sz w:val="14"/>
                <w:szCs w:val="14"/>
                <w:b w:val="1"/>
                <w:bCs w:val="1"/>
                <w:color w:val="auto"/>
              </w:rPr>
              <w:t>September 30,</w:t>
            </w:r>
          </w:p>
        </w:tc>
        <w:tc>
          <w:tcPr>
            <w:tcW w:w="1180" w:type="dxa"/>
            <w:vAlign w:val="bottom"/>
            <w:tcBorders>
              <w:top w:val="single" w:sz="8" w:color="auto"/>
            </w:tcBorders>
            <w:gridSpan w:val="3"/>
          </w:tcPr>
          <w:p>
            <w:pPr>
              <w:ind w:left="200"/>
              <w:spacing w:after="0" w:line="154" w:lineRule="exact"/>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r>
      <w:tr>
        <w:trPr>
          <w:trHeight w:val="177"/>
        </w:trPr>
        <w:tc>
          <w:tcPr>
            <w:tcW w:w="2660" w:type="dxa"/>
            <w:vAlign w:val="bottom"/>
          </w:tcPr>
          <w:p>
            <w:pPr>
              <w:spacing w:after="0"/>
              <w:rPr>
                <w:sz w:val="20"/>
                <w:szCs w:val="20"/>
                <w:color w:val="auto"/>
              </w:rPr>
            </w:pPr>
            <w:r>
              <w:rPr>
                <w:rFonts w:ascii="Arial" w:cs="Arial" w:eastAsia="Arial" w:hAnsi="Arial"/>
                <w:sz w:val="14"/>
                <w:szCs w:val="14"/>
                <w:b w:val="1"/>
                <w:bCs w:val="1"/>
                <w:color w:val="auto"/>
              </w:rPr>
              <w:t>(U.S. dollars in thousands)</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ind w:right="242"/>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ind w:right="259"/>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5"/>
                <w:szCs w:val="15"/>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Dollar</w:t>
            </w:r>
          </w:p>
        </w:tc>
        <w:tc>
          <w:tcPr>
            <w:tcW w:w="1140" w:type="dxa"/>
            <w:vAlign w:val="bottom"/>
            <w:gridSpan w:val="3"/>
          </w:tcPr>
          <w:p>
            <w:pPr>
              <w:jc w:val="right"/>
              <w:ind w:right="468"/>
              <w:spacing w:after="0"/>
              <w:rPr>
                <w:sz w:val="20"/>
                <w:szCs w:val="20"/>
                <w:color w:val="auto"/>
              </w:rPr>
            </w:pPr>
            <w:r>
              <w:rPr>
                <w:rFonts w:ascii="Arial" w:cs="Arial" w:eastAsia="Arial" w:hAnsi="Arial"/>
                <w:sz w:val="14"/>
                <w:szCs w:val="14"/>
                <w:b w:val="1"/>
                <w:bCs w:val="1"/>
                <w:color w:val="auto"/>
              </w:rPr>
              <w:t>Percent</w:t>
            </w:r>
          </w:p>
        </w:tc>
        <w:tc>
          <w:tcPr>
            <w:tcW w:w="780" w:type="dxa"/>
            <w:vAlign w:val="bottom"/>
          </w:tcPr>
          <w:p>
            <w:pPr>
              <w:jc w:val="right"/>
              <w:ind w:right="262"/>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ind w:right="259"/>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5"/>
                <w:szCs w:val="15"/>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Dollar</w:t>
            </w:r>
          </w:p>
        </w:tc>
        <w:tc>
          <w:tcPr>
            <w:tcW w:w="8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Percent</w:t>
            </w:r>
          </w:p>
        </w:tc>
      </w:tr>
      <w:tr>
        <w:trPr>
          <w:trHeight w:val="187"/>
        </w:trPr>
        <w:tc>
          <w:tcPr>
            <w:tcW w:w="2660" w:type="dxa"/>
            <w:vAlign w:val="bottom"/>
            <w:tcBorders>
              <w:top w:val="single" w:sz="8" w:color="CFF0FC"/>
            </w:tcBorders>
            <w:shd w:val="clear" w:color="auto" w:fill="CFF0FC"/>
          </w:tcPr>
          <w:p>
            <w:pPr>
              <w:spacing w:after="0" w:line="187" w:lineRule="exact"/>
              <w:rPr>
                <w:sz w:val="20"/>
                <w:szCs w:val="20"/>
                <w:color w:val="auto"/>
              </w:rPr>
            </w:pPr>
            <w:r>
              <w:rPr>
                <w:rFonts w:ascii="Arial" w:cs="Arial" w:eastAsia="Arial" w:hAnsi="Arial"/>
                <w:sz w:val="18"/>
                <w:szCs w:val="18"/>
                <w:color w:val="auto"/>
              </w:rPr>
              <w:t>Equity in earnings of</w:t>
            </w:r>
          </w:p>
        </w:tc>
        <w:tc>
          <w:tcPr>
            <w:tcW w:w="300" w:type="dxa"/>
            <w:vAlign w:val="bottom"/>
            <w:tcBorders>
              <w:top w:val="single" w:sz="8" w:color="CFF0FC"/>
            </w:tcBorders>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760" w:type="dxa"/>
            <w:vAlign w:val="bottom"/>
            <w:tcBorders>
              <w:top w:val="single" w:sz="8" w:color="auto"/>
            </w:tcBorders>
            <w:shd w:val="clear" w:color="auto" w:fill="CFF0FC"/>
          </w:tcPr>
          <w:p>
            <w:pPr>
              <w:spacing w:after="0"/>
              <w:rPr>
                <w:sz w:val="16"/>
                <w:szCs w:val="16"/>
                <w:color w:val="auto"/>
              </w:rPr>
            </w:pPr>
          </w:p>
        </w:tc>
        <w:tc>
          <w:tcPr>
            <w:tcW w:w="200" w:type="dxa"/>
            <w:vAlign w:val="bottom"/>
            <w:tcBorders>
              <w:top w:val="single" w:sz="8" w:color="CFF0FC"/>
            </w:tcBorders>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760" w:type="dxa"/>
            <w:vAlign w:val="bottom"/>
            <w:tcBorders>
              <w:top w:val="single" w:sz="8" w:color="auto"/>
            </w:tcBorders>
            <w:shd w:val="clear" w:color="auto" w:fill="CFF0FC"/>
          </w:tcPr>
          <w:p>
            <w:pPr>
              <w:spacing w:after="0"/>
              <w:rPr>
                <w:sz w:val="16"/>
                <w:szCs w:val="16"/>
                <w:color w:val="auto"/>
              </w:rPr>
            </w:pPr>
          </w:p>
        </w:tc>
        <w:tc>
          <w:tcPr>
            <w:tcW w:w="200" w:type="dxa"/>
            <w:vAlign w:val="bottom"/>
            <w:tcBorders>
              <w:top w:val="single" w:sz="8" w:color="CFF0FC"/>
            </w:tcBorders>
            <w:shd w:val="clear" w:color="auto" w:fill="CFF0FC"/>
          </w:tcPr>
          <w:p>
            <w:pPr>
              <w:spacing w:after="0"/>
              <w:rPr>
                <w:sz w:val="16"/>
                <w:szCs w:val="16"/>
                <w:color w:val="auto"/>
              </w:rPr>
            </w:pPr>
          </w:p>
        </w:tc>
        <w:tc>
          <w:tcPr>
            <w:tcW w:w="680" w:type="dxa"/>
            <w:vAlign w:val="bottom"/>
            <w:tcBorders>
              <w:top w:val="single" w:sz="8" w:color="auto"/>
            </w:tcBorders>
            <w:shd w:val="clear" w:color="auto" w:fill="CFF0FC"/>
          </w:tcPr>
          <w:p>
            <w:pPr>
              <w:spacing w:after="0"/>
              <w:rPr>
                <w:sz w:val="16"/>
                <w:szCs w:val="16"/>
                <w:color w:val="auto"/>
              </w:rPr>
            </w:pPr>
          </w:p>
        </w:tc>
        <w:tc>
          <w:tcPr>
            <w:tcW w:w="200" w:type="dxa"/>
            <w:vAlign w:val="bottom"/>
            <w:tcBorders>
              <w:top w:val="single" w:sz="8" w:color="CFF0FC"/>
            </w:tcBorders>
            <w:shd w:val="clear" w:color="auto" w:fill="CFF0FC"/>
          </w:tcPr>
          <w:p>
            <w:pPr>
              <w:spacing w:after="0"/>
              <w:rPr>
                <w:sz w:val="16"/>
                <w:szCs w:val="16"/>
                <w:color w:val="auto"/>
              </w:rPr>
            </w:pPr>
          </w:p>
        </w:tc>
        <w:tc>
          <w:tcPr>
            <w:tcW w:w="680" w:type="dxa"/>
            <w:vAlign w:val="bottom"/>
            <w:tcBorders>
              <w:top w:val="single" w:sz="8" w:color="auto"/>
            </w:tcBorders>
            <w:shd w:val="clear" w:color="auto" w:fill="CFF0FC"/>
          </w:tcPr>
          <w:p>
            <w:pPr>
              <w:spacing w:after="0"/>
              <w:rPr>
                <w:sz w:val="16"/>
                <w:szCs w:val="16"/>
                <w:color w:val="auto"/>
              </w:rPr>
            </w:pPr>
          </w:p>
        </w:tc>
        <w:tc>
          <w:tcPr>
            <w:tcW w:w="260" w:type="dxa"/>
            <w:vAlign w:val="bottom"/>
            <w:tcBorders>
              <w:top w:val="single" w:sz="8" w:color="CFF0FC"/>
            </w:tcBorders>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spacing w:after="0"/>
              <w:rPr>
                <w:sz w:val="16"/>
                <w:szCs w:val="16"/>
                <w:color w:val="auto"/>
              </w:rPr>
            </w:pPr>
          </w:p>
        </w:tc>
        <w:tc>
          <w:tcPr>
            <w:tcW w:w="780" w:type="dxa"/>
            <w:vAlign w:val="bottom"/>
            <w:tcBorders>
              <w:top w:val="single" w:sz="8" w:color="auto"/>
            </w:tcBorders>
            <w:shd w:val="clear" w:color="auto" w:fill="CFF0FC"/>
          </w:tcPr>
          <w:p>
            <w:pPr>
              <w:spacing w:after="0"/>
              <w:rPr>
                <w:sz w:val="16"/>
                <w:szCs w:val="16"/>
                <w:color w:val="auto"/>
              </w:rPr>
            </w:pPr>
          </w:p>
        </w:tc>
        <w:tc>
          <w:tcPr>
            <w:tcW w:w="200" w:type="dxa"/>
            <w:vAlign w:val="bottom"/>
            <w:tcBorders>
              <w:top w:val="single" w:sz="8" w:color="CFF0FC"/>
            </w:tcBorders>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spacing w:after="0"/>
              <w:rPr>
                <w:sz w:val="16"/>
                <w:szCs w:val="16"/>
                <w:color w:val="auto"/>
              </w:rPr>
            </w:pPr>
          </w:p>
        </w:tc>
        <w:tc>
          <w:tcPr>
            <w:tcW w:w="780" w:type="dxa"/>
            <w:vAlign w:val="bottom"/>
            <w:tcBorders>
              <w:top w:val="single" w:sz="8" w:color="auto"/>
            </w:tcBorders>
            <w:shd w:val="clear" w:color="auto" w:fill="CFF0FC"/>
          </w:tcPr>
          <w:p>
            <w:pPr>
              <w:spacing w:after="0"/>
              <w:rPr>
                <w:sz w:val="16"/>
                <w:szCs w:val="16"/>
                <w:color w:val="auto"/>
              </w:rPr>
            </w:pPr>
          </w:p>
        </w:tc>
        <w:tc>
          <w:tcPr>
            <w:tcW w:w="180" w:type="dxa"/>
            <w:vAlign w:val="bottom"/>
            <w:tcBorders>
              <w:top w:val="single" w:sz="8" w:color="CFF0FC"/>
            </w:tcBorders>
            <w:shd w:val="clear" w:color="auto" w:fill="CFF0FC"/>
          </w:tcPr>
          <w:p>
            <w:pPr>
              <w:spacing w:after="0"/>
              <w:rPr>
                <w:sz w:val="16"/>
                <w:szCs w:val="16"/>
                <w:color w:val="auto"/>
              </w:rPr>
            </w:pPr>
          </w:p>
        </w:tc>
        <w:tc>
          <w:tcPr>
            <w:tcW w:w="720" w:type="dxa"/>
            <w:vAlign w:val="bottom"/>
            <w:tcBorders>
              <w:top w:val="single" w:sz="8" w:color="auto"/>
            </w:tcBorders>
            <w:shd w:val="clear" w:color="auto" w:fill="CFF0FC"/>
          </w:tcPr>
          <w:p>
            <w:pPr>
              <w:spacing w:after="0"/>
              <w:rPr>
                <w:sz w:val="16"/>
                <w:szCs w:val="16"/>
                <w:color w:val="auto"/>
              </w:rPr>
            </w:pPr>
          </w:p>
        </w:tc>
        <w:tc>
          <w:tcPr>
            <w:tcW w:w="180" w:type="dxa"/>
            <w:vAlign w:val="bottom"/>
            <w:tcBorders>
              <w:top w:val="single" w:sz="8" w:color="CFF0FC"/>
            </w:tcBorders>
            <w:shd w:val="clear" w:color="auto" w:fill="CFF0FC"/>
          </w:tcPr>
          <w:p>
            <w:pPr>
              <w:spacing w:after="0"/>
              <w:rPr>
                <w:sz w:val="16"/>
                <w:szCs w:val="16"/>
                <w:color w:val="auto"/>
              </w:rPr>
            </w:pPr>
          </w:p>
        </w:tc>
        <w:tc>
          <w:tcPr>
            <w:tcW w:w="680" w:type="dxa"/>
            <w:vAlign w:val="bottom"/>
            <w:tcBorders>
              <w:top w:val="single" w:sz="8" w:color="auto"/>
            </w:tcBorders>
            <w:shd w:val="clear" w:color="auto" w:fill="CFF0FC"/>
          </w:tcPr>
          <w:p>
            <w:pPr>
              <w:spacing w:after="0"/>
              <w:rPr>
                <w:sz w:val="16"/>
                <w:szCs w:val="16"/>
                <w:color w:val="auto"/>
              </w:rPr>
            </w:pPr>
          </w:p>
        </w:tc>
        <w:tc>
          <w:tcPr>
            <w:tcW w:w="180" w:type="dxa"/>
            <w:vAlign w:val="bottom"/>
            <w:tcBorders>
              <w:top w:val="single" w:sz="8" w:color="CFF0FC"/>
            </w:tcBorders>
            <w:shd w:val="clear" w:color="auto" w:fill="CFF0FC"/>
          </w:tcPr>
          <w:p>
            <w:pPr>
              <w:spacing w:after="0"/>
              <w:rPr>
                <w:sz w:val="16"/>
                <w:szCs w:val="16"/>
                <w:color w:val="auto"/>
              </w:rPr>
            </w:pPr>
          </w:p>
        </w:tc>
      </w:tr>
      <w:tr>
        <w:trPr>
          <w:trHeight w:val="225"/>
        </w:trPr>
        <w:tc>
          <w:tcPr>
            <w:tcW w:w="2660" w:type="dxa"/>
            <w:vAlign w:val="bottom"/>
            <w:shd w:val="clear" w:color="auto" w:fill="CFF0FC"/>
          </w:tcPr>
          <w:p>
            <w:pPr>
              <w:spacing w:after="0"/>
              <w:rPr>
                <w:sz w:val="20"/>
                <w:szCs w:val="20"/>
                <w:color w:val="auto"/>
              </w:rPr>
            </w:pPr>
            <w:r>
              <w:rPr>
                <w:rFonts w:ascii="Arial" w:cs="Arial" w:eastAsia="Arial" w:hAnsi="Arial"/>
                <w:sz w:val="18"/>
                <w:szCs w:val="18"/>
                <w:color w:val="auto"/>
              </w:rPr>
              <w:t>unconsolidated joint ventures</w:t>
            </w:r>
          </w:p>
        </w:tc>
        <w:tc>
          <w:tcPr>
            <w:tcW w:w="520" w:type="dxa"/>
            <w:vAlign w:val="bottom"/>
            <w:gridSpan w:val="2"/>
            <w:shd w:val="clear" w:color="auto" w:fill="CFF0FC"/>
          </w:tcPr>
          <w:p>
            <w:pPr>
              <w:ind w:left="3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16,741</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7,274</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  9,467</w:t>
            </w:r>
          </w:p>
        </w:tc>
        <w:tc>
          <w:tcPr>
            <w:tcW w:w="200" w:type="dxa"/>
            <w:vAlign w:val="bottom"/>
            <w:shd w:val="clear" w:color="auto" w:fill="CFF0FC"/>
          </w:tcPr>
          <w:p>
            <w:pPr>
              <w:spacing w:after="0"/>
              <w:rPr>
                <w:sz w:val="19"/>
                <w:szCs w:val="19"/>
                <w:color w:val="auto"/>
              </w:rPr>
            </w:pPr>
          </w:p>
        </w:tc>
        <w:tc>
          <w:tcPr>
            <w:tcW w:w="1140" w:type="dxa"/>
            <w:vAlign w:val="bottom"/>
            <w:gridSpan w:val="3"/>
            <w:shd w:val="clear" w:color="auto" w:fill="CFF0FC"/>
          </w:tcPr>
          <w:p>
            <w:pPr>
              <w:jc w:val="right"/>
              <w:ind w:right="28"/>
              <w:spacing w:after="0"/>
              <w:rPr>
                <w:sz w:val="20"/>
                <w:szCs w:val="20"/>
                <w:color w:val="auto"/>
              </w:rPr>
            </w:pPr>
            <w:r>
              <w:rPr>
                <w:rFonts w:ascii="Arial" w:cs="Arial" w:eastAsia="Arial" w:hAnsi="Arial"/>
                <w:sz w:val="18"/>
                <w:szCs w:val="18"/>
                <w:color w:val="auto"/>
              </w:rPr>
              <w:t>130.1% $</w:t>
            </w:r>
          </w:p>
        </w:tc>
        <w:tc>
          <w:tcPr>
            <w:tcW w:w="780" w:type="dxa"/>
            <w:vAlign w:val="bottom"/>
            <w:shd w:val="clear" w:color="auto" w:fill="CFF0FC"/>
          </w:tcPr>
          <w:p>
            <w:pPr>
              <w:ind w:left="220"/>
              <w:spacing w:after="0"/>
              <w:rPr>
                <w:sz w:val="20"/>
                <w:szCs w:val="20"/>
                <w:color w:val="auto"/>
              </w:rPr>
            </w:pPr>
            <w:r>
              <w:rPr>
                <w:rFonts w:ascii="Arial" w:cs="Arial" w:eastAsia="Arial" w:hAnsi="Arial"/>
                <w:sz w:val="18"/>
                <w:szCs w:val="18"/>
                <w:color w:val="auto"/>
                <w:w w:val="98"/>
              </w:rPr>
              <w:t>26,624</w:t>
            </w:r>
          </w:p>
        </w:tc>
        <w:tc>
          <w:tcPr>
            <w:tcW w:w="40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29,305</w:t>
            </w: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 (2,681)</w:t>
            </w: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-9.1%</w:t>
            </w:r>
          </w:p>
        </w:tc>
      </w:tr>
    </w:tbl>
    <w:p>
      <w:pPr>
        <w:spacing w:after="0" w:line="220" w:lineRule="exact"/>
        <w:rPr>
          <w:sz w:val="20"/>
          <w:szCs w:val="20"/>
          <w:color w:val="auto"/>
        </w:rPr>
      </w:pPr>
    </w:p>
    <w:p>
      <w:pPr>
        <w:jc w:val="both"/>
        <w:ind w:right="60" w:firstLine="637"/>
        <w:spacing w:after="0" w:line="255" w:lineRule="auto"/>
        <w:rPr>
          <w:sz w:val="20"/>
          <w:szCs w:val="20"/>
          <w:color w:val="auto"/>
        </w:rPr>
      </w:pPr>
      <w:r>
        <w:rPr>
          <w:rFonts w:ascii="Arial" w:cs="Arial" w:eastAsia="Arial" w:hAnsi="Arial"/>
          <w:sz w:val="18"/>
          <w:szCs w:val="18"/>
          <w:color w:val="auto"/>
        </w:rPr>
        <w:t>Equity in earnings of unconsolidated joint ventures increased $9.5 million for the three months ended September 30, 2020 compared to the corresponding period last year, primarily related to increased activity and margins in certain joint ventures, partially offset by reduction in activity on a significant joint venture that is substantially complete.</w:t>
      </w:r>
    </w:p>
    <w:p>
      <w:pPr>
        <w:spacing w:after="0" w:line="164" w:lineRule="exact"/>
        <w:rPr>
          <w:sz w:val="20"/>
          <w:szCs w:val="20"/>
          <w:color w:val="auto"/>
        </w:rPr>
      </w:pPr>
    </w:p>
    <w:p>
      <w:pPr>
        <w:jc w:val="both"/>
        <w:ind w:right="60" w:firstLine="637"/>
        <w:spacing w:after="0" w:line="255" w:lineRule="auto"/>
        <w:rPr>
          <w:sz w:val="20"/>
          <w:szCs w:val="20"/>
          <w:color w:val="auto"/>
        </w:rPr>
      </w:pPr>
      <w:r>
        <w:rPr>
          <w:rFonts w:ascii="Arial" w:cs="Arial" w:eastAsia="Arial" w:hAnsi="Arial"/>
          <w:sz w:val="18"/>
          <w:szCs w:val="18"/>
          <w:color w:val="auto"/>
        </w:rPr>
        <w:t>Equity in earnings of unconsolidated joint ventures decreased $2.7 million for the nine months ended September 30, 2020 compared to the corresponding period last year, primarily due to reduction in activity on a significant joint venture that is substantially complete, partially offset by increased margins and activity in certain joint ventures.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Indirect, general and administrative expenses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920" w:type="dxa"/>
            <w:vAlign w:val="bottom"/>
          </w:tcPr>
          <w:p>
            <w:pPr>
              <w:spacing w:after="0"/>
              <w:rPr>
                <w:sz w:val="15"/>
                <w:szCs w:val="15"/>
                <w:color w:val="auto"/>
              </w:rPr>
            </w:pPr>
          </w:p>
        </w:tc>
        <w:tc>
          <w:tcPr>
            <w:tcW w:w="2320" w:type="dxa"/>
            <w:vAlign w:val="bottom"/>
            <w:gridSpan w:val="4"/>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2100" w:type="dxa"/>
            <w:vAlign w:val="bottom"/>
            <w:gridSpan w:val="5"/>
          </w:tcPr>
          <w:p>
            <w:pPr>
              <w:jc w:val="right"/>
              <w:ind w:right="928"/>
              <w:spacing w:after="0"/>
              <w:rPr>
                <w:sz w:val="20"/>
                <w:szCs w:val="20"/>
                <w:color w:val="auto"/>
              </w:rPr>
            </w:pPr>
            <w:r>
              <w:rPr>
                <w:rFonts w:ascii="Arial" w:cs="Arial" w:eastAsia="Arial" w:hAnsi="Arial"/>
                <w:sz w:val="14"/>
                <w:szCs w:val="14"/>
                <w:b w:val="1"/>
                <w:bCs w:val="1"/>
                <w:color w:val="auto"/>
              </w:rPr>
              <w:t>Variance</w:t>
            </w:r>
          </w:p>
        </w:tc>
        <w:tc>
          <w:tcPr>
            <w:tcW w:w="1920" w:type="dxa"/>
            <w:vAlign w:val="bottom"/>
            <w:gridSpan w:val="3"/>
          </w:tcPr>
          <w:p>
            <w:pPr>
              <w:ind w:left="180"/>
              <w:spacing w:after="0"/>
              <w:rPr>
                <w:sz w:val="20"/>
                <w:szCs w:val="20"/>
                <w:color w:val="auto"/>
              </w:rPr>
            </w:pPr>
            <w:r>
              <w:rPr>
                <w:rFonts w:ascii="Arial" w:cs="Arial" w:eastAsia="Arial" w:hAnsi="Arial"/>
                <w:sz w:val="14"/>
                <w:szCs w:val="14"/>
                <w:b w:val="1"/>
                <w:bCs w:val="1"/>
                <w:color w:val="auto"/>
              </w:rPr>
              <w:t>Nine Months Ended</w:t>
            </w:r>
          </w:p>
        </w:tc>
        <w:tc>
          <w:tcPr>
            <w:tcW w:w="180" w:type="dxa"/>
            <w:vAlign w:val="bottom"/>
          </w:tcPr>
          <w:p>
            <w:pPr>
              <w:spacing w:after="0"/>
              <w:rPr>
                <w:sz w:val="15"/>
                <w:szCs w:val="15"/>
                <w:color w:val="auto"/>
              </w:rPr>
            </w:pPr>
          </w:p>
        </w:tc>
        <w:tc>
          <w:tcPr>
            <w:tcW w:w="180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Variance</w:t>
            </w:r>
          </w:p>
        </w:tc>
      </w:tr>
      <w:tr>
        <w:trPr>
          <w:trHeight w:val="154"/>
        </w:trPr>
        <w:tc>
          <w:tcPr>
            <w:tcW w:w="2920" w:type="dxa"/>
            <w:vAlign w:val="bottom"/>
          </w:tcPr>
          <w:p>
            <w:pPr>
              <w:spacing w:after="0"/>
              <w:rPr>
                <w:sz w:val="13"/>
                <w:szCs w:val="13"/>
                <w:color w:val="auto"/>
              </w:rPr>
            </w:pPr>
          </w:p>
        </w:tc>
        <w:tc>
          <w:tcPr>
            <w:tcW w:w="1160" w:type="dxa"/>
            <w:vAlign w:val="bottom"/>
            <w:tcBorders>
              <w:top w:val="single" w:sz="8" w:color="auto"/>
            </w:tcBorders>
            <w:gridSpan w:val="2"/>
          </w:tcPr>
          <w:p>
            <w:pPr>
              <w:spacing w:after="0" w:line="154" w:lineRule="exact"/>
              <w:rPr>
                <w:sz w:val="20"/>
                <w:szCs w:val="20"/>
                <w:color w:val="auto"/>
              </w:rPr>
            </w:pPr>
            <w:r>
              <w:rPr>
                <w:rFonts w:ascii="Arial" w:cs="Arial" w:eastAsia="Arial" w:hAnsi="Arial"/>
                <w:sz w:val="14"/>
                <w:szCs w:val="14"/>
                <w:b w:val="1"/>
                <w:bCs w:val="1"/>
                <w:color w:val="auto"/>
              </w:rPr>
              <w:t>September 30,</w:t>
            </w:r>
          </w:p>
        </w:tc>
        <w:tc>
          <w:tcPr>
            <w:tcW w:w="1000" w:type="dxa"/>
            <w:vAlign w:val="bottom"/>
            <w:tcBorders>
              <w:top w:val="single" w:sz="8" w:color="auto"/>
            </w:tcBorders>
          </w:tcPr>
          <w:p>
            <w:pPr>
              <w:spacing w:after="0" w:line="154" w:lineRule="exact"/>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Borders>
              <w:top w:val="single" w:sz="8" w:color="auto"/>
            </w:tcBorders>
            <w:gridSpan w:val="2"/>
          </w:tcPr>
          <w:p>
            <w:pPr>
              <w:spacing w:after="0" w:line="154" w:lineRule="exact"/>
              <w:rPr>
                <w:sz w:val="20"/>
                <w:szCs w:val="20"/>
                <w:color w:val="auto"/>
              </w:rPr>
            </w:pPr>
            <w:r>
              <w:rPr>
                <w:rFonts w:ascii="Arial" w:cs="Arial" w:eastAsia="Arial" w:hAnsi="Arial"/>
                <w:sz w:val="14"/>
                <w:szCs w:val="14"/>
                <w:b w:val="1"/>
                <w:bCs w:val="1"/>
                <w:color w:val="auto"/>
              </w:rPr>
              <w:t>September 30,</w:t>
            </w:r>
          </w:p>
        </w:tc>
        <w:tc>
          <w:tcPr>
            <w:tcW w:w="1160" w:type="dxa"/>
            <w:vAlign w:val="bottom"/>
            <w:tcBorders>
              <w:top w:val="single" w:sz="8" w:color="auto"/>
            </w:tcBorders>
            <w:gridSpan w:val="2"/>
          </w:tcPr>
          <w:p>
            <w:pPr>
              <w:ind w:left="180"/>
              <w:spacing w:after="0" w:line="154" w:lineRule="exact"/>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r>
      <w:tr>
        <w:trPr>
          <w:trHeight w:val="177"/>
        </w:trPr>
        <w:tc>
          <w:tcPr>
            <w:tcW w:w="2920" w:type="dxa"/>
            <w:vAlign w:val="bottom"/>
          </w:tcPr>
          <w:p>
            <w:pPr>
              <w:spacing w:after="0"/>
              <w:rPr>
                <w:sz w:val="20"/>
                <w:szCs w:val="20"/>
                <w:color w:val="auto"/>
              </w:rPr>
            </w:pPr>
            <w:r>
              <w:rPr>
                <w:rFonts w:ascii="Arial" w:cs="Arial" w:eastAsia="Arial" w:hAnsi="Arial"/>
                <w:sz w:val="14"/>
                <w:szCs w:val="14"/>
                <w:b w:val="1"/>
                <w:bCs w:val="1"/>
                <w:color w:val="auto"/>
              </w:rPr>
              <w:t>(U.S. dollars in thousands)</w:t>
            </w:r>
          </w:p>
        </w:tc>
        <w:tc>
          <w:tcPr>
            <w:tcW w:w="980" w:type="dxa"/>
            <w:vAlign w:val="bottom"/>
          </w:tcPr>
          <w:p>
            <w:pPr>
              <w:jc w:val="right"/>
              <w:ind w:right="244"/>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5"/>
                <w:szCs w:val="15"/>
                <w:color w:val="auto"/>
              </w:rPr>
            </w:pPr>
          </w:p>
        </w:tc>
        <w:tc>
          <w:tcPr>
            <w:tcW w:w="1000" w:type="dxa"/>
            <w:vAlign w:val="bottom"/>
          </w:tcPr>
          <w:p>
            <w:pPr>
              <w:jc w:val="right"/>
              <w:ind w:right="262"/>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5"/>
                <w:szCs w:val="15"/>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Dollar</w:t>
            </w:r>
          </w:p>
        </w:tc>
        <w:tc>
          <w:tcPr>
            <w:tcW w:w="1140" w:type="dxa"/>
            <w:vAlign w:val="bottom"/>
            <w:gridSpan w:val="3"/>
          </w:tcPr>
          <w:p>
            <w:pPr>
              <w:jc w:val="right"/>
              <w:ind w:right="488"/>
              <w:spacing w:after="0"/>
              <w:rPr>
                <w:sz w:val="20"/>
                <w:szCs w:val="20"/>
                <w:color w:val="auto"/>
              </w:rPr>
            </w:pPr>
            <w:r>
              <w:rPr>
                <w:rFonts w:ascii="Arial" w:cs="Arial" w:eastAsia="Arial" w:hAnsi="Arial"/>
                <w:sz w:val="14"/>
                <w:szCs w:val="14"/>
                <w:b w:val="1"/>
                <w:bCs w:val="1"/>
                <w:color w:val="auto"/>
              </w:rPr>
              <w:t>Percent</w:t>
            </w:r>
          </w:p>
        </w:tc>
        <w:tc>
          <w:tcPr>
            <w:tcW w:w="760" w:type="dxa"/>
            <w:vAlign w:val="bottom"/>
          </w:tcPr>
          <w:p>
            <w:pPr>
              <w:ind w:left="100"/>
              <w:spacing w:after="0"/>
              <w:rPr>
                <w:sz w:val="20"/>
                <w:szCs w:val="20"/>
                <w:color w:val="auto"/>
              </w:rPr>
            </w:pPr>
            <w:r>
              <w:rPr>
                <w:rFonts w:ascii="Arial" w:cs="Arial" w:eastAsia="Arial" w:hAnsi="Arial"/>
                <w:sz w:val="14"/>
                <w:szCs w:val="14"/>
                <w:b w:val="1"/>
                <w:bCs w:val="1"/>
                <w:color w:val="auto"/>
              </w:rPr>
              <w:t>2020</w:t>
            </w:r>
          </w:p>
        </w:tc>
        <w:tc>
          <w:tcPr>
            <w:tcW w:w="11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5"/>
                <w:szCs w:val="15"/>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Dollar</w:t>
            </w:r>
          </w:p>
        </w:tc>
        <w:tc>
          <w:tcPr>
            <w:tcW w:w="8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Percent</w:t>
            </w:r>
          </w:p>
        </w:tc>
      </w:tr>
      <w:tr>
        <w:trPr>
          <w:trHeight w:val="187"/>
        </w:trPr>
        <w:tc>
          <w:tcPr>
            <w:tcW w:w="2920" w:type="dxa"/>
            <w:vAlign w:val="bottom"/>
            <w:tcBorders>
              <w:top w:val="single" w:sz="8" w:color="CFF0FC"/>
            </w:tcBorders>
            <w:shd w:val="clear" w:color="auto" w:fill="CFF0FC"/>
          </w:tcPr>
          <w:p>
            <w:pPr>
              <w:spacing w:after="0" w:line="187" w:lineRule="exact"/>
              <w:rPr>
                <w:sz w:val="20"/>
                <w:szCs w:val="20"/>
                <w:color w:val="auto"/>
              </w:rPr>
            </w:pPr>
            <w:r>
              <w:rPr>
                <w:rFonts w:ascii="Arial" w:cs="Arial" w:eastAsia="Arial" w:hAnsi="Arial"/>
                <w:sz w:val="18"/>
                <w:szCs w:val="18"/>
                <w:color w:val="auto"/>
              </w:rPr>
              <w:t>Indirect, general and administrative</w:t>
            </w:r>
          </w:p>
        </w:tc>
        <w:tc>
          <w:tcPr>
            <w:tcW w:w="980" w:type="dxa"/>
            <w:vAlign w:val="bottom"/>
            <w:tcBorders>
              <w:top w:val="single" w:sz="8" w:color="auto"/>
            </w:tcBorders>
            <w:shd w:val="clear" w:color="auto" w:fill="CFF0FC"/>
          </w:tcPr>
          <w:p>
            <w:pPr>
              <w:spacing w:after="0"/>
              <w:rPr>
                <w:sz w:val="16"/>
                <w:szCs w:val="16"/>
                <w:color w:val="auto"/>
              </w:rPr>
            </w:pPr>
          </w:p>
        </w:tc>
        <w:tc>
          <w:tcPr>
            <w:tcW w:w="180" w:type="dxa"/>
            <w:vAlign w:val="bottom"/>
            <w:tcBorders>
              <w:top w:val="single" w:sz="8" w:color="CFF0FC"/>
            </w:tcBorders>
            <w:shd w:val="clear" w:color="auto" w:fill="CFF0FC"/>
          </w:tcPr>
          <w:p>
            <w:pPr>
              <w:spacing w:after="0"/>
              <w:rPr>
                <w:sz w:val="16"/>
                <w:szCs w:val="16"/>
                <w:color w:val="auto"/>
              </w:rPr>
            </w:pPr>
          </w:p>
        </w:tc>
        <w:tc>
          <w:tcPr>
            <w:tcW w:w="100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760" w:type="dxa"/>
            <w:vAlign w:val="bottom"/>
            <w:tcBorders>
              <w:top w:val="single" w:sz="8" w:color="auto"/>
            </w:tcBorders>
            <w:shd w:val="clear" w:color="auto" w:fill="CFF0FC"/>
          </w:tcPr>
          <w:p>
            <w:pPr>
              <w:spacing w:after="0"/>
              <w:rPr>
                <w:sz w:val="16"/>
                <w:szCs w:val="16"/>
                <w:color w:val="auto"/>
              </w:rPr>
            </w:pPr>
          </w:p>
        </w:tc>
        <w:tc>
          <w:tcPr>
            <w:tcW w:w="200" w:type="dxa"/>
            <w:vAlign w:val="bottom"/>
            <w:tcBorders>
              <w:top w:val="single" w:sz="8" w:color="CFF0FC"/>
            </w:tcBorders>
            <w:shd w:val="clear" w:color="auto" w:fill="CFF0FC"/>
          </w:tcPr>
          <w:p>
            <w:pPr>
              <w:spacing w:after="0"/>
              <w:rPr>
                <w:sz w:val="16"/>
                <w:szCs w:val="16"/>
                <w:color w:val="auto"/>
              </w:rPr>
            </w:pPr>
          </w:p>
        </w:tc>
        <w:tc>
          <w:tcPr>
            <w:tcW w:w="660" w:type="dxa"/>
            <w:vAlign w:val="bottom"/>
            <w:tcBorders>
              <w:top w:val="single" w:sz="8" w:color="auto"/>
            </w:tcBorders>
            <w:shd w:val="clear" w:color="auto" w:fill="CFF0FC"/>
          </w:tcPr>
          <w:p>
            <w:pPr>
              <w:spacing w:after="0"/>
              <w:rPr>
                <w:sz w:val="16"/>
                <w:szCs w:val="16"/>
                <w:color w:val="auto"/>
              </w:rPr>
            </w:pPr>
          </w:p>
        </w:tc>
        <w:tc>
          <w:tcPr>
            <w:tcW w:w="260" w:type="dxa"/>
            <w:vAlign w:val="bottom"/>
            <w:tcBorders>
              <w:top w:val="single" w:sz="8" w:color="CFF0FC"/>
            </w:tcBorders>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760" w:type="dxa"/>
            <w:vAlign w:val="bottom"/>
            <w:tcBorders>
              <w:top w:val="single" w:sz="8" w:color="auto"/>
            </w:tcBorders>
            <w:shd w:val="clear" w:color="auto" w:fill="CFF0FC"/>
          </w:tcPr>
          <w:p>
            <w:pPr>
              <w:spacing w:after="0"/>
              <w:rPr>
                <w:sz w:val="16"/>
                <w:szCs w:val="16"/>
                <w:color w:val="auto"/>
              </w:rPr>
            </w:pPr>
          </w:p>
        </w:tc>
        <w:tc>
          <w:tcPr>
            <w:tcW w:w="180" w:type="dxa"/>
            <w:vAlign w:val="bottom"/>
            <w:tcBorders>
              <w:top w:val="single" w:sz="8" w:color="CFF0FC"/>
            </w:tcBorders>
            <w:shd w:val="clear" w:color="auto" w:fill="CFF0FC"/>
          </w:tcPr>
          <w:p>
            <w:pPr>
              <w:spacing w:after="0"/>
              <w:rPr>
                <w:sz w:val="16"/>
                <w:szCs w:val="16"/>
                <w:color w:val="auto"/>
              </w:rPr>
            </w:pPr>
          </w:p>
        </w:tc>
        <w:tc>
          <w:tcPr>
            <w:tcW w:w="980" w:type="dxa"/>
            <w:vAlign w:val="bottom"/>
            <w:tcBorders>
              <w:top w:val="single" w:sz="8" w:color="auto"/>
            </w:tcBorders>
            <w:shd w:val="clear" w:color="auto" w:fill="CFF0FC"/>
          </w:tcPr>
          <w:p>
            <w:pPr>
              <w:spacing w:after="0"/>
              <w:rPr>
                <w:sz w:val="16"/>
                <w:szCs w:val="16"/>
                <w:color w:val="auto"/>
              </w:rPr>
            </w:pPr>
          </w:p>
        </w:tc>
        <w:tc>
          <w:tcPr>
            <w:tcW w:w="180" w:type="dxa"/>
            <w:vAlign w:val="bottom"/>
            <w:tcBorders>
              <w:top w:val="single" w:sz="8" w:color="CFF0FC"/>
            </w:tcBorders>
            <w:shd w:val="clear" w:color="auto" w:fill="CFF0FC"/>
          </w:tcPr>
          <w:p>
            <w:pPr>
              <w:spacing w:after="0"/>
              <w:rPr>
                <w:sz w:val="16"/>
                <w:szCs w:val="16"/>
                <w:color w:val="auto"/>
              </w:rPr>
            </w:pPr>
          </w:p>
        </w:tc>
        <w:tc>
          <w:tcPr>
            <w:tcW w:w="760" w:type="dxa"/>
            <w:vAlign w:val="bottom"/>
            <w:tcBorders>
              <w:top w:val="single" w:sz="8" w:color="auto"/>
            </w:tcBorders>
            <w:shd w:val="clear" w:color="auto" w:fill="CFF0FC"/>
          </w:tcPr>
          <w:p>
            <w:pPr>
              <w:spacing w:after="0"/>
              <w:rPr>
                <w:sz w:val="16"/>
                <w:szCs w:val="16"/>
                <w:color w:val="auto"/>
              </w:rPr>
            </w:pPr>
          </w:p>
        </w:tc>
        <w:tc>
          <w:tcPr>
            <w:tcW w:w="180" w:type="dxa"/>
            <w:vAlign w:val="bottom"/>
            <w:tcBorders>
              <w:top w:val="single" w:sz="8" w:color="CFF0FC"/>
            </w:tcBorders>
            <w:shd w:val="clear" w:color="auto" w:fill="CFF0FC"/>
          </w:tcPr>
          <w:p>
            <w:pPr>
              <w:spacing w:after="0"/>
              <w:rPr>
                <w:sz w:val="16"/>
                <w:szCs w:val="16"/>
                <w:color w:val="auto"/>
              </w:rPr>
            </w:pPr>
          </w:p>
        </w:tc>
        <w:tc>
          <w:tcPr>
            <w:tcW w:w="680" w:type="dxa"/>
            <w:vAlign w:val="bottom"/>
            <w:tcBorders>
              <w:top w:val="single" w:sz="8" w:color="auto"/>
            </w:tcBorders>
            <w:shd w:val="clear" w:color="auto" w:fill="CFF0FC"/>
          </w:tcPr>
          <w:p>
            <w:pPr>
              <w:spacing w:after="0"/>
              <w:rPr>
                <w:sz w:val="16"/>
                <w:szCs w:val="16"/>
                <w:color w:val="auto"/>
              </w:rPr>
            </w:pPr>
          </w:p>
        </w:tc>
        <w:tc>
          <w:tcPr>
            <w:tcW w:w="180" w:type="dxa"/>
            <w:vAlign w:val="bottom"/>
            <w:tcBorders>
              <w:top w:val="single" w:sz="8" w:color="CFF0FC"/>
            </w:tcBorders>
            <w:shd w:val="clear" w:color="auto" w:fill="CFF0FC"/>
          </w:tcPr>
          <w:p>
            <w:pPr>
              <w:spacing w:after="0"/>
              <w:rPr>
                <w:sz w:val="16"/>
                <w:szCs w:val="16"/>
                <w:color w:val="auto"/>
              </w:rPr>
            </w:pPr>
          </w:p>
        </w:tc>
      </w:tr>
      <w:tr>
        <w:trPr>
          <w:trHeight w:val="225"/>
        </w:trPr>
        <w:tc>
          <w:tcPr>
            <w:tcW w:w="2920" w:type="dxa"/>
            <w:vAlign w:val="bottom"/>
            <w:shd w:val="clear" w:color="auto" w:fill="CFF0FC"/>
          </w:tcPr>
          <w:p>
            <w:pPr>
              <w:spacing w:after="0"/>
              <w:rPr>
                <w:sz w:val="20"/>
                <w:szCs w:val="20"/>
                <w:color w:val="auto"/>
              </w:rPr>
            </w:pPr>
            <w:r>
              <w:rPr>
                <w:rFonts w:ascii="Arial" w:cs="Arial" w:eastAsia="Arial" w:hAnsi="Arial"/>
                <w:sz w:val="18"/>
                <w:szCs w:val="18"/>
                <w:color w:val="auto"/>
              </w:rPr>
              <w:t>expenses</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   165,937</w:t>
            </w: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   178,550</w:t>
            </w:r>
          </w:p>
        </w:tc>
        <w:tc>
          <w:tcPr>
            <w:tcW w:w="1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w w:val="97"/>
              </w:rPr>
              <w:t>$ (12,613)</w:t>
            </w:r>
          </w:p>
        </w:tc>
        <w:tc>
          <w:tcPr>
            <w:tcW w:w="1140" w:type="dxa"/>
            <w:vAlign w:val="bottom"/>
            <w:gridSpan w:val="3"/>
            <w:shd w:val="clear" w:color="auto" w:fill="CFF0FC"/>
          </w:tcPr>
          <w:p>
            <w:pPr>
              <w:jc w:val="right"/>
              <w:ind w:right="48"/>
              <w:spacing w:after="0"/>
              <w:rPr>
                <w:sz w:val="20"/>
                <w:szCs w:val="20"/>
                <w:color w:val="auto"/>
              </w:rPr>
            </w:pPr>
            <w:r>
              <w:rPr>
                <w:rFonts w:ascii="Arial" w:cs="Arial" w:eastAsia="Arial" w:hAnsi="Arial"/>
                <w:sz w:val="18"/>
                <w:szCs w:val="18"/>
                <w:color w:val="auto"/>
              </w:rPr>
              <w:t>-7.1% $</w:t>
            </w:r>
          </w:p>
        </w:tc>
        <w:tc>
          <w:tcPr>
            <w:tcW w:w="760" w:type="dxa"/>
            <w:vAlign w:val="bottom"/>
            <w:shd w:val="clear" w:color="auto" w:fill="CFF0FC"/>
          </w:tcPr>
          <w:p>
            <w:pPr>
              <w:ind w:left="100"/>
              <w:spacing w:after="0"/>
              <w:rPr>
                <w:sz w:val="20"/>
                <w:szCs w:val="20"/>
                <w:color w:val="auto"/>
              </w:rPr>
            </w:pPr>
            <w:r>
              <w:rPr>
                <w:rFonts w:ascii="Arial" w:cs="Arial" w:eastAsia="Arial" w:hAnsi="Arial"/>
                <w:sz w:val="18"/>
                <w:szCs w:val="18"/>
                <w:color w:val="auto"/>
                <w:w w:val="98"/>
              </w:rPr>
              <w:t>537,351</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   581,428</w:t>
            </w:r>
          </w:p>
        </w:tc>
        <w:tc>
          <w:tcPr>
            <w:tcW w:w="112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 (44,077)</w:t>
            </w: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-7.6%</w:t>
            </w:r>
          </w:p>
        </w:tc>
      </w:tr>
    </w:tbl>
    <w:p>
      <w:pPr>
        <w:spacing w:after="0" w:line="220" w:lineRule="exact"/>
        <w:rPr>
          <w:sz w:val="20"/>
          <w:szCs w:val="20"/>
          <w:color w:val="auto"/>
        </w:rPr>
      </w:pPr>
    </w:p>
    <w:p>
      <w:pPr>
        <w:jc w:val="both"/>
        <w:ind w:right="240" w:firstLine="637"/>
        <w:spacing w:after="0" w:line="255" w:lineRule="auto"/>
        <w:rPr>
          <w:sz w:val="20"/>
          <w:szCs w:val="20"/>
          <w:color w:val="auto"/>
        </w:rPr>
      </w:pPr>
      <w:r>
        <w:rPr>
          <w:rFonts w:ascii="Arial" w:cs="Arial" w:eastAsia="Arial" w:hAnsi="Arial"/>
          <w:sz w:val="18"/>
          <w:szCs w:val="18"/>
          <w:color w:val="auto"/>
        </w:rPr>
        <w:t>Indirect, general and administrative expenses (“IG&amp;A”) for the three months ended September 30, 2020 and September 30, 2019 include $(1.0) million and $(1.7) million, respectively, and for the nine months ended September 30, 2020 and September 30, 2019 include $4.1 million and $45.5 million, respectively, of compensation cost (income) related to equity-based awards.</w:t>
      </w:r>
    </w:p>
    <w:p>
      <w:pPr>
        <w:spacing w:after="0" w:line="164" w:lineRule="exact"/>
        <w:rPr>
          <w:sz w:val="20"/>
          <w:szCs w:val="20"/>
          <w:color w:val="auto"/>
        </w:rPr>
      </w:pPr>
    </w:p>
    <w:p>
      <w:pPr>
        <w:ind w:right="20" w:firstLine="637"/>
        <w:spacing w:after="0" w:line="243" w:lineRule="auto"/>
        <w:rPr>
          <w:sz w:val="20"/>
          <w:szCs w:val="20"/>
          <w:color w:val="auto"/>
        </w:rPr>
      </w:pPr>
      <w:r>
        <w:rPr>
          <w:rFonts w:ascii="Arial" w:cs="Arial" w:eastAsia="Arial" w:hAnsi="Arial"/>
          <w:sz w:val="18"/>
          <w:szCs w:val="18"/>
          <w:color w:val="auto"/>
        </w:rPr>
        <w:t>Equity awards issued prior to the Company’s IPO settle in cash and are remeasured to an updated fair value at each reporting period until the award is settled. Compensation cost is trued-up at each reporting period for changes in fair value pro-rated for the portion of the requisite service period rendered. Prior to the IPO on May 8, 2019, the fair value of a share of the Company’s common stock was established by the ESOP trustee. See “Note 19 – Fair Value of Financial Instruments” in the Company’s Form 10-K for the year ended December 31, 2019 for a further discussion of how a share of the Company’s common stock was valued prior to the IPO. Subsequent to the IPO, the share price of the Company’s common stock is based on quoted prices on the New York Stock Exchange.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40" w:name="page41"/>
    <w:bookmarkEnd w:id="40"/>
    <w:p>
      <w:pPr>
        <w:ind w:right="40" w:firstLine="637"/>
        <w:spacing w:after="0" w:line="255" w:lineRule="auto"/>
        <w:rPr>
          <w:sz w:val="20"/>
          <w:szCs w:val="20"/>
          <w:color w:val="auto"/>
        </w:rPr>
      </w:pPr>
      <w:r>
        <w:rPr>
          <w:rFonts w:ascii="Arial" w:cs="Arial" w:eastAsia="Arial" w:hAnsi="Arial"/>
          <w:sz w:val="18"/>
          <w:szCs w:val="18"/>
          <w:color w:val="auto"/>
        </w:rPr>
        <w:t>Excluding the compensation costs discussed above, IG&amp;A for the three months ended September 30, 2020 and September 30, 2019 was $166.9 million and $180.2 million, respectively, and for the nine months ended September 30, 2020 and September 30, 2019 was $533.2 million and $535.9 million, respectively</w:t>
      </w:r>
    </w:p>
    <w:p>
      <w:pPr>
        <w:spacing w:after="0" w:line="164" w:lineRule="exact"/>
        <w:rPr>
          <w:sz w:val="20"/>
          <w:szCs w:val="20"/>
          <w:color w:val="auto"/>
        </w:rPr>
      </w:pPr>
    </w:p>
    <w:p>
      <w:pPr>
        <w:ind w:right="20" w:firstLine="637"/>
        <w:spacing w:after="0" w:line="248" w:lineRule="auto"/>
        <w:rPr>
          <w:sz w:val="20"/>
          <w:szCs w:val="20"/>
          <w:color w:val="auto"/>
        </w:rPr>
      </w:pPr>
      <w:r>
        <w:rPr>
          <w:rFonts w:ascii="Arial" w:cs="Arial" w:eastAsia="Arial" w:hAnsi="Arial"/>
          <w:sz w:val="18"/>
          <w:szCs w:val="18"/>
          <w:color w:val="auto"/>
        </w:rPr>
        <w:t>The decrease in IG&amp;A of $13.3 million, exclusive of equity compensation cost, for the three months ended September 30, 2020 when compared to the corresponding period last year was primarily due to a $6.5 million reduction in transaction-related costs, a $2.5 million reduction in intangible asset amortization, and a $ 6.9 million reduction in other overhead expenses. These decreases were partially offset by $2.6 million increase in expenses associated with business acquisitions.</w:t>
      </w:r>
    </w:p>
    <w:p>
      <w:pPr>
        <w:spacing w:after="0" w:line="170" w:lineRule="exact"/>
        <w:rPr>
          <w:sz w:val="20"/>
          <w:szCs w:val="20"/>
          <w:color w:val="auto"/>
        </w:rPr>
      </w:pPr>
    </w:p>
    <w:p>
      <w:pPr>
        <w:ind w:right="200" w:firstLine="637"/>
        <w:spacing w:after="0" w:line="245" w:lineRule="auto"/>
        <w:rPr>
          <w:sz w:val="20"/>
          <w:szCs w:val="20"/>
          <w:color w:val="auto"/>
        </w:rPr>
      </w:pPr>
      <w:r>
        <w:rPr>
          <w:rFonts w:ascii="Arial" w:cs="Arial" w:eastAsia="Arial" w:hAnsi="Arial"/>
          <w:sz w:val="18"/>
          <w:szCs w:val="18"/>
          <w:color w:val="auto"/>
        </w:rPr>
        <w:t>The decrease in IG&amp;A of $2.7 million, exclusive of equity compensation cost, for the nine months ended September 30, 2020 when compared to the corresponding period last year was primarily due to a $20.4 million reduction in transaction-related costs, a $7.1 million reduction in intangible asset amortization, and a $3.2 million reduction in restructuring and other expenses. These decreases were partially offset by additional expenses of $19.3 million associated with business acquisitions, $3.7 million due to a tax law change, and $5.0 million related to strategic growth initiatives and public company operating costs.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other income (expense)</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6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5"/>
                <w:szCs w:val="15"/>
                <w:color w:val="auto"/>
              </w:rPr>
            </w:pPr>
          </w:p>
        </w:tc>
        <w:tc>
          <w:tcPr>
            <w:tcW w:w="1860" w:type="dxa"/>
            <w:vAlign w:val="bottom"/>
            <w:gridSpan w:val="4"/>
          </w:tcPr>
          <w:p>
            <w:pPr>
              <w:jc w:val="right"/>
              <w:ind w:right="820"/>
              <w:spacing w:after="0"/>
              <w:rPr>
                <w:sz w:val="20"/>
                <w:szCs w:val="20"/>
                <w:color w:val="auto"/>
              </w:rPr>
            </w:pPr>
            <w:r>
              <w:rPr>
                <w:rFonts w:ascii="Arial" w:cs="Arial" w:eastAsia="Arial" w:hAnsi="Arial"/>
                <w:sz w:val="14"/>
                <w:szCs w:val="14"/>
                <w:b w:val="1"/>
                <w:bCs w:val="1"/>
                <w:color w:val="auto"/>
              </w:rPr>
              <w:t>Variance</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10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Nine Months Ended</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2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rPr>
              <w:t>Variance</w:t>
            </w:r>
          </w:p>
        </w:tc>
      </w:tr>
      <w:tr>
        <w:trPr>
          <w:trHeight w:val="154"/>
        </w:trPr>
        <w:tc>
          <w:tcPr>
            <w:tcW w:w="2500" w:type="dxa"/>
            <w:vAlign w:val="bottom"/>
          </w:tcPr>
          <w:p>
            <w:pPr>
              <w:spacing w:after="0"/>
              <w:rPr>
                <w:sz w:val="13"/>
                <w:szCs w:val="13"/>
                <w:color w:val="auto"/>
              </w:rPr>
            </w:pPr>
          </w:p>
        </w:tc>
        <w:tc>
          <w:tcPr>
            <w:tcW w:w="1180" w:type="dxa"/>
            <w:vAlign w:val="bottom"/>
            <w:tcBorders>
              <w:top w:val="single" w:sz="8" w:color="auto"/>
            </w:tcBorders>
            <w:gridSpan w:val="3"/>
          </w:tcPr>
          <w:p>
            <w:pPr>
              <w:spacing w:after="0" w:line="154" w:lineRule="exact"/>
              <w:rPr>
                <w:sz w:val="20"/>
                <w:szCs w:val="20"/>
                <w:color w:val="auto"/>
              </w:rPr>
            </w:pPr>
            <w:r>
              <w:rPr>
                <w:rFonts w:ascii="Arial" w:cs="Arial" w:eastAsia="Arial" w:hAnsi="Arial"/>
                <w:sz w:val="14"/>
                <w:szCs w:val="14"/>
                <w:b w:val="1"/>
                <w:bCs w:val="1"/>
                <w:color w:val="auto"/>
              </w:rPr>
              <w:t>September 30,</w:t>
            </w:r>
          </w:p>
        </w:tc>
        <w:tc>
          <w:tcPr>
            <w:tcW w:w="980" w:type="dxa"/>
            <w:vAlign w:val="bottom"/>
            <w:tcBorders>
              <w:top w:val="single" w:sz="8" w:color="auto"/>
            </w:tcBorders>
            <w:gridSpan w:val="2"/>
          </w:tcPr>
          <w:p>
            <w:pPr>
              <w:spacing w:after="0" w:line="154" w:lineRule="exact"/>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20" w:type="dxa"/>
            <w:vAlign w:val="bottom"/>
            <w:tcBorders>
              <w:top w:val="single" w:sz="8" w:color="auto"/>
            </w:tcBorders>
            <w:gridSpan w:val="3"/>
          </w:tcPr>
          <w:p>
            <w:pPr>
              <w:spacing w:after="0" w:line="154" w:lineRule="exact"/>
              <w:rPr>
                <w:sz w:val="20"/>
                <w:szCs w:val="20"/>
                <w:color w:val="auto"/>
              </w:rPr>
            </w:pPr>
            <w:r>
              <w:rPr>
                <w:rFonts w:ascii="Arial" w:cs="Arial" w:eastAsia="Arial" w:hAnsi="Arial"/>
                <w:sz w:val="14"/>
                <w:szCs w:val="14"/>
                <w:b w:val="1"/>
                <w:bCs w:val="1"/>
                <w:color w:val="auto"/>
              </w:rPr>
              <w:t>September 30,</w:t>
            </w:r>
          </w:p>
        </w:tc>
        <w:tc>
          <w:tcPr>
            <w:tcW w:w="1060" w:type="dxa"/>
            <w:vAlign w:val="bottom"/>
            <w:tcBorders>
              <w:top w:val="single" w:sz="8" w:color="auto"/>
            </w:tcBorders>
            <w:gridSpan w:val="3"/>
          </w:tcPr>
          <w:p>
            <w:pPr>
              <w:ind w:left="80"/>
              <w:spacing w:after="0" w:line="154" w:lineRule="exact"/>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r>
      <w:tr>
        <w:trPr>
          <w:trHeight w:val="177"/>
        </w:trPr>
        <w:tc>
          <w:tcPr>
            <w:tcW w:w="250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auto"/>
              </w:rPr>
              <w:t>(U.S. dollars in thousands)</w:t>
            </w: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Dollar</w:t>
            </w:r>
          </w:p>
        </w:tc>
        <w:tc>
          <w:tcPr>
            <w:tcW w:w="200" w:type="dxa"/>
            <w:vAlign w:val="bottom"/>
            <w:tcBorders>
              <w:bottom w:val="single" w:sz="8" w:color="CFF0FC"/>
            </w:tcBorders>
          </w:tcPr>
          <w:p>
            <w:pPr>
              <w:spacing w:after="0"/>
              <w:rPr>
                <w:sz w:val="15"/>
                <w:szCs w:val="15"/>
                <w:color w:val="auto"/>
              </w:rPr>
            </w:pPr>
          </w:p>
        </w:tc>
        <w:tc>
          <w:tcPr>
            <w:tcW w:w="78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Percent</w:t>
            </w:r>
          </w:p>
        </w:tc>
        <w:tc>
          <w:tcPr>
            <w:tcW w:w="220" w:type="dxa"/>
            <w:vAlign w:val="bottom"/>
            <w:tcBorders>
              <w:bottom w:val="single" w:sz="8" w:color="CFF0FC"/>
            </w:tcBorders>
          </w:tcPr>
          <w:p>
            <w:pPr>
              <w:spacing w:after="0"/>
              <w:rPr>
                <w:sz w:val="15"/>
                <w:szCs w:val="15"/>
                <w:color w:val="auto"/>
              </w:rPr>
            </w:pPr>
          </w:p>
        </w:tc>
        <w:tc>
          <w:tcPr>
            <w:tcW w:w="4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FF0FC"/>
            </w:tcBorders>
          </w:tcPr>
          <w:p>
            <w:pPr>
              <w:spacing w:after="0"/>
              <w:rPr>
                <w:sz w:val="15"/>
                <w:szCs w:val="15"/>
                <w:color w:val="auto"/>
              </w:rPr>
            </w:pPr>
          </w:p>
        </w:tc>
        <w:tc>
          <w:tcPr>
            <w:tcW w:w="6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Dollar</w:t>
            </w:r>
          </w:p>
        </w:tc>
        <w:tc>
          <w:tcPr>
            <w:tcW w:w="200" w:type="dxa"/>
            <w:vAlign w:val="bottom"/>
            <w:tcBorders>
              <w:bottom w:val="single" w:sz="8" w:color="CFF0FC"/>
            </w:tcBorders>
          </w:tcPr>
          <w:p>
            <w:pPr>
              <w:spacing w:after="0"/>
              <w:rPr>
                <w:sz w:val="15"/>
                <w:szCs w:val="15"/>
                <w:color w:val="auto"/>
              </w:rPr>
            </w:pPr>
          </w:p>
        </w:tc>
        <w:tc>
          <w:tcPr>
            <w:tcW w:w="80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Percent</w:t>
            </w:r>
          </w:p>
        </w:tc>
        <w:tc>
          <w:tcPr>
            <w:tcW w:w="180" w:type="dxa"/>
            <w:vAlign w:val="bottom"/>
            <w:tcBorders>
              <w:bottom w:val="single" w:sz="8" w:color="CFF0FC"/>
            </w:tcBorders>
          </w:tcPr>
          <w:p>
            <w:pPr>
              <w:spacing w:after="0"/>
              <w:rPr>
                <w:sz w:val="15"/>
                <w:szCs w:val="15"/>
                <w:color w:val="auto"/>
              </w:rPr>
            </w:pPr>
          </w:p>
        </w:tc>
      </w:tr>
      <w:tr>
        <w:trPr>
          <w:trHeight w:val="209"/>
        </w:trPr>
        <w:tc>
          <w:tcPr>
            <w:tcW w:w="2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w:t>
            </w: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427</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(339)</w:t>
            </w:r>
          </w:p>
        </w:tc>
        <w:tc>
          <w:tcPr>
            <w:tcW w:w="2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-79.4%</w:t>
            </w:r>
          </w:p>
        </w:tc>
        <w:tc>
          <w:tcPr>
            <w:tcW w:w="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512</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1,129</w:t>
            </w: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(617)</w:t>
            </w:r>
          </w:p>
        </w:tc>
        <w:tc>
          <w:tcPr>
            <w:tcW w:w="2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-54.7%</w:t>
            </w:r>
          </w:p>
        </w:tc>
      </w:tr>
      <w:tr>
        <w:trPr>
          <w:trHeight w:val="216"/>
        </w:trPr>
        <w:tc>
          <w:tcPr>
            <w:tcW w:w="2500" w:type="dxa"/>
            <w:vAlign w:val="bottom"/>
          </w:tcPr>
          <w:p>
            <w:pPr>
              <w:ind w:left="26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(5,475)</w:t>
            </w:r>
          </w:p>
        </w:tc>
        <w:tc>
          <w:tcPr>
            <w:tcW w:w="2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(4,909)</w:t>
            </w:r>
          </w:p>
        </w:tc>
        <w:tc>
          <w:tcPr>
            <w:tcW w:w="14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(566)</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11.5%</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(13,656)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(19,577)</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5,921</w:t>
            </w:r>
          </w:p>
        </w:tc>
        <w:tc>
          <w:tcPr>
            <w:tcW w:w="2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-30.2%</w:t>
            </w:r>
          </w:p>
        </w:tc>
      </w:tr>
      <w:tr>
        <w:trPr>
          <w:trHeight w:val="193"/>
        </w:trPr>
        <w:tc>
          <w:tcPr>
            <w:tcW w:w="2500" w:type="dxa"/>
            <w:vAlign w:val="bottom"/>
            <w:shd w:val="clear" w:color="auto" w:fill="CFF0FC"/>
          </w:tcPr>
          <w:p>
            <w:pPr>
              <w:ind w:left="260"/>
              <w:spacing w:after="0" w:line="193" w:lineRule="exact"/>
              <w:rPr>
                <w:sz w:val="20"/>
                <w:szCs w:val="20"/>
                <w:color w:val="auto"/>
              </w:rPr>
            </w:pPr>
            <w:r>
              <w:rPr>
                <w:rFonts w:ascii="Arial" w:cs="Arial" w:eastAsia="Arial" w:hAnsi="Arial"/>
                <w:sz w:val="18"/>
                <w:szCs w:val="18"/>
                <w:color w:val="auto"/>
              </w:rPr>
              <w:t>Other income (expense),</w:t>
            </w:r>
          </w:p>
        </w:tc>
        <w:tc>
          <w:tcPr>
            <w:tcW w:w="20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r>
      <w:tr>
        <w:trPr>
          <w:trHeight w:val="225"/>
        </w:trPr>
        <w:tc>
          <w:tcPr>
            <w:tcW w:w="2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w:t>
            </w: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1,653</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(3,127)</w:t>
            </w: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4,780</w:t>
            </w:r>
          </w:p>
        </w:tc>
        <w:tc>
          <w:tcPr>
            <w:tcW w:w="2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-152.9%</w:t>
            </w: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1,916</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(1,580)</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3,496</w:t>
            </w: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-221.3%</w:t>
            </w:r>
          </w:p>
        </w:tc>
      </w:tr>
      <w:tr>
        <w:trPr>
          <w:trHeight w:val="187"/>
        </w:trPr>
        <w:tc>
          <w:tcPr>
            <w:tcW w:w="2500" w:type="dxa"/>
            <w:vAlign w:val="bottom"/>
          </w:tcPr>
          <w:p>
            <w:pPr>
              <w:ind w:left="260"/>
              <w:spacing w:after="0" w:line="187" w:lineRule="exact"/>
              <w:rPr>
                <w:sz w:val="20"/>
                <w:szCs w:val="20"/>
                <w:color w:val="auto"/>
              </w:rPr>
            </w:pPr>
            <w:r>
              <w:rPr>
                <w:rFonts w:ascii="Arial" w:cs="Arial" w:eastAsia="Arial" w:hAnsi="Arial"/>
                <w:sz w:val="18"/>
                <w:szCs w:val="18"/>
                <w:color w:val="auto"/>
              </w:rPr>
              <w:t>Total other income</w:t>
            </w:r>
          </w:p>
        </w:tc>
        <w:tc>
          <w:tcPr>
            <w:tcW w:w="2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r>
      <w:tr>
        <w:trPr>
          <w:trHeight w:val="225"/>
        </w:trPr>
        <w:tc>
          <w:tcPr>
            <w:tcW w:w="2500" w:type="dxa"/>
            <w:vAlign w:val="bottom"/>
          </w:tcPr>
          <w:p>
            <w:pPr>
              <w:ind w:left="260"/>
              <w:spacing w:after="0"/>
              <w:rPr>
                <w:sz w:val="20"/>
                <w:szCs w:val="20"/>
                <w:color w:val="auto"/>
              </w:rPr>
            </w:pPr>
            <w:r>
              <w:rPr>
                <w:rFonts w:ascii="Arial" w:cs="Arial" w:eastAsia="Arial" w:hAnsi="Arial"/>
                <w:sz w:val="18"/>
                <w:szCs w:val="18"/>
                <w:color w:val="auto"/>
              </w:rPr>
              <w:t>(expense)</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(3,734)</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(7,609)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3,875</w:t>
            </w:r>
          </w:p>
        </w:tc>
        <w:tc>
          <w:tcPr>
            <w:tcW w:w="20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-50.9%</w:t>
            </w:r>
          </w:p>
        </w:tc>
        <w:tc>
          <w:tcPr>
            <w:tcW w:w="2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(11,228)</w:t>
            </w:r>
          </w:p>
        </w:tc>
        <w:tc>
          <w:tcPr>
            <w:tcW w:w="2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(20,028)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8,800</w:t>
            </w:r>
          </w:p>
        </w:tc>
        <w:tc>
          <w:tcPr>
            <w:tcW w:w="20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-43.9%</w:t>
            </w:r>
          </w:p>
        </w:tc>
      </w:tr>
      <w:tr>
        <w:trPr>
          <w:trHeight w:val="20"/>
        </w:trPr>
        <w:tc>
          <w:tcPr>
            <w:tcW w:w="25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20" w:lineRule="exact"/>
        <w:rPr>
          <w:sz w:val="20"/>
          <w:szCs w:val="20"/>
          <w:color w:val="auto"/>
        </w:rPr>
      </w:pPr>
    </w:p>
    <w:p>
      <w:pPr>
        <w:jc w:val="both"/>
        <w:ind w:right="80" w:firstLine="637"/>
        <w:spacing w:after="0" w:line="255" w:lineRule="auto"/>
        <w:rPr>
          <w:sz w:val="20"/>
          <w:szCs w:val="20"/>
          <w:color w:val="auto"/>
        </w:rPr>
      </w:pPr>
      <w:r>
        <w:rPr>
          <w:rFonts w:ascii="Arial" w:cs="Arial" w:eastAsia="Arial" w:hAnsi="Arial"/>
          <w:sz w:val="18"/>
          <w:szCs w:val="18"/>
          <w:color w:val="auto"/>
        </w:rPr>
        <w:t>Interest income is related to interest earned on cash balances held. Interest expense is primarily due to debt related to our business acquisitions and Convertible Senior Note. The amounts in other income (expense), net are primarily related to transaction gains and losses on foreign currency transactions and sublease income.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60" w:type="dxa"/>
            <w:vAlign w:val="bottom"/>
            <w:gridSpan w:val="4"/>
          </w:tcPr>
          <w:p>
            <w:pPr>
              <w:ind w:left="140"/>
              <w:spacing w:after="0"/>
              <w:rPr>
                <w:sz w:val="20"/>
                <w:szCs w:val="20"/>
                <w:color w:val="auto"/>
              </w:rPr>
            </w:pPr>
            <w:r>
              <w:rPr>
                <w:rFonts w:ascii="Arial" w:cs="Arial" w:eastAsia="Arial" w:hAnsi="Arial"/>
                <w:sz w:val="14"/>
                <w:szCs w:val="14"/>
                <w:b w:val="1"/>
                <w:bCs w:val="1"/>
                <w:color w:val="auto"/>
              </w:rPr>
              <w:t>Three Months Ended</w:t>
            </w:r>
          </w:p>
        </w:tc>
        <w:tc>
          <w:tcPr>
            <w:tcW w:w="60" w:type="dxa"/>
            <w:vAlign w:val="bottom"/>
          </w:tcPr>
          <w:p>
            <w:pPr>
              <w:spacing w:after="0"/>
              <w:rPr>
                <w:sz w:val="15"/>
                <w:szCs w:val="15"/>
                <w:color w:val="auto"/>
              </w:rPr>
            </w:pPr>
          </w:p>
        </w:tc>
        <w:tc>
          <w:tcPr>
            <w:tcW w:w="2060" w:type="dxa"/>
            <w:vAlign w:val="bottom"/>
            <w:gridSpan w:val="5"/>
          </w:tcPr>
          <w:p>
            <w:pPr>
              <w:ind w:left="500"/>
              <w:spacing w:after="0"/>
              <w:rPr>
                <w:sz w:val="20"/>
                <w:szCs w:val="20"/>
                <w:color w:val="auto"/>
              </w:rPr>
            </w:pPr>
            <w:r>
              <w:rPr>
                <w:rFonts w:ascii="Arial" w:cs="Arial" w:eastAsia="Arial" w:hAnsi="Arial"/>
                <w:sz w:val="14"/>
                <w:szCs w:val="14"/>
                <w:b w:val="1"/>
                <w:bCs w:val="1"/>
                <w:color w:val="auto"/>
              </w:rPr>
              <w:t>Variance</w:t>
            </w:r>
          </w:p>
        </w:tc>
        <w:tc>
          <w:tcPr>
            <w:tcW w:w="2140" w:type="dxa"/>
            <w:vAlign w:val="bottom"/>
            <w:gridSpan w:val="4"/>
          </w:tcPr>
          <w:p>
            <w:pPr>
              <w:ind w:left="180"/>
              <w:spacing w:after="0"/>
              <w:rPr>
                <w:sz w:val="20"/>
                <w:szCs w:val="20"/>
                <w:color w:val="auto"/>
              </w:rPr>
            </w:pPr>
            <w:r>
              <w:rPr>
                <w:rFonts w:ascii="Arial" w:cs="Arial" w:eastAsia="Arial" w:hAnsi="Arial"/>
                <w:sz w:val="14"/>
                <w:szCs w:val="14"/>
                <w:b w:val="1"/>
                <w:bCs w:val="1"/>
                <w:color w:val="auto"/>
              </w:rPr>
              <w:t>Nine Months Ended</w:t>
            </w:r>
          </w:p>
        </w:tc>
        <w:tc>
          <w:tcPr>
            <w:tcW w:w="186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rPr>
              <w:t>Variance</w:t>
            </w:r>
          </w:p>
        </w:tc>
      </w:tr>
      <w:tr>
        <w:trPr>
          <w:trHeight w:val="154"/>
        </w:trPr>
        <w:tc>
          <w:tcPr>
            <w:tcW w:w="2840" w:type="dxa"/>
            <w:vAlign w:val="bottom"/>
          </w:tcPr>
          <w:p>
            <w:pPr>
              <w:spacing w:after="0"/>
              <w:rPr>
                <w:sz w:val="13"/>
                <w:szCs w:val="13"/>
                <w:color w:val="auto"/>
              </w:rPr>
            </w:pPr>
          </w:p>
        </w:tc>
        <w:tc>
          <w:tcPr>
            <w:tcW w:w="1160" w:type="dxa"/>
            <w:vAlign w:val="bottom"/>
            <w:tcBorders>
              <w:top w:val="single" w:sz="8" w:color="auto"/>
            </w:tcBorders>
            <w:gridSpan w:val="3"/>
          </w:tcPr>
          <w:p>
            <w:pPr>
              <w:spacing w:after="0" w:line="154" w:lineRule="exact"/>
              <w:rPr>
                <w:sz w:val="20"/>
                <w:szCs w:val="20"/>
                <w:color w:val="auto"/>
              </w:rPr>
            </w:pPr>
            <w:r>
              <w:rPr>
                <w:rFonts w:ascii="Arial" w:cs="Arial" w:eastAsia="Arial" w:hAnsi="Arial"/>
                <w:sz w:val="14"/>
                <w:szCs w:val="14"/>
                <w:b w:val="1"/>
                <w:bCs w:val="1"/>
                <w:color w:val="auto"/>
              </w:rPr>
              <w:t>September 30,</w:t>
            </w:r>
          </w:p>
        </w:tc>
        <w:tc>
          <w:tcPr>
            <w:tcW w:w="980" w:type="dxa"/>
            <w:vAlign w:val="bottom"/>
            <w:tcBorders>
              <w:top w:val="single" w:sz="8" w:color="auto"/>
            </w:tcBorders>
          </w:tcPr>
          <w:p>
            <w:pPr>
              <w:spacing w:after="0" w:line="154" w:lineRule="exact"/>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Borders>
              <w:top w:val="single" w:sz="8" w:color="auto"/>
            </w:tcBorders>
            <w:gridSpan w:val="2"/>
          </w:tcPr>
          <w:p>
            <w:pPr>
              <w:spacing w:after="0" w:line="154" w:lineRule="exact"/>
              <w:rPr>
                <w:sz w:val="20"/>
                <w:szCs w:val="20"/>
                <w:color w:val="auto"/>
              </w:rPr>
            </w:pPr>
            <w:r>
              <w:rPr>
                <w:rFonts w:ascii="Arial" w:cs="Arial" w:eastAsia="Arial" w:hAnsi="Arial"/>
                <w:sz w:val="14"/>
                <w:szCs w:val="14"/>
                <w:b w:val="1"/>
                <w:bCs w:val="1"/>
                <w:color w:val="auto"/>
              </w:rPr>
              <w:t>September 30,</w:t>
            </w:r>
          </w:p>
        </w:tc>
        <w:tc>
          <w:tcPr>
            <w:tcW w:w="1160" w:type="dxa"/>
            <w:vAlign w:val="bottom"/>
            <w:tcBorders>
              <w:top w:val="single" w:sz="8" w:color="auto"/>
            </w:tcBorders>
            <w:gridSpan w:val="2"/>
          </w:tcPr>
          <w:p>
            <w:pPr>
              <w:ind w:left="180"/>
              <w:spacing w:after="0" w:line="154" w:lineRule="exact"/>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r>
      <w:tr>
        <w:trPr>
          <w:trHeight w:val="177"/>
        </w:trPr>
        <w:tc>
          <w:tcPr>
            <w:tcW w:w="284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auto"/>
              </w:rPr>
              <w:t>(U.S. dollars in thousands)</w:t>
            </w: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62"/>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5"/>
                <w:szCs w:val="15"/>
                <w:color w:val="auto"/>
              </w:rPr>
            </w:pPr>
          </w:p>
        </w:tc>
        <w:tc>
          <w:tcPr>
            <w:tcW w:w="98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FF0FC"/>
            </w:tcBorders>
          </w:tcPr>
          <w:p>
            <w:pPr>
              <w:spacing w:after="0"/>
              <w:rPr>
                <w:sz w:val="15"/>
                <w:szCs w:val="15"/>
                <w:color w:val="auto"/>
              </w:rPr>
            </w:pPr>
          </w:p>
        </w:tc>
        <w:tc>
          <w:tcPr>
            <w:tcW w:w="60" w:type="dxa"/>
            <w:vAlign w:val="bottom"/>
            <w:tcBorders>
              <w:bottom w:val="single" w:sz="8" w:color="CFF0FC"/>
            </w:tcBorders>
          </w:tcPr>
          <w:p>
            <w:pPr>
              <w:spacing w:after="0"/>
              <w:rPr>
                <w:sz w:val="15"/>
                <w:szCs w:val="15"/>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Dollar</w:t>
            </w:r>
          </w:p>
        </w:tc>
        <w:tc>
          <w:tcPr>
            <w:tcW w:w="160" w:type="dxa"/>
            <w:vAlign w:val="bottom"/>
            <w:tcBorders>
              <w:bottom w:val="single" w:sz="8" w:color="CFF0FC"/>
            </w:tcBorders>
          </w:tcPr>
          <w:p>
            <w:pPr>
              <w:spacing w:after="0"/>
              <w:rPr>
                <w:sz w:val="15"/>
                <w:szCs w:val="15"/>
                <w:color w:val="auto"/>
              </w:rPr>
            </w:pPr>
          </w:p>
        </w:tc>
        <w:tc>
          <w:tcPr>
            <w:tcW w:w="7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Percent</w:t>
            </w:r>
          </w:p>
        </w:tc>
        <w:tc>
          <w:tcPr>
            <w:tcW w:w="24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62"/>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5"/>
                <w:szCs w:val="15"/>
                <w:color w:val="auto"/>
              </w:rPr>
            </w:pPr>
          </w:p>
        </w:tc>
        <w:tc>
          <w:tcPr>
            <w:tcW w:w="98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FF0FC"/>
            </w:tcBorders>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Dollar</w:t>
            </w:r>
          </w:p>
        </w:tc>
        <w:tc>
          <w:tcPr>
            <w:tcW w:w="180" w:type="dxa"/>
            <w:vAlign w:val="bottom"/>
            <w:tcBorders>
              <w:bottom w:val="single" w:sz="8" w:color="CFF0FC"/>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Percent</w:t>
            </w:r>
          </w:p>
        </w:tc>
        <w:tc>
          <w:tcPr>
            <w:tcW w:w="180" w:type="dxa"/>
            <w:vAlign w:val="bottom"/>
            <w:tcBorders>
              <w:bottom w:val="single" w:sz="8" w:color="CFF0FC"/>
            </w:tcBorders>
          </w:tcPr>
          <w:p>
            <w:pPr>
              <w:spacing w:after="0"/>
              <w:rPr>
                <w:sz w:val="15"/>
                <w:szCs w:val="15"/>
                <w:color w:val="auto"/>
              </w:rPr>
            </w:pPr>
          </w:p>
        </w:tc>
      </w:tr>
      <w:tr>
        <w:trPr>
          <w:trHeight w:val="209"/>
        </w:trPr>
        <w:tc>
          <w:tcPr>
            <w:tcW w:w="284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w:t>
            </w:r>
          </w:p>
        </w:tc>
        <w:tc>
          <w:tcPr>
            <w:tcW w:w="2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16,017</w:t>
            </w: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   (15,453)</w:t>
            </w: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6"/>
              </w:rPr>
              <w:t>$ 31,470</w:t>
            </w:r>
          </w:p>
        </w:tc>
        <w:tc>
          <w:tcPr>
            <w:tcW w:w="16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-203.6%</w:t>
            </w:r>
          </w:p>
        </w:tc>
        <w:tc>
          <w:tcPr>
            <w:tcW w:w="2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32,992</w:t>
            </w: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   (67,063)</w:t>
            </w: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$ 100,055</w:t>
            </w:r>
          </w:p>
        </w:tc>
        <w:tc>
          <w:tcPr>
            <w:tcW w:w="1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-149.2%</w:t>
            </w:r>
          </w:p>
        </w:tc>
      </w:tr>
    </w:tbl>
    <w:p>
      <w:pPr>
        <w:spacing w:after="0" w:line="200" w:lineRule="exact"/>
        <w:rPr>
          <w:sz w:val="20"/>
          <w:szCs w:val="20"/>
          <w:color w:val="auto"/>
        </w:rPr>
      </w:pPr>
    </w:p>
    <w:p>
      <w:pPr>
        <w:spacing w:after="0" w:line="236" w:lineRule="exact"/>
        <w:rPr>
          <w:sz w:val="20"/>
          <w:szCs w:val="20"/>
          <w:color w:val="auto"/>
        </w:rPr>
      </w:pPr>
    </w:p>
    <w:p>
      <w:pPr>
        <w:ind w:right="80" w:firstLine="637"/>
        <w:spacing w:after="0" w:line="239" w:lineRule="auto"/>
        <w:rPr>
          <w:sz w:val="20"/>
          <w:szCs w:val="20"/>
          <w:color w:val="auto"/>
        </w:rPr>
      </w:pPr>
      <w:r>
        <w:rPr>
          <w:rFonts w:ascii="Arial" w:cs="Arial" w:eastAsia="Arial" w:hAnsi="Arial"/>
          <w:sz w:val="18"/>
          <w:szCs w:val="18"/>
          <w:color w:val="auto"/>
        </w:rPr>
        <w:t>As described in “Note 11 – Income Taxes,” in the notes to our consolidated financial statements included elsewhere in this Quarterly Report on Form 10-Q, in connection with the Company’s IPO on May 8, 2019, the Company converted from an “S” Corporation to a “C” Corporation. On a pro forma basis, if the Company had been taxed as a “C” Corporation for the three months and nine months ended September 30, 2019, the pro forma effective tax rate would have been 35.14% and 41.40%, respectively, and the pro forma income tax expense would have been $16.1 million and $19.8 million, respectively. The Company’s effective tax rate was 25.61% and 26.39% and income tax expense was $16.0 million and $33.0 million for the three months and nine months ended September 30, 2020, respectively. The most significant items contributing to the change in the effective tax rate relate to a nonrecurring item included in the third quarter of 2019 associated with equity compensation and a change in jurisdictional earnings. The difference between the statutory U.S. federal income tax rate of 21.0% and the effective tax rate for the quarter ended September 30, 2020 primarily relates to state income taxes and a recorded valuation allowance on foreign tax credits, partially offset by benefits related to income attributable to noncontrolling interest and federal research tax credits.</w:t>
      </w:r>
    </w:p>
    <w:p>
      <w:pPr>
        <w:spacing w:after="0" w:line="176" w:lineRule="exact"/>
        <w:rPr>
          <w:sz w:val="20"/>
          <w:szCs w:val="20"/>
          <w:color w:val="auto"/>
        </w:rPr>
      </w:pPr>
    </w:p>
    <w:p>
      <w:pPr>
        <w:ind w:right="20" w:firstLine="637"/>
        <w:spacing w:after="0" w:line="255" w:lineRule="auto"/>
        <w:rPr>
          <w:sz w:val="20"/>
          <w:szCs w:val="20"/>
          <w:color w:val="auto"/>
        </w:rPr>
      </w:pPr>
      <w:r>
        <w:rPr>
          <w:rFonts w:ascii="Arial" w:cs="Arial" w:eastAsia="Arial" w:hAnsi="Arial"/>
          <w:sz w:val="18"/>
          <w:szCs w:val="18"/>
          <w:color w:val="auto"/>
        </w:rPr>
        <w:t>The termination of the “S” Corporation status was treated as a change in tax status for Accounting Standards Codification 740, Income Taxes. These rules require that the deferred tax effects of a change in tax status to be recorded to income from continuing operations on the date the “S” Corporation status terminates. At the quarter ended September</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41" w:name="page42"/>
    <w:bookmarkEnd w:id="41"/>
    <w:p>
      <w:pPr>
        <w:ind w:right="20"/>
        <w:spacing w:after="0" w:line="255" w:lineRule="auto"/>
        <w:rPr>
          <w:sz w:val="20"/>
          <w:szCs w:val="20"/>
          <w:color w:val="auto"/>
        </w:rPr>
      </w:pPr>
      <w:r>
        <w:rPr>
          <w:rFonts w:ascii="Arial" w:cs="Arial" w:eastAsia="Arial" w:hAnsi="Arial"/>
          <w:sz w:val="18"/>
          <w:szCs w:val="18"/>
          <w:color w:val="auto"/>
        </w:rPr>
        <w:t>30, 2019, the Company had recorded $85 million for the estimated effect of the change in tax status, relating to the recognition of net deferred tax assets for temporary differences in existence on the date of conversion to a “C” Corporation. This estimated amount was revised to $93.9 million at December 31, 2019 and subsequently adjusted to $93.2 million upon filing of the 2019 tax returns.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Segment Results</w:t>
      </w:r>
    </w:p>
    <w:p>
      <w:pPr>
        <w:spacing w:after="0" w:line="214" w:lineRule="exact"/>
        <w:rPr>
          <w:sz w:val="20"/>
          <w:szCs w:val="20"/>
          <w:color w:val="auto"/>
        </w:rPr>
      </w:pPr>
    </w:p>
    <w:p>
      <w:pPr>
        <w:ind w:right="680" w:firstLine="637"/>
        <w:spacing w:after="0" w:line="258" w:lineRule="auto"/>
        <w:rPr>
          <w:sz w:val="20"/>
          <w:szCs w:val="20"/>
          <w:color w:val="auto"/>
        </w:rPr>
      </w:pPr>
      <w:r>
        <w:rPr>
          <w:rFonts w:ascii="Arial" w:cs="Arial" w:eastAsia="Arial" w:hAnsi="Arial"/>
          <w:sz w:val="18"/>
          <w:szCs w:val="18"/>
          <w:color w:val="auto"/>
        </w:rPr>
        <w:t>We evaluate segment operating performance using segment revenue and segment Adjusted EBITDA attributable to Parsons Corporation. Adjusted EBITDA attributable to Parsons Corporation is Adjusted EBITDA excluding Adjusted EBITDA attributable to</w:t>
      </w:r>
    </w:p>
    <w:p>
      <w:pPr>
        <w:ind w:right="160"/>
        <w:spacing w:after="0" w:line="248" w:lineRule="auto"/>
        <w:rPr>
          <w:sz w:val="20"/>
          <w:szCs w:val="20"/>
          <w:color w:val="auto"/>
        </w:rPr>
      </w:pPr>
      <w:r>
        <w:rPr>
          <w:rFonts w:ascii="Arial" w:cs="Arial" w:eastAsia="Arial" w:hAnsi="Arial"/>
          <w:sz w:val="18"/>
          <w:szCs w:val="18"/>
          <w:color w:val="auto"/>
        </w:rPr>
        <w:t>noncontrolling interests. Presented above, in this Management’s Discussion and Analysis of Financial Condition and Results of Operations, is a discussion of our definition of Adjusted EBITDA, how we use this metric, why we present this metric and the material limitations on the usefulness of this metric. See “Note 18—Segments Information” in the notes to the consolidated financial statements in this Form 10-Q for further discussion regarding our segment Adjusted EBITDA attributable to Parsons Corporation.</w:t>
      </w:r>
    </w:p>
    <w:p>
      <w:pPr>
        <w:spacing w:after="0" w:line="171" w:lineRule="exact"/>
        <w:rPr>
          <w:sz w:val="20"/>
          <w:szCs w:val="20"/>
          <w:color w:val="auto"/>
        </w:rPr>
      </w:pPr>
    </w:p>
    <w:p>
      <w:pPr>
        <w:ind w:right="240" w:firstLine="637"/>
        <w:spacing w:after="0" w:line="276" w:lineRule="auto"/>
        <w:rPr>
          <w:sz w:val="20"/>
          <w:szCs w:val="20"/>
          <w:color w:val="auto"/>
        </w:rPr>
      </w:pPr>
      <w:r>
        <w:rPr>
          <w:rFonts w:ascii="Arial" w:cs="Arial" w:eastAsia="Arial" w:hAnsi="Arial"/>
          <w:sz w:val="18"/>
          <w:szCs w:val="18"/>
          <w:color w:val="auto"/>
        </w:rPr>
        <w:t>The following table shows Adjusted EBITDA attributable to Parsons Corporation for each of our reportable segments and Adjusted EBITDA attributable to noncontrolling interests:</w:t>
      </w:r>
    </w:p>
    <w:p>
      <w:pPr>
        <w:spacing w:after="0" w:line="247" w:lineRule="exact"/>
        <w:rPr>
          <w:sz w:val="20"/>
          <w:szCs w:val="20"/>
          <w:color w:val="auto"/>
        </w:rPr>
      </w:pPr>
    </w:p>
    <w:tbl>
      <w:tblPr>
        <w:tblLayout w:type="fixed"/>
        <w:tblInd w:w="580" w:type="dxa"/>
        <w:tblCellMar>
          <w:top w:w="0" w:type="dxa"/>
          <w:left w:w="0" w:type="dxa"/>
          <w:bottom w:w="0" w:type="dxa"/>
          <w:right w:w="0" w:type="dxa"/>
        </w:tblCellMar>
      </w:tblPr>
      <w:tr>
        <w:trPr>
          <w:trHeight w:val="177"/>
        </w:trPr>
        <w:tc>
          <w:tcPr>
            <w:tcW w:w="5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60" w:type="dxa"/>
            <w:vAlign w:val="bottom"/>
            <w:gridSpan w:val="4"/>
          </w:tcPr>
          <w:p>
            <w:pPr>
              <w:jc w:val="right"/>
              <w:ind w:right="354"/>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60" w:type="dxa"/>
            <w:vAlign w:val="bottom"/>
            <w:gridSpan w:val="5"/>
          </w:tcPr>
          <w:p>
            <w:pPr>
              <w:ind w:left="240"/>
              <w:spacing w:after="0"/>
              <w:rPr>
                <w:sz w:val="20"/>
                <w:szCs w:val="20"/>
                <w:color w:val="auto"/>
              </w:rPr>
            </w:pPr>
            <w:r>
              <w:rPr>
                <w:rFonts w:ascii="Arial" w:cs="Arial" w:eastAsia="Arial" w:hAnsi="Arial"/>
                <w:sz w:val="14"/>
                <w:szCs w:val="14"/>
                <w:b w:val="1"/>
                <w:bCs w:val="1"/>
                <w:color w:val="auto"/>
              </w:rPr>
              <w:t>Nine Months Ended</w:t>
            </w:r>
          </w:p>
        </w:tc>
      </w:tr>
      <w:tr>
        <w:trPr>
          <w:trHeight w:val="154"/>
        </w:trPr>
        <w:tc>
          <w:tcPr>
            <w:tcW w:w="5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Borders>
              <w:top w:val="single" w:sz="8" w:color="auto"/>
            </w:tcBorders>
            <w:gridSpan w:val="3"/>
          </w:tcPr>
          <w:p>
            <w:pPr>
              <w:ind w:left="20"/>
              <w:spacing w:after="0" w:line="154" w:lineRule="exact"/>
              <w:rPr>
                <w:sz w:val="20"/>
                <w:szCs w:val="20"/>
                <w:color w:val="auto"/>
              </w:rPr>
            </w:pPr>
            <w:r>
              <w:rPr>
                <w:rFonts w:ascii="Arial" w:cs="Arial" w:eastAsia="Arial" w:hAnsi="Arial"/>
                <w:sz w:val="14"/>
                <w:szCs w:val="14"/>
                <w:b w:val="1"/>
                <w:bCs w:val="1"/>
                <w:color w:val="auto"/>
              </w:rPr>
              <w:t>September 30,</w:t>
            </w:r>
          </w:p>
        </w:tc>
        <w:tc>
          <w:tcPr>
            <w:tcW w:w="1040" w:type="dxa"/>
            <w:vAlign w:val="bottom"/>
            <w:tcBorders>
              <w:top w:val="single" w:sz="8" w:color="auto"/>
            </w:tcBorders>
            <w:gridSpan w:val="2"/>
          </w:tcPr>
          <w:p>
            <w:pPr>
              <w:ind w:left="20"/>
              <w:spacing w:after="0" w:line="154"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3"/>
                <w:szCs w:val="13"/>
                <w:color w:val="auto"/>
              </w:rPr>
            </w:pPr>
          </w:p>
        </w:tc>
        <w:tc>
          <w:tcPr>
            <w:tcW w:w="1260" w:type="dxa"/>
            <w:vAlign w:val="bottom"/>
            <w:tcBorders>
              <w:top w:val="single" w:sz="8" w:color="auto"/>
            </w:tcBorders>
            <w:gridSpan w:val="3"/>
          </w:tcPr>
          <w:p>
            <w:pPr>
              <w:ind w:left="20"/>
              <w:spacing w:after="0" w:line="154" w:lineRule="exact"/>
              <w:rPr>
                <w:sz w:val="20"/>
                <w:szCs w:val="20"/>
                <w:color w:val="auto"/>
              </w:rPr>
            </w:pPr>
            <w:r>
              <w:rPr>
                <w:rFonts w:ascii="Arial" w:cs="Arial" w:eastAsia="Arial" w:hAnsi="Arial"/>
                <w:sz w:val="14"/>
                <w:szCs w:val="14"/>
                <w:b w:val="1"/>
                <w:bCs w:val="1"/>
                <w:color w:val="auto"/>
              </w:rPr>
              <w:t>September 30,</w:t>
            </w:r>
          </w:p>
        </w:tc>
        <w:tc>
          <w:tcPr>
            <w:tcW w:w="1040" w:type="dxa"/>
            <w:vAlign w:val="bottom"/>
            <w:tcBorders>
              <w:top w:val="single" w:sz="8" w:color="auto"/>
            </w:tcBorders>
            <w:gridSpan w:val="2"/>
          </w:tcPr>
          <w:p>
            <w:pPr>
              <w:ind w:left="20"/>
              <w:spacing w:after="0" w:line="154" w:lineRule="exact"/>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3"/>
                <w:szCs w:val="13"/>
                <w:color w:val="auto"/>
              </w:rPr>
            </w:pPr>
          </w:p>
        </w:tc>
      </w:tr>
      <w:tr>
        <w:trPr>
          <w:trHeight w:val="177"/>
        </w:trPr>
        <w:tc>
          <w:tcPr>
            <w:tcW w:w="508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auto"/>
              </w:rPr>
              <w:t>(U.S. dollars in thousands)</w:t>
            </w:r>
          </w:p>
        </w:tc>
        <w:tc>
          <w:tcPr>
            <w:tcW w:w="1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5"/>
                <w:szCs w:val="15"/>
                <w:color w:val="auto"/>
              </w:rPr>
            </w:pPr>
          </w:p>
        </w:tc>
      </w:tr>
      <w:tr>
        <w:trPr>
          <w:trHeight w:val="187"/>
        </w:trPr>
        <w:tc>
          <w:tcPr>
            <w:tcW w:w="5080" w:type="dxa"/>
            <w:vAlign w:val="bottom"/>
            <w:shd w:val="clear" w:color="auto" w:fill="CFF0FC"/>
          </w:tcPr>
          <w:p>
            <w:pPr>
              <w:spacing w:after="0" w:line="187" w:lineRule="exact"/>
              <w:rPr>
                <w:sz w:val="20"/>
                <w:szCs w:val="20"/>
                <w:color w:val="auto"/>
              </w:rPr>
            </w:pPr>
            <w:r>
              <w:rPr>
                <w:rFonts w:ascii="Arial" w:cs="Arial" w:eastAsia="Arial" w:hAnsi="Arial"/>
                <w:sz w:val="18"/>
                <w:szCs w:val="18"/>
                <w:color w:val="auto"/>
              </w:rPr>
              <w:t>Federal Solutions Adjusted EBITDA attributable to Parsons</w:t>
            </w: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25"/>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Corporation</w:t>
            </w:r>
          </w:p>
        </w:tc>
        <w:tc>
          <w:tcPr>
            <w:tcW w:w="340" w:type="dxa"/>
            <w:vAlign w:val="bottom"/>
            <w:gridSpan w:val="2"/>
            <w:shd w:val="clear" w:color="auto" w:fill="CFF0FC"/>
          </w:tcPr>
          <w:p>
            <w:pPr>
              <w:jc w:val="right"/>
              <w:ind w:right="39"/>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45,874</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50,359</w:t>
            </w:r>
          </w:p>
        </w:tc>
        <w:tc>
          <w:tcPr>
            <w:tcW w:w="46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125,191</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126,658</w:t>
            </w:r>
          </w:p>
        </w:tc>
        <w:tc>
          <w:tcPr>
            <w:tcW w:w="100" w:type="dxa"/>
            <w:vAlign w:val="bottom"/>
            <w:shd w:val="clear" w:color="auto" w:fill="CFF0FC"/>
          </w:tcPr>
          <w:p>
            <w:pPr>
              <w:spacing w:after="0"/>
              <w:rPr>
                <w:sz w:val="19"/>
                <w:szCs w:val="19"/>
                <w:color w:val="auto"/>
              </w:rPr>
            </w:pPr>
          </w:p>
        </w:tc>
      </w:tr>
      <w:tr>
        <w:trPr>
          <w:trHeight w:val="193"/>
        </w:trPr>
        <w:tc>
          <w:tcPr>
            <w:tcW w:w="5080" w:type="dxa"/>
            <w:vAlign w:val="bottom"/>
          </w:tcPr>
          <w:p>
            <w:pPr>
              <w:spacing w:after="0" w:line="193" w:lineRule="exact"/>
              <w:rPr>
                <w:sz w:val="20"/>
                <w:szCs w:val="20"/>
                <w:color w:val="auto"/>
              </w:rPr>
            </w:pPr>
            <w:r>
              <w:rPr>
                <w:rFonts w:ascii="Arial" w:cs="Arial" w:eastAsia="Arial" w:hAnsi="Arial"/>
                <w:sz w:val="18"/>
                <w:szCs w:val="18"/>
                <w:color w:val="auto"/>
              </w:rPr>
              <w:t>Critical Infrastructure Adjusted EBITDA attributable to Parsons</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5"/>
        </w:trPr>
        <w:tc>
          <w:tcPr>
            <w:tcW w:w="5080" w:type="dxa"/>
            <w:vAlign w:val="bottom"/>
          </w:tcPr>
          <w:p>
            <w:pPr>
              <w:spacing w:after="0"/>
              <w:rPr>
                <w:sz w:val="20"/>
                <w:szCs w:val="20"/>
                <w:color w:val="auto"/>
              </w:rPr>
            </w:pPr>
            <w:r>
              <w:rPr>
                <w:rFonts w:ascii="Arial" w:cs="Arial" w:eastAsia="Arial" w:hAnsi="Arial"/>
                <w:sz w:val="18"/>
                <w:szCs w:val="18"/>
                <w:color w:val="auto"/>
              </w:rPr>
              <w:t>Corporation</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48,856</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33,976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111,732</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102,177</w:t>
            </w:r>
          </w:p>
        </w:tc>
        <w:tc>
          <w:tcPr>
            <w:tcW w:w="100" w:type="dxa"/>
            <w:vAlign w:val="bottom"/>
          </w:tcPr>
          <w:p>
            <w:pPr>
              <w:spacing w:after="0"/>
              <w:rPr>
                <w:sz w:val="19"/>
                <w:szCs w:val="19"/>
                <w:color w:val="auto"/>
              </w:rPr>
            </w:pPr>
          </w:p>
        </w:tc>
      </w:tr>
      <w:tr>
        <w:trPr>
          <w:trHeight w:val="216"/>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Adjusted EBITDA attributable to noncontrolling interests</w:t>
            </w:r>
          </w:p>
        </w:tc>
        <w:tc>
          <w:tcPr>
            <w:tcW w:w="12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6,071</w:t>
            </w:r>
          </w:p>
        </w:tc>
        <w:tc>
          <w:tcPr>
            <w:tcW w:w="20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4,655</w:t>
            </w:r>
          </w:p>
        </w:tc>
        <w:tc>
          <w:tcPr>
            <w:tcW w:w="22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15,535</w:t>
            </w:r>
          </w:p>
        </w:tc>
        <w:tc>
          <w:tcPr>
            <w:tcW w:w="22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8,384</w:t>
            </w:r>
          </w:p>
        </w:tc>
        <w:tc>
          <w:tcPr>
            <w:tcW w:w="100" w:type="dxa"/>
            <w:vAlign w:val="bottom"/>
            <w:shd w:val="clear" w:color="auto" w:fill="CFF0FC"/>
          </w:tcPr>
          <w:p>
            <w:pPr>
              <w:spacing w:after="0"/>
              <w:rPr>
                <w:sz w:val="18"/>
                <w:szCs w:val="18"/>
                <w:color w:val="auto"/>
              </w:rPr>
            </w:pPr>
          </w:p>
        </w:tc>
      </w:tr>
      <w:tr>
        <w:trPr>
          <w:trHeight w:val="210"/>
        </w:trPr>
        <w:tc>
          <w:tcPr>
            <w:tcW w:w="5080" w:type="dxa"/>
            <w:vAlign w:val="bottom"/>
          </w:tcPr>
          <w:p>
            <w:pPr>
              <w:ind w:left="240"/>
              <w:spacing w:after="0"/>
              <w:rPr>
                <w:sz w:val="20"/>
                <w:szCs w:val="20"/>
                <w:color w:val="auto"/>
              </w:rPr>
            </w:pPr>
            <w:r>
              <w:rPr>
                <w:rFonts w:ascii="Arial" w:cs="Arial" w:eastAsia="Arial" w:hAnsi="Arial"/>
                <w:sz w:val="18"/>
                <w:szCs w:val="18"/>
                <w:color w:val="auto"/>
              </w:rPr>
              <w:t>Total Adjusted EBITDA</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100,801</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88,990</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252,458</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237,219</w:t>
            </w:r>
          </w:p>
        </w:tc>
        <w:tc>
          <w:tcPr>
            <w:tcW w:w="100" w:type="dxa"/>
            <w:vAlign w:val="bottom"/>
          </w:tcPr>
          <w:p>
            <w:pPr>
              <w:spacing w:after="0"/>
              <w:rPr>
                <w:sz w:val="18"/>
                <w:szCs w:val="18"/>
                <w:color w:val="auto"/>
              </w:rPr>
            </w:pPr>
          </w:p>
        </w:tc>
      </w:tr>
      <w:tr>
        <w:trPr>
          <w:trHeight w:val="20"/>
        </w:trPr>
        <w:tc>
          <w:tcPr>
            <w:tcW w:w="5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Federal Solutions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60" w:type="dxa"/>
            <w:vAlign w:val="bottom"/>
            <w:gridSpan w:val="4"/>
          </w:tcPr>
          <w:p>
            <w:pPr>
              <w:jc w:val="right"/>
              <w:ind w:right="296"/>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5"/>
                <w:szCs w:val="15"/>
                <w:color w:val="auto"/>
              </w:rPr>
            </w:pPr>
          </w:p>
        </w:tc>
        <w:tc>
          <w:tcPr>
            <w:tcW w:w="170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Variance</w:t>
            </w:r>
          </w:p>
        </w:tc>
        <w:tc>
          <w:tcPr>
            <w:tcW w:w="140" w:type="dxa"/>
            <w:vAlign w:val="bottom"/>
          </w:tcPr>
          <w:p>
            <w:pPr>
              <w:spacing w:after="0"/>
              <w:rPr>
                <w:sz w:val="15"/>
                <w:szCs w:val="15"/>
                <w:color w:val="auto"/>
              </w:rPr>
            </w:pPr>
          </w:p>
        </w:tc>
        <w:tc>
          <w:tcPr>
            <w:tcW w:w="2020" w:type="dxa"/>
            <w:vAlign w:val="bottom"/>
            <w:gridSpan w:val="4"/>
          </w:tcPr>
          <w:p>
            <w:pPr>
              <w:jc w:val="right"/>
              <w:ind w:right="336"/>
              <w:spacing w:after="0"/>
              <w:rPr>
                <w:sz w:val="20"/>
                <w:szCs w:val="20"/>
                <w:color w:val="auto"/>
              </w:rPr>
            </w:pPr>
            <w:r>
              <w:rPr>
                <w:rFonts w:ascii="Arial" w:cs="Arial" w:eastAsia="Arial" w:hAnsi="Arial"/>
                <w:sz w:val="14"/>
                <w:szCs w:val="14"/>
                <w:b w:val="1"/>
                <w:bCs w:val="1"/>
                <w:color w:val="auto"/>
              </w:rPr>
              <w:t>Nine Months Ended</w:t>
            </w:r>
          </w:p>
        </w:tc>
        <w:tc>
          <w:tcPr>
            <w:tcW w:w="200" w:type="dxa"/>
            <w:vAlign w:val="bottom"/>
          </w:tcPr>
          <w:p>
            <w:pPr>
              <w:spacing w:after="0"/>
              <w:rPr>
                <w:sz w:val="15"/>
                <w:szCs w:val="15"/>
                <w:color w:val="auto"/>
              </w:rPr>
            </w:pPr>
          </w:p>
        </w:tc>
        <w:tc>
          <w:tcPr>
            <w:tcW w:w="160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Variance</w:t>
            </w:r>
          </w:p>
        </w:tc>
      </w:tr>
      <w:tr>
        <w:trPr>
          <w:trHeight w:val="154"/>
        </w:trPr>
        <w:tc>
          <w:tcPr>
            <w:tcW w:w="29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Borders>
              <w:top w:val="single" w:sz="8" w:color="auto"/>
            </w:tcBorders>
            <w:gridSpan w:val="3"/>
          </w:tcPr>
          <w:p>
            <w:pPr>
              <w:spacing w:after="0" w:line="154" w:lineRule="exact"/>
              <w:rPr>
                <w:sz w:val="20"/>
                <w:szCs w:val="20"/>
                <w:color w:val="auto"/>
              </w:rPr>
            </w:pPr>
            <w:r>
              <w:rPr>
                <w:rFonts w:ascii="Arial" w:cs="Arial" w:eastAsia="Arial" w:hAnsi="Arial"/>
                <w:sz w:val="14"/>
                <w:szCs w:val="14"/>
                <w:b w:val="1"/>
                <w:bCs w:val="1"/>
                <w:color w:val="auto"/>
              </w:rPr>
              <w:t>September 30,</w:t>
            </w:r>
          </w:p>
        </w:tc>
        <w:tc>
          <w:tcPr>
            <w:tcW w:w="1000" w:type="dxa"/>
            <w:vAlign w:val="bottom"/>
            <w:tcBorders>
              <w:top w:val="single" w:sz="8" w:color="auto"/>
            </w:tcBorders>
            <w:gridSpan w:val="2"/>
          </w:tcPr>
          <w:p>
            <w:pPr>
              <w:spacing w:after="0" w:line="154" w:lineRule="exact"/>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tcBorders>
              <w:top w:val="single" w:sz="8" w:color="auto"/>
            </w:tcBorders>
            <w:gridSpan w:val="3"/>
          </w:tcPr>
          <w:p>
            <w:pPr>
              <w:spacing w:after="0" w:line="154" w:lineRule="exact"/>
              <w:rPr>
                <w:sz w:val="20"/>
                <w:szCs w:val="20"/>
                <w:color w:val="auto"/>
              </w:rPr>
            </w:pPr>
            <w:r>
              <w:rPr>
                <w:rFonts w:ascii="Arial" w:cs="Arial" w:eastAsia="Arial" w:hAnsi="Arial"/>
                <w:sz w:val="14"/>
                <w:szCs w:val="14"/>
                <w:b w:val="1"/>
                <w:bCs w:val="1"/>
                <w:color w:val="auto"/>
              </w:rPr>
              <w:t>September 30,</w:t>
            </w:r>
          </w:p>
        </w:tc>
        <w:tc>
          <w:tcPr>
            <w:tcW w:w="980" w:type="dxa"/>
            <w:vAlign w:val="bottom"/>
            <w:tcBorders>
              <w:top w:val="single" w:sz="8" w:color="auto"/>
            </w:tcBorders>
            <w:gridSpan w:val="2"/>
          </w:tcPr>
          <w:p>
            <w:pPr>
              <w:spacing w:after="0" w:line="154" w:lineRule="exact"/>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r>
      <w:tr>
        <w:trPr>
          <w:trHeight w:val="177"/>
        </w:trPr>
        <w:tc>
          <w:tcPr>
            <w:tcW w:w="290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auto"/>
              </w:rPr>
              <w:t>(U.S. dollars in thousands)</w:t>
            </w:r>
          </w:p>
        </w:tc>
        <w:tc>
          <w:tcPr>
            <w:tcW w:w="34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FF0FC"/>
            </w:tcBorders>
          </w:tcPr>
          <w:p>
            <w:pPr>
              <w:spacing w:after="0"/>
              <w:rPr>
                <w:sz w:val="15"/>
                <w:szCs w:val="15"/>
                <w:color w:val="auto"/>
              </w:rPr>
            </w:pPr>
          </w:p>
        </w:tc>
        <w:tc>
          <w:tcPr>
            <w:tcW w:w="6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Dollar</w:t>
            </w:r>
          </w:p>
        </w:tc>
        <w:tc>
          <w:tcPr>
            <w:tcW w:w="200" w:type="dxa"/>
            <w:vAlign w:val="bottom"/>
            <w:tcBorders>
              <w:bottom w:val="single" w:sz="8" w:color="CFF0FC"/>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7"/>
              </w:rPr>
              <w:t>Percent</w:t>
            </w:r>
          </w:p>
        </w:tc>
        <w:tc>
          <w:tcPr>
            <w:tcW w:w="28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FF0FC"/>
            </w:tcBorders>
          </w:tcPr>
          <w:p>
            <w:pPr>
              <w:spacing w:after="0"/>
              <w:rPr>
                <w:sz w:val="15"/>
                <w:szCs w:val="15"/>
                <w:color w:val="auto"/>
              </w:rPr>
            </w:pPr>
          </w:p>
        </w:tc>
        <w:tc>
          <w:tcPr>
            <w:tcW w:w="6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Dollar</w:t>
            </w:r>
          </w:p>
        </w:tc>
        <w:tc>
          <w:tcPr>
            <w:tcW w:w="140" w:type="dxa"/>
            <w:vAlign w:val="bottom"/>
            <w:tcBorders>
              <w:bottom w:val="single" w:sz="8" w:color="CFF0FC"/>
            </w:tcBorders>
          </w:tcPr>
          <w:p>
            <w:pPr>
              <w:spacing w:after="0"/>
              <w:rPr>
                <w:sz w:val="15"/>
                <w:szCs w:val="15"/>
                <w:color w:val="auto"/>
              </w:rPr>
            </w:pPr>
          </w:p>
        </w:tc>
        <w:tc>
          <w:tcPr>
            <w:tcW w:w="60" w:type="dxa"/>
            <w:vAlign w:val="bottom"/>
            <w:tcBorders>
              <w:bottom w:val="single" w:sz="8" w:color="CFF0FC"/>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Percent</w:t>
            </w:r>
          </w:p>
        </w:tc>
        <w:tc>
          <w:tcPr>
            <w:tcW w:w="180" w:type="dxa"/>
            <w:vAlign w:val="bottom"/>
            <w:tcBorders>
              <w:bottom w:val="single" w:sz="8" w:color="CFF0FC"/>
            </w:tcBorders>
          </w:tcPr>
          <w:p>
            <w:pPr>
              <w:spacing w:after="0"/>
              <w:rPr>
                <w:sz w:val="15"/>
                <w:szCs w:val="15"/>
                <w:color w:val="auto"/>
              </w:rPr>
            </w:pPr>
          </w:p>
        </w:tc>
      </w:tr>
      <w:tr>
        <w:trPr>
          <w:trHeight w:val="210"/>
        </w:trPr>
        <w:tc>
          <w:tcPr>
            <w:tcW w:w="290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498,156</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486,175</w:t>
            </w: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20"/>
                <w:szCs w:val="20"/>
                <w:color w:val="auto"/>
              </w:rPr>
            </w:pPr>
            <w:r>
              <w:rPr>
                <w:rFonts w:ascii="Arial" w:cs="Arial" w:eastAsia="Arial" w:hAnsi="Arial"/>
                <w:sz w:val="18"/>
                <w:szCs w:val="18"/>
                <w:color w:val="auto"/>
                <w:w w:val="94"/>
              </w:rPr>
              <w:t>$ 11,981</w:t>
            </w:r>
          </w:p>
        </w:tc>
        <w:tc>
          <w:tcPr>
            <w:tcW w:w="20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2.5%</w:t>
            </w: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1,457,937</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1,387,484</w:t>
            </w: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20"/>
                <w:szCs w:val="20"/>
                <w:color w:val="auto"/>
              </w:rPr>
            </w:pPr>
            <w:r>
              <w:rPr>
                <w:rFonts w:ascii="Arial" w:cs="Arial" w:eastAsia="Arial" w:hAnsi="Arial"/>
                <w:sz w:val="18"/>
                <w:szCs w:val="18"/>
                <w:color w:val="auto"/>
                <w:w w:val="94"/>
              </w:rPr>
              <w:t>$ 70,453</w:t>
            </w: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5.1%</w:t>
            </w:r>
          </w:p>
        </w:tc>
      </w:tr>
      <w:tr>
        <w:trPr>
          <w:trHeight w:val="193"/>
        </w:trPr>
        <w:tc>
          <w:tcPr>
            <w:tcW w:w="2900" w:type="dxa"/>
            <w:vAlign w:val="bottom"/>
          </w:tcPr>
          <w:p>
            <w:pPr>
              <w:spacing w:after="0" w:line="193" w:lineRule="exact"/>
              <w:rPr>
                <w:sz w:val="20"/>
                <w:szCs w:val="20"/>
                <w:color w:val="auto"/>
              </w:rPr>
            </w:pPr>
            <w:r>
              <w:rPr>
                <w:rFonts w:ascii="Arial" w:cs="Arial" w:eastAsia="Arial" w:hAnsi="Arial"/>
                <w:sz w:val="18"/>
                <w:szCs w:val="18"/>
                <w:color w:val="auto"/>
              </w:rPr>
              <w:t>Adjusted EBITDA attributable to</w:t>
            </w: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43"/>
        </w:trPr>
        <w:tc>
          <w:tcPr>
            <w:tcW w:w="2900" w:type="dxa"/>
            <w:vAlign w:val="bottom"/>
          </w:tcPr>
          <w:p>
            <w:pPr>
              <w:spacing w:after="0"/>
              <w:rPr>
                <w:sz w:val="20"/>
                <w:szCs w:val="20"/>
                <w:color w:val="auto"/>
              </w:rPr>
            </w:pPr>
            <w:r>
              <w:rPr>
                <w:rFonts w:ascii="Arial" w:cs="Arial" w:eastAsia="Arial" w:hAnsi="Arial"/>
                <w:sz w:val="18"/>
                <w:szCs w:val="18"/>
                <w:color w:val="auto"/>
              </w:rPr>
              <w:t>Parsons Corporation</w:t>
            </w:r>
          </w:p>
        </w:tc>
        <w:tc>
          <w:tcPr>
            <w:tcW w:w="5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45,874</w:t>
            </w:r>
          </w:p>
        </w:tc>
        <w:tc>
          <w:tcPr>
            <w:tcW w:w="180" w:type="dxa"/>
            <w:vAlign w:val="bottom"/>
          </w:tcPr>
          <w:p>
            <w:pPr>
              <w:spacing w:after="0"/>
              <w:rPr>
                <w:sz w:val="21"/>
                <w:szCs w:val="21"/>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50,359</w:t>
            </w:r>
          </w:p>
        </w:tc>
        <w:tc>
          <w:tcPr>
            <w:tcW w:w="1060" w:type="dxa"/>
            <w:vAlign w:val="bottom"/>
            <w:gridSpan w:val="3"/>
          </w:tcPr>
          <w:p>
            <w:pPr>
              <w:ind w:left="180"/>
              <w:spacing w:after="0"/>
              <w:rPr>
                <w:sz w:val="20"/>
                <w:szCs w:val="20"/>
                <w:color w:val="auto"/>
              </w:rPr>
            </w:pPr>
            <w:r>
              <w:rPr>
                <w:rFonts w:ascii="Arial" w:cs="Arial" w:eastAsia="Arial" w:hAnsi="Arial"/>
                <w:sz w:val="18"/>
                <w:szCs w:val="18"/>
                <w:color w:val="auto"/>
              </w:rPr>
              <w:t>$ (4,485)</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-8.9%</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125,191</w:t>
            </w:r>
          </w:p>
        </w:tc>
        <w:tc>
          <w:tcPr>
            <w:tcW w:w="200" w:type="dxa"/>
            <w:vAlign w:val="bottom"/>
          </w:tcPr>
          <w:p>
            <w:pPr>
              <w:spacing w:after="0"/>
              <w:rPr>
                <w:sz w:val="21"/>
                <w:szCs w:val="21"/>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126,658</w:t>
            </w:r>
          </w:p>
        </w:tc>
        <w:tc>
          <w:tcPr>
            <w:tcW w:w="1020" w:type="dxa"/>
            <w:vAlign w:val="bottom"/>
            <w:gridSpan w:val="3"/>
          </w:tcPr>
          <w:p>
            <w:pPr>
              <w:ind w:left="200"/>
              <w:spacing w:after="0"/>
              <w:rPr>
                <w:sz w:val="20"/>
                <w:szCs w:val="20"/>
                <w:color w:val="auto"/>
              </w:rPr>
            </w:pPr>
            <w:r>
              <w:rPr>
                <w:rFonts w:ascii="Arial" w:cs="Arial" w:eastAsia="Arial" w:hAnsi="Arial"/>
                <w:sz w:val="18"/>
                <w:szCs w:val="18"/>
                <w:color w:val="auto"/>
              </w:rPr>
              <w:t>$ (1,467)</w:t>
            </w:r>
          </w:p>
        </w:tc>
        <w:tc>
          <w:tcPr>
            <w:tcW w:w="780" w:type="dxa"/>
            <w:vAlign w:val="bottom"/>
            <w:gridSpan w:val="3"/>
          </w:tcPr>
          <w:p>
            <w:pPr>
              <w:jc w:val="right"/>
              <w:ind w:right="20"/>
              <w:spacing w:after="0"/>
              <w:rPr>
                <w:sz w:val="20"/>
                <w:szCs w:val="20"/>
                <w:color w:val="auto"/>
              </w:rPr>
            </w:pPr>
            <w:r>
              <w:rPr>
                <w:rFonts w:ascii="Arial" w:cs="Arial" w:eastAsia="Arial" w:hAnsi="Arial"/>
                <w:sz w:val="18"/>
                <w:szCs w:val="18"/>
                <w:color w:val="auto"/>
              </w:rPr>
              <w:t>-1.2%</w:t>
            </w:r>
          </w:p>
        </w:tc>
      </w:tr>
    </w:tbl>
    <w:p>
      <w:pPr>
        <w:spacing w:after="0" w:line="176" w:lineRule="exact"/>
        <w:rPr>
          <w:sz w:val="20"/>
          <w:szCs w:val="20"/>
          <w:color w:val="auto"/>
        </w:rPr>
      </w:pPr>
    </w:p>
    <w:p>
      <w:pPr>
        <w:ind w:right="40" w:firstLine="637"/>
        <w:spacing w:after="0" w:line="276" w:lineRule="auto"/>
        <w:rPr>
          <w:sz w:val="20"/>
          <w:szCs w:val="20"/>
          <w:color w:val="auto"/>
        </w:rPr>
      </w:pPr>
      <w:r>
        <w:rPr>
          <w:rFonts w:ascii="Arial" w:cs="Arial" w:eastAsia="Arial" w:hAnsi="Arial"/>
          <w:sz w:val="18"/>
          <w:szCs w:val="18"/>
          <w:color w:val="auto"/>
        </w:rPr>
        <w:t>The increase in Federal Solutions revenue for the three and nine months ended September 30, 2020 compared to the corresponding periods last year was primarily due to an increase in business volume from new and existing contracts.</w:t>
      </w:r>
    </w:p>
    <w:p>
      <w:pPr>
        <w:spacing w:after="0" w:line="145" w:lineRule="exact"/>
        <w:rPr>
          <w:sz w:val="20"/>
          <w:szCs w:val="20"/>
          <w:color w:val="auto"/>
        </w:rPr>
      </w:pPr>
    </w:p>
    <w:p>
      <w:pPr>
        <w:jc w:val="both"/>
        <w:ind w:right="120" w:firstLine="644"/>
        <w:spacing w:after="0" w:line="255" w:lineRule="auto"/>
        <w:rPr>
          <w:sz w:val="20"/>
          <w:szCs w:val="20"/>
          <w:color w:val="auto"/>
        </w:rPr>
      </w:pPr>
      <w:r>
        <w:rPr>
          <w:rFonts w:ascii="Arial" w:cs="Arial" w:eastAsia="Arial" w:hAnsi="Arial"/>
          <w:sz w:val="18"/>
          <w:szCs w:val="18"/>
          <w:color w:val="auto"/>
        </w:rPr>
        <w:t>The decrease in Federal Solutions Adjusted EBITDA attributable to Parsons Corporation for the three months ended September 30, 2020 compared to the corresponding period last year was primarily due to generally lower profit margins driven by an increase in volume on contracts with pass-through costs.</w:t>
      </w:r>
    </w:p>
    <w:p>
      <w:pPr>
        <w:spacing w:after="0" w:line="164" w:lineRule="exact"/>
        <w:rPr>
          <w:sz w:val="20"/>
          <w:szCs w:val="20"/>
          <w:color w:val="auto"/>
        </w:rPr>
      </w:pPr>
    </w:p>
    <w:p>
      <w:pPr>
        <w:ind w:right="180" w:firstLine="644"/>
        <w:spacing w:after="0" w:line="255" w:lineRule="auto"/>
        <w:rPr>
          <w:sz w:val="20"/>
          <w:szCs w:val="20"/>
          <w:color w:val="auto"/>
        </w:rPr>
      </w:pPr>
      <w:r>
        <w:rPr>
          <w:rFonts w:ascii="Arial" w:cs="Arial" w:eastAsia="Arial" w:hAnsi="Arial"/>
          <w:sz w:val="18"/>
          <w:szCs w:val="18"/>
          <w:color w:val="auto"/>
        </w:rPr>
        <w:t>The decrease in Federal Solutions Adjusted EBITDA attributable to Parsons Corporation for the nine months ended September 30, 2020 compared to the corresponding period last year was primarily due to an increase in IG&amp;A from business acquisitions and lower margins, offset by an increase in business volume from new awards and business acquisitions.</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Infrastructure</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40" w:type="dxa"/>
            <w:vAlign w:val="bottom"/>
            <w:gridSpan w:val="4"/>
          </w:tcPr>
          <w:p>
            <w:pPr>
              <w:jc w:val="right"/>
              <w:ind w:right="296"/>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5"/>
                <w:szCs w:val="15"/>
                <w:color w:val="auto"/>
              </w:rPr>
            </w:pPr>
          </w:p>
        </w:tc>
        <w:tc>
          <w:tcPr>
            <w:tcW w:w="1780" w:type="dxa"/>
            <w:vAlign w:val="bottom"/>
            <w:gridSpan w:val="4"/>
          </w:tcPr>
          <w:p>
            <w:pPr>
              <w:jc w:val="right"/>
              <w:ind w:right="740"/>
              <w:spacing w:after="0"/>
              <w:rPr>
                <w:sz w:val="20"/>
                <w:szCs w:val="20"/>
                <w:color w:val="auto"/>
              </w:rPr>
            </w:pPr>
            <w:r>
              <w:rPr>
                <w:rFonts w:ascii="Arial" w:cs="Arial" w:eastAsia="Arial" w:hAnsi="Arial"/>
                <w:sz w:val="14"/>
                <w:szCs w:val="14"/>
                <w:b w:val="1"/>
                <w:bCs w:val="1"/>
                <w:color w:val="auto"/>
              </w:rPr>
              <w:t>Variance</w:t>
            </w:r>
          </w:p>
        </w:tc>
        <w:tc>
          <w:tcPr>
            <w:tcW w:w="140" w:type="dxa"/>
            <w:vAlign w:val="bottom"/>
          </w:tcPr>
          <w:p>
            <w:pPr>
              <w:spacing w:after="0"/>
              <w:rPr>
                <w:sz w:val="15"/>
                <w:szCs w:val="15"/>
                <w:color w:val="auto"/>
              </w:rPr>
            </w:pPr>
          </w:p>
        </w:tc>
        <w:tc>
          <w:tcPr>
            <w:tcW w:w="2200" w:type="dxa"/>
            <w:vAlign w:val="bottom"/>
            <w:gridSpan w:val="5"/>
          </w:tcPr>
          <w:p>
            <w:pPr>
              <w:ind w:left="260"/>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tcPr>
          <w:p>
            <w:pPr>
              <w:spacing w:after="0"/>
              <w:rPr>
                <w:sz w:val="15"/>
                <w:szCs w:val="15"/>
                <w:color w:val="auto"/>
              </w:rPr>
            </w:pPr>
          </w:p>
        </w:tc>
        <w:tc>
          <w:tcPr>
            <w:tcW w:w="156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Variance</w:t>
            </w:r>
          </w:p>
        </w:tc>
      </w:tr>
      <w:tr>
        <w:trPr>
          <w:trHeight w:val="154"/>
        </w:trPr>
        <w:tc>
          <w:tcPr>
            <w:tcW w:w="2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tcBorders>
              <w:top w:val="single" w:sz="8" w:color="auto"/>
            </w:tcBorders>
            <w:gridSpan w:val="3"/>
          </w:tcPr>
          <w:p>
            <w:pPr>
              <w:spacing w:after="0" w:line="154" w:lineRule="exact"/>
              <w:rPr>
                <w:sz w:val="20"/>
                <w:szCs w:val="20"/>
                <w:color w:val="auto"/>
              </w:rPr>
            </w:pPr>
            <w:r>
              <w:rPr>
                <w:rFonts w:ascii="Arial" w:cs="Arial" w:eastAsia="Arial" w:hAnsi="Arial"/>
                <w:sz w:val="14"/>
                <w:szCs w:val="14"/>
                <w:b w:val="1"/>
                <w:bCs w:val="1"/>
                <w:color w:val="auto"/>
              </w:rPr>
              <w:t>September 30,</w:t>
            </w:r>
          </w:p>
        </w:tc>
        <w:tc>
          <w:tcPr>
            <w:tcW w:w="980" w:type="dxa"/>
            <w:vAlign w:val="bottom"/>
            <w:tcBorders>
              <w:top w:val="single" w:sz="8" w:color="auto"/>
            </w:tcBorders>
            <w:gridSpan w:val="2"/>
          </w:tcPr>
          <w:p>
            <w:pPr>
              <w:spacing w:after="0" w:line="154" w:lineRule="exact"/>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Borders>
              <w:top w:val="single" w:sz="8" w:color="auto"/>
            </w:tcBorders>
            <w:gridSpan w:val="2"/>
          </w:tcPr>
          <w:p>
            <w:pPr>
              <w:spacing w:after="0" w:line="154" w:lineRule="exact"/>
              <w:rPr>
                <w:sz w:val="20"/>
                <w:szCs w:val="20"/>
                <w:color w:val="auto"/>
              </w:rPr>
            </w:pPr>
            <w:r>
              <w:rPr>
                <w:rFonts w:ascii="Arial" w:cs="Arial" w:eastAsia="Arial" w:hAnsi="Arial"/>
                <w:sz w:val="14"/>
                <w:szCs w:val="14"/>
                <w:b w:val="1"/>
                <w:bCs w:val="1"/>
                <w:color w:val="auto"/>
              </w:rPr>
              <w:t>September 30,</w:t>
            </w:r>
          </w:p>
        </w:tc>
        <w:tc>
          <w:tcPr>
            <w:tcW w:w="1180" w:type="dxa"/>
            <w:vAlign w:val="bottom"/>
            <w:tcBorders>
              <w:top w:val="single" w:sz="8" w:color="auto"/>
            </w:tcBorders>
            <w:gridSpan w:val="3"/>
          </w:tcPr>
          <w:p>
            <w:pPr>
              <w:jc w:val="right"/>
              <w:spacing w:after="0" w:line="154" w:lineRule="exact"/>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r>
      <w:tr>
        <w:trPr>
          <w:trHeight w:val="177"/>
        </w:trPr>
        <w:tc>
          <w:tcPr>
            <w:tcW w:w="282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auto"/>
              </w:rPr>
              <w:t>(U.S. dollars in thousands)</w:t>
            </w:r>
          </w:p>
        </w:tc>
        <w:tc>
          <w:tcPr>
            <w:tcW w:w="28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FF0FC"/>
            </w:tcBorders>
          </w:tcPr>
          <w:p>
            <w:pPr>
              <w:spacing w:after="0"/>
              <w:rPr>
                <w:sz w:val="15"/>
                <w:szCs w:val="15"/>
                <w:color w:val="auto"/>
              </w:rPr>
            </w:pPr>
          </w:p>
        </w:tc>
        <w:tc>
          <w:tcPr>
            <w:tcW w:w="76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Dollar</w:t>
            </w:r>
          </w:p>
        </w:tc>
        <w:tc>
          <w:tcPr>
            <w:tcW w:w="200" w:type="dxa"/>
            <w:vAlign w:val="bottom"/>
            <w:tcBorders>
              <w:bottom w:val="single" w:sz="8" w:color="CFF0FC"/>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Percent</w:t>
            </w:r>
          </w:p>
        </w:tc>
        <w:tc>
          <w:tcPr>
            <w:tcW w:w="28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Dollar</w:t>
            </w:r>
          </w:p>
        </w:tc>
        <w:tc>
          <w:tcPr>
            <w:tcW w:w="140" w:type="dxa"/>
            <w:vAlign w:val="bottom"/>
            <w:tcBorders>
              <w:bottom w:val="single" w:sz="8" w:color="CFF0FC"/>
            </w:tcBorders>
          </w:tcPr>
          <w:p>
            <w:pPr>
              <w:spacing w:after="0"/>
              <w:rPr>
                <w:sz w:val="15"/>
                <w:szCs w:val="15"/>
                <w:color w:val="auto"/>
              </w:rPr>
            </w:pPr>
          </w:p>
        </w:tc>
        <w:tc>
          <w:tcPr>
            <w:tcW w:w="60" w:type="dxa"/>
            <w:vAlign w:val="bottom"/>
            <w:tcBorders>
              <w:bottom w:val="single" w:sz="8" w:color="CFF0FC"/>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Percent</w:t>
            </w:r>
          </w:p>
        </w:tc>
        <w:tc>
          <w:tcPr>
            <w:tcW w:w="180" w:type="dxa"/>
            <w:vAlign w:val="bottom"/>
            <w:tcBorders>
              <w:bottom w:val="single" w:sz="8" w:color="CFF0FC"/>
            </w:tcBorders>
          </w:tcPr>
          <w:p>
            <w:pPr>
              <w:spacing w:after="0"/>
              <w:rPr>
                <w:sz w:val="15"/>
                <w:szCs w:val="15"/>
                <w:color w:val="auto"/>
              </w:rPr>
            </w:pPr>
          </w:p>
        </w:tc>
      </w:tr>
      <w:tr>
        <w:trPr>
          <w:trHeight w:val="210"/>
        </w:trPr>
        <w:tc>
          <w:tcPr>
            <w:tcW w:w="282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506,080</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537,102</w:t>
            </w: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20"/>
                <w:szCs w:val="20"/>
                <w:color w:val="auto"/>
              </w:rPr>
            </w:pPr>
            <w:r>
              <w:rPr>
                <w:rFonts w:ascii="Arial" w:cs="Arial" w:eastAsia="Arial" w:hAnsi="Arial"/>
                <w:sz w:val="18"/>
                <w:szCs w:val="18"/>
                <w:color w:val="auto"/>
                <w:w w:val="90"/>
              </w:rPr>
              <w:t>$ (31,022)</w:t>
            </w:r>
          </w:p>
        </w:tc>
        <w:tc>
          <w:tcPr>
            <w:tcW w:w="20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-5.8%</w:t>
            </w: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1,496,751</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1,529,940</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(33,189)</w:t>
            </w: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-2.2%</w:t>
            </w:r>
          </w:p>
        </w:tc>
      </w:tr>
      <w:tr>
        <w:trPr>
          <w:trHeight w:val="193"/>
        </w:trPr>
        <w:tc>
          <w:tcPr>
            <w:tcW w:w="2820" w:type="dxa"/>
            <w:vAlign w:val="bottom"/>
          </w:tcPr>
          <w:p>
            <w:pPr>
              <w:spacing w:after="0" w:line="193" w:lineRule="exact"/>
              <w:rPr>
                <w:sz w:val="20"/>
                <w:szCs w:val="20"/>
                <w:color w:val="auto"/>
              </w:rPr>
            </w:pPr>
            <w:r>
              <w:rPr>
                <w:rFonts w:ascii="Arial" w:cs="Arial" w:eastAsia="Arial" w:hAnsi="Arial"/>
                <w:sz w:val="18"/>
                <w:szCs w:val="18"/>
                <w:color w:val="auto"/>
              </w:rPr>
              <w:t>Adjusted EBITDA attributable to</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43"/>
        </w:trPr>
        <w:tc>
          <w:tcPr>
            <w:tcW w:w="2820" w:type="dxa"/>
            <w:vAlign w:val="bottom"/>
          </w:tcPr>
          <w:p>
            <w:pPr>
              <w:spacing w:after="0"/>
              <w:rPr>
                <w:sz w:val="20"/>
                <w:szCs w:val="20"/>
                <w:color w:val="auto"/>
              </w:rPr>
            </w:pPr>
            <w:r>
              <w:rPr>
                <w:rFonts w:ascii="Arial" w:cs="Arial" w:eastAsia="Arial" w:hAnsi="Arial"/>
                <w:sz w:val="18"/>
                <w:szCs w:val="18"/>
                <w:color w:val="auto"/>
              </w:rPr>
              <w:t>Parsons Corporation</w:t>
            </w:r>
          </w:p>
        </w:tc>
        <w:tc>
          <w:tcPr>
            <w:tcW w:w="5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48,856</w:t>
            </w:r>
          </w:p>
        </w:tc>
        <w:tc>
          <w:tcPr>
            <w:tcW w:w="200" w:type="dxa"/>
            <w:vAlign w:val="bottom"/>
          </w:tcPr>
          <w:p>
            <w:pPr>
              <w:spacing w:after="0"/>
              <w:rPr>
                <w:sz w:val="21"/>
                <w:szCs w:val="21"/>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33,976</w:t>
            </w:r>
          </w:p>
        </w:tc>
        <w:tc>
          <w:tcPr>
            <w:tcW w:w="940" w:type="dxa"/>
            <w:vAlign w:val="bottom"/>
            <w:gridSpan w:val="2"/>
          </w:tcPr>
          <w:p>
            <w:pPr>
              <w:ind w:left="180"/>
              <w:spacing w:after="0"/>
              <w:rPr>
                <w:sz w:val="20"/>
                <w:szCs w:val="20"/>
                <w:color w:val="auto"/>
              </w:rPr>
            </w:pPr>
            <w:r>
              <w:rPr>
                <w:rFonts w:ascii="Arial" w:cs="Arial" w:eastAsia="Arial" w:hAnsi="Arial"/>
                <w:sz w:val="18"/>
                <w:szCs w:val="18"/>
                <w:color w:val="auto"/>
              </w:rPr>
              <w:t>$ 14,880</w:t>
            </w:r>
          </w:p>
        </w:tc>
        <w:tc>
          <w:tcPr>
            <w:tcW w:w="200" w:type="dxa"/>
            <w:vAlign w:val="bottom"/>
          </w:tcPr>
          <w:p>
            <w:pPr>
              <w:spacing w:after="0"/>
              <w:rPr>
                <w:sz w:val="21"/>
                <w:szCs w:val="21"/>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43.8%</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111,732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102,177</w:t>
            </w:r>
          </w:p>
        </w:tc>
        <w:tc>
          <w:tcPr>
            <w:tcW w:w="1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9,555</w:t>
            </w:r>
          </w:p>
        </w:tc>
        <w:tc>
          <w:tcPr>
            <w:tcW w:w="140" w:type="dxa"/>
            <w:vAlign w:val="bottom"/>
          </w:tcPr>
          <w:p>
            <w:pPr>
              <w:spacing w:after="0"/>
              <w:rPr>
                <w:sz w:val="21"/>
                <w:szCs w:val="21"/>
                <w:color w:val="auto"/>
              </w:rPr>
            </w:pPr>
          </w:p>
        </w:tc>
        <w:tc>
          <w:tcPr>
            <w:tcW w:w="780" w:type="dxa"/>
            <w:vAlign w:val="bottom"/>
            <w:gridSpan w:val="3"/>
          </w:tcPr>
          <w:p>
            <w:pPr>
              <w:jc w:val="right"/>
              <w:ind w:right="20"/>
              <w:spacing w:after="0"/>
              <w:rPr>
                <w:sz w:val="20"/>
                <w:szCs w:val="20"/>
                <w:color w:val="auto"/>
              </w:rPr>
            </w:pPr>
            <w:r>
              <w:rPr>
                <w:rFonts w:ascii="Arial" w:cs="Arial" w:eastAsia="Arial" w:hAnsi="Arial"/>
                <w:sz w:val="18"/>
                <w:szCs w:val="18"/>
                <w:color w:val="auto"/>
              </w:rPr>
              <w:t>9.4%</w:t>
            </w:r>
          </w:p>
        </w:tc>
      </w:tr>
      <w:tr>
        <w:trPr>
          <w:trHeight w:val="419"/>
        </w:trPr>
        <w:tc>
          <w:tcPr>
            <w:tcW w:w="2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40" w:type="dxa"/>
            <w:vAlign w:val="bottom"/>
            <w:gridSpan w:val="2"/>
          </w:tcPr>
          <w:p>
            <w:pPr>
              <w:jc w:val="right"/>
              <w:ind w:right="402"/>
              <w:spacing w:after="0"/>
              <w:rPr>
                <w:sz w:val="20"/>
                <w:szCs w:val="20"/>
                <w:color w:val="auto"/>
              </w:rPr>
            </w:pPr>
            <w:r>
              <w:rPr>
                <w:rFonts w:ascii="Arial" w:cs="Arial" w:eastAsia="Arial" w:hAnsi="Arial"/>
                <w:sz w:val="18"/>
                <w:szCs w:val="18"/>
                <w:color w:val="auto"/>
              </w:rPr>
              <w:t>40</w:t>
            </w: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98"/>
        </w:trPr>
        <w:tc>
          <w:tcPr>
            <w:tcW w:w="282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42" w:name="page43"/>
    <w:bookmarkEnd w:id="42"/>
    <w:p>
      <w:pPr>
        <w:ind w:right="920" w:firstLine="637"/>
        <w:spacing w:after="0" w:line="276" w:lineRule="auto"/>
        <w:rPr>
          <w:sz w:val="20"/>
          <w:szCs w:val="20"/>
          <w:color w:val="auto"/>
        </w:rPr>
      </w:pPr>
      <w:r>
        <w:rPr>
          <w:rFonts w:ascii="Arial" w:cs="Arial" w:eastAsia="Arial" w:hAnsi="Arial"/>
          <w:sz w:val="18"/>
          <w:szCs w:val="18"/>
          <w:color w:val="auto"/>
        </w:rPr>
        <w:t>The decrease in Critical Infrastructure revenue for the three and nine months ended September 30, 2020 compared to the corresponding periods last year was primarily due to a decrease in business volume on contracts with pass-through revenue.</w:t>
      </w:r>
    </w:p>
    <w:p>
      <w:pPr>
        <w:spacing w:after="0" w:line="145" w:lineRule="exact"/>
        <w:rPr>
          <w:sz w:val="20"/>
          <w:szCs w:val="20"/>
          <w:color w:val="auto"/>
        </w:rPr>
      </w:pPr>
    </w:p>
    <w:p>
      <w:pPr>
        <w:ind w:right="40" w:firstLine="637"/>
        <w:spacing w:after="0" w:line="276" w:lineRule="auto"/>
        <w:rPr>
          <w:sz w:val="20"/>
          <w:szCs w:val="20"/>
          <w:color w:val="auto"/>
        </w:rPr>
      </w:pPr>
      <w:r>
        <w:rPr>
          <w:rFonts w:ascii="Arial" w:cs="Arial" w:eastAsia="Arial" w:hAnsi="Arial"/>
          <w:sz w:val="18"/>
          <w:szCs w:val="18"/>
          <w:color w:val="auto"/>
        </w:rPr>
        <w:t>The increase in Adjusted EBITDA attributable to Parsons Corporation in Critical Infrastructure for the three months ended September 30, 2020 was primarily related to an increase in equity in earnings of unconsolidated joint ventures and a decrease in IG&amp;A.</w:t>
      </w:r>
    </w:p>
    <w:p>
      <w:pPr>
        <w:spacing w:after="0" w:line="145" w:lineRule="exact"/>
        <w:rPr>
          <w:sz w:val="20"/>
          <w:szCs w:val="20"/>
          <w:color w:val="auto"/>
        </w:rPr>
      </w:pPr>
    </w:p>
    <w:p>
      <w:pPr>
        <w:jc w:val="both"/>
        <w:ind w:right="100" w:firstLine="637"/>
        <w:spacing w:after="0" w:line="255" w:lineRule="auto"/>
        <w:rPr>
          <w:sz w:val="20"/>
          <w:szCs w:val="20"/>
          <w:color w:val="auto"/>
        </w:rPr>
      </w:pPr>
      <w:r>
        <w:rPr>
          <w:rFonts w:ascii="Arial" w:cs="Arial" w:eastAsia="Arial" w:hAnsi="Arial"/>
          <w:sz w:val="18"/>
          <w:szCs w:val="18"/>
          <w:color w:val="auto"/>
        </w:rPr>
        <w:t>The increase in Adjusted EBITDA attributable to Parsons Corporation in Critical Infrastructure for the nine months ended September 30, 2020 was primarily related to a decrease in IG&amp;A and improved project margins. Offsetting the increase in Adjusted EBITDA attributable to Parsons Corporation was a decrease in equity in earnings.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Liquidity and Capital Resources</w:t>
      </w:r>
    </w:p>
    <w:p>
      <w:pPr>
        <w:spacing w:after="0" w:line="214" w:lineRule="exact"/>
        <w:rPr>
          <w:sz w:val="20"/>
          <w:szCs w:val="20"/>
          <w:color w:val="auto"/>
        </w:rPr>
      </w:pPr>
    </w:p>
    <w:p>
      <w:pPr>
        <w:ind w:right="640" w:firstLine="637"/>
        <w:spacing w:after="0" w:line="306" w:lineRule="auto"/>
        <w:rPr>
          <w:sz w:val="20"/>
          <w:szCs w:val="20"/>
          <w:color w:val="auto"/>
        </w:rPr>
      </w:pPr>
      <w:r>
        <w:rPr>
          <w:rFonts w:ascii="Arial" w:cs="Arial" w:eastAsia="Arial" w:hAnsi="Arial"/>
          <w:sz w:val="17"/>
          <w:szCs w:val="17"/>
          <w:color w:val="auto"/>
        </w:rPr>
        <w:t>Historically, we have financed our operations and capital expenditures and satisfied redemptions of ESOP interests through a combination of internally generated cash from operations, our Senior Notes and from borrowings under our Revolving Credit Facility.</w:t>
      </w:r>
    </w:p>
    <w:p>
      <w:pPr>
        <w:spacing w:after="0" w:line="123" w:lineRule="exact"/>
        <w:rPr>
          <w:sz w:val="20"/>
          <w:szCs w:val="20"/>
          <w:color w:val="auto"/>
        </w:rPr>
      </w:pPr>
    </w:p>
    <w:p>
      <w:pPr>
        <w:ind w:right="100" w:firstLine="637"/>
        <w:spacing w:after="0" w:line="248" w:lineRule="auto"/>
        <w:rPr>
          <w:sz w:val="20"/>
          <w:szCs w:val="20"/>
          <w:color w:val="auto"/>
        </w:rPr>
      </w:pPr>
      <w:r>
        <w:rPr>
          <w:rFonts w:ascii="Arial" w:cs="Arial" w:eastAsia="Arial" w:hAnsi="Arial"/>
          <w:sz w:val="18"/>
          <w:szCs w:val="18"/>
          <w:color w:val="auto"/>
        </w:rPr>
        <w:t>Generally, cash provided by operating activities has been adequate to fund our operations. Due to fluctuations in our cash flows and growth in our operations, it may be necessary from time to time in the future to borrow under our Credit Agreement to meet cash demands. Our management regularly monitors certain liquidity measures to monitor performance. We calculate our available liquidity as a sum of cash and cash equivalents from our consolidated balance sheet plus the amount available and unutilized on our Credit Agreement.</w:t>
      </w:r>
    </w:p>
    <w:p>
      <w:pPr>
        <w:spacing w:after="0" w:line="170" w:lineRule="exact"/>
        <w:rPr>
          <w:sz w:val="20"/>
          <w:szCs w:val="20"/>
          <w:color w:val="auto"/>
        </w:rPr>
      </w:pPr>
    </w:p>
    <w:p>
      <w:pPr>
        <w:ind w:right="220" w:firstLine="637"/>
        <w:spacing w:after="0" w:line="243" w:lineRule="auto"/>
        <w:rPr>
          <w:sz w:val="20"/>
          <w:szCs w:val="20"/>
          <w:color w:val="auto"/>
        </w:rPr>
      </w:pPr>
      <w:r>
        <w:rPr>
          <w:rFonts w:ascii="Arial" w:cs="Arial" w:eastAsia="Arial" w:hAnsi="Arial"/>
          <w:sz w:val="18"/>
          <w:szCs w:val="18"/>
          <w:color w:val="auto"/>
        </w:rPr>
        <w:t>There are likely to be certain impacts in our ability to collect accounts receivable as a result of the economic impacts from the COVID-19 pandemic. Accounts receivable reflect amounts due from both commercial and government customers. Our commercial customers are comprised principally of large, well-known and well-established companies. Our government customers are comprised principally of national, state and local agencies in the U.S. and Middle East. We have not seen and do not expect there to be a risk of non-payment from either our government agency or commercial customers. We have experienced payment delays due to administrative limitations from both types of customers.</w:t>
      </w:r>
    </w:p>
    <w:p>
      <w:pPr>
        <w:spacing w:after="0" w:line="174" w:lineRule="exact"/>
        <w:rPr>
          <w:sz w:val="20"/>
          <w:szCs w:val="20"/>
          <w:color w:val="auto"/>
        </w:rPr>
      </w:pPr>
    </w:p>
    <w:p>
      <w:pPr>
        <w:ind w:right="180" w:firstLine="637"/>
        <w:spacing w:after="0" w:line="245" w:lineRule="auto"/>
        <w:rPr>
          <w:sz w:val="20"/>
          <w:szCs w:val="20"/>
          <w:color w:val="auto"/>
        </w:rPr>
      </w:pPr>
      <w:r>
        <w:rPr>
          <w:rFonts w:ascii="Arial" w:cs="Arial" w:eastAsia="Arial" w:hAnsi="Arial"/>
          <w:sz w:val="18"/>
          <w:szCs w:val="18"/>
          <w:color w:val="auto"/>
        </w:rPr>
        <w:t>As of September 30, 2020, we believe we have adequate liquidity and capital resources to fund our operations, support our debt service and support our ongoing acquisition strategy for at least the next twelve months based on the liquidity from cash provided by our operating activities, cash and cash equivalents on-hand and our borrowing capacity under our Revolving Credit Facility, which totals $505.1 million as of September 30, 2020. We do not currently anticipate that the COVID-19 pandemic related economic impacts will impair the Company’s ability to continue to maintain compliance with its debt covenants or access available borrowing capacity from our banks.</w:t>
      </w:r>
    </w:p>
    <w:p>
      <w:pPr>
        <w:spacing w:after="0" w:line="17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Cash Flows</w:t>
      </w:r>
    </w:p>
    <w:p>
      <w:pPr>
        <w:spacing w:after="0" w:line="104" w:lineRule="exact"/>
        <w:rPr>
          <w:sz w:val="20"/>
          <w:szCs w:val="20"/>
          <w:color w:val="auto"/>
        </w:rPr>
      </w:pPr>
    </w:p>
    <w:p>
      <w:pPr>
        <w:ind w:right="20" w:firstLine="637"/>
        <w:spacing w:after="0" w:line="241" w:lineRule="auto"/>
        <w:rPr>
          <w:sz w:val="20"/>
          <w:szCs w:val="20"/>
          <w:color w:val="auto"/>
        </w:rPr>
      </w:pPr>
      <w:r>
        <w:rPr>
          <w:rFonts w:ascii="Arial" w:cs="Arial" w:eastAsia="Arial" w:hAnsi="Arial"/>
          <w:sz w:val="18"/>
          <w:szCs w:val="18"/>
          <w:color w:val="auto"/>
        </w:rPr>
        <w:t>Cash received from customers, either from the payment of invoices for work performed or for advances in excess of revenue recognized, is our primary source of cash. We generally do not begin work on contracts until funding is appropriated by the customers. Billing timetables and payment terms on our contracts vary based on a number of factors, including whether the contract type is cost-plus, time-and-materials, or fixed-price. We generally bill and collect cash more frequently under cost-plus and time-and-materials contracts, as we are authorized to bill as the costs are incurred or work is performed. In contrast, we may be limited to bill certain fixed-price contracts only when specified milestones, including deliveries, are achieved. A number of our contracts may provide for performance-based payments, which allow us to bill and collect cash prior to completing the work.</w:t>
      </w:r>
    </w:p>
    <w:p>
      <w:pPr>
        <w:spacing w:after="0" w:line="179" w:lineRule="exact"/>
        <w:rPr>
          <w:sz w:val="20"/>
          <w:szCs w:val="20"/>
          <w:color w:val="auto"/>
        </w:rPr>
      </w:pPr>
    </w:p>
    <w:p>
      <w:pPr>
        <w:ind w:firstLine="637"/>
        <w:spacing w:after="0"/>
        <w:rPr>
          <w:sz w:val="20"/>
          <w:szCs w:val="20"/>
          <w:color w:val="auto"/>
        </w:rPr>
      </w:pPr>
      <w:r>
        <w:rPr>
          <w:rFonts w:ascii="Arial" w:cs="Arial" w:eastAsia="Arial" w:hAnsi="Arial"/>
          <w:sz w:val="18"/>
          <w:szCs w:val="18"/>
          <w:color w:val="auto"/>
        </w:rPr>
        <w:t>Accounts receivable is the principal component of our working capital and is generally driven by revenue growth. Accounts receivable reflects amounts billed to our clients as of each balance sheet date and receivable amounts that are currently due but unbilled. The total amount of our accounts receivable can vary significantly over time, but is generally sensitive to revenue levels. Net days sales outstanding, which we refer to as net DSO, is calculated by dividing (i) (accounts receivable plus contract assets) less (contract liabilities plus accounts payable) by (ii) average revenue per day (calculated by dividing trailing twelve months revenue by the number of days in that period). We focus on collecting outstanding receivables to reduce Net DSO and working capital. Net DSO was 69 days at September 30, 2020 and 58 days at September 30, 2019. In addition to the COVID-19 impacts discussed above, the increase in DSO was also impacted by certain administrative activities by certain customers which have delayed the payment of invoices. Our</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color w:val="auto"/>
        </w:rPr>
        <w:t>working capital (current assets less current liabilities) was $835.1 million at September 30, 2020 and $382.0 million at December 31, 2019.</w:t>
      </w:r>
    </w:p>
    <w:p>
      <w:pPr>
        <w:spacing w:after="0" w:line="212" w:lineRule="exact"/>
        <w:rPr>
          <w:sz w:val="20"/>
          <w:szCs w:val="20"/>
          <w:color w:val="auto"/>
        </w:rPr>
      </w:pPr>
    </w:p>
    <w:p>
      <w:pPr>
        <w:ind w:right="360" w:firstLine="637"/>
        <w:spacing w:after="0" w:line="276" w:lineRule="auto"/>
        <w:rPr>
          <w:sz w:val="20"/>
          <w:szCs w:val="20"/>
          <w:color w:val="auto"/>
        </w:rPr>
      </w:pPr>
      <w:r>
        <w:rPr>
          <w:rFonts w:ascii="Arial" w:cs="Arial" w:eastAsia="Arial" w:hAnsi="Arial"/>
          <w:sz w:val="18"/>
          <w:szCs w:val="18"/>
          <w:color w:val="auto"/>
        </w:rPr>
        <w:t>Our cash, cash equivalents and restricted cash increased by $422.4 million to $617.8 million at September 30, 2020 from $195.4 million at December 31, 2019.</w:t>
      </w:r>
    </w:p>
    <w:p>
      <w:pPr>
        <w:spacing w:after="0" w:line="14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our sources and uses of cash over the periods presented (in thousands):</w:t>
      </w:r>
    </w:p>
    <w:p>
      <w:pPr>
        <w:spacing w:after="0" w:line="314" w:lineRule="exact"/>
        <w:rPr>
          <w:sz w:val="20"/>
          <w:szCs w:val="20"/>
          <w:color w:val="auto"/>
        </w:rPr>
      </w:pPr>
    </w:p>
    <w:tbl>
      <w:tblPr>
        <w:tblLayout w:type="fixed"/>
        <w:tblInd w:w="580" w:type="dxa"/>
        <w:tblCellMar>
          <w:top w:w="0" w:type="dxa"/>
          <w:left w:w="0" w:type="dxa"/>
          <w:bottom w:w="0" w:type="dxa"/>
          <w:right w:w="0" w:type="dxa"/>
        </w:tblCellMar>
      </w:tblPr>
      <w:tr>
        <w:trPr>
          <w:trHeight w:val="177"/>
        </w:trPr>
        <w:tc>
          <w:tcPr>
            <w:tcW w:w="684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4"/>
          </w:tcPr>
          <w:p>
            <w:pPr>
              <w:jc w:val="right"/>
              <w:ind w:right="16"/>
              <w:spacing w:after="0"/>
              <w:rPr>
                <w:sz w:val="20"/>
                <w:szCs w:val="20"/>
                <w:color w:val="auto"/>
              </w:rPr>
            </w:pPr>
            <w:r>
              <w:rPr>
                <w:rFonts w:ascii="Arial" w:cs="Arial" w:eastAsia="Arial" w:hAnsi="Arial"/>
                <w:sz w:val="14"/>
                <w:szCs w:val="14"/>
                <w:b w:val="1"/>
                <w:bCs w:val="1"/>
                <w:color w:val="auto"/>
              </w:rPr>
              <w:t>Nine Months Ended</w:t>
            </w:r>
          </w:p>
        </w:tc>
        <w:tc>
          <w:tcPr>
            <w:tcW w:w="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69"/>
        </w:trPr>
        <w:tc>
          <w:tcPr>
            <w:tcW w:w="6840" w:type="dxa"/>
            <w:vAlign w:val="bottom"/>
          </w:tcPr>
          <w:p>
            <w:pPr>
              <w:spacing w:after="0"/>
              <w:rPr>
                <w:sz w:val="14"/>
                <w:szCs w:val="14"/>
                <w:color w:val="auto"/>
              </w:rPr>
            </w:pPr>
          </w:p>
        </w:tc>
        <w:tc>
          <w:tcPr>
            <w:tcW w:w="160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September 30, 2020</w:t>
            </w:r>
          </w:p>
        </w:tc>
        <w:tc>
          <w:tcPr>
            <w:tcW w:w="100" w:type="dxa"/>
            <w:vAlign w:val="bottom"/>
          </w:tcPr>
          <w:p>
            <w:pPr>
              <w:spacing w:after="0"/>
              <w:rPr>
                <w:sz w:val="14"/>
                <w:szCs w:val="14"/>
                <w:color w:val="auto"/>
              </w:rPr>
            </w:pPr>
          </w:p>
        </w:tc>
        <w:tc>
          <w:tcPr>
            <w:tcW w:w="1460" w:type="dxa"/>
            <w:vAlign w:val="bottom"/>
            <w:gridSpan w:val="2"/>
          </w:tcPr>
          <w:p>
            <w:pPr>
              <w:jc w:val="right"/>
              <w:spacing w:after="0"/>
              <w:rPr>
                <w:sz w:val="20"/>
                <w:szCs w:val="20"/>
                <w:color w:val="auto"/>
              </w:rPr>
            </w:pPr>
            <w:r>
              <w:rPr>
                <w:rFonts w:ascii="Arial" w:cs="Arial" w:eastAsia="Arial" w:hAnsi="Arial"/>
                <w:sz w:val="14"/>
                <w:szCs w:val="14"/>
                <w:b w:val="1"/>
                <w:bCs w:val="1"/>
                <w:color w:val="auto"/>
              </w:rPr>
              <w:t>September 30, 2019</w:t>
            </w:r>
          </w:p>
        </w:tc>
        <w:tc>
          <w:tcPr>
            <w:tcW w:w="100" w:type="dxa"/>
            <w:vAlign w:val="bottom"/>
          </w:tcPr>
          <w:p>
            <w:pPr>
              <w:spacing w:after="0"/>
              <w:rPr>
                <w:sz w:val="14"/>
                <w:szCs w:val="14"/>
                <w:color w:val="auto"/>
              </w:rPr>
            </w:pPr>
          </w:p>
        </w:tc>
      </w:tr>
      <w:tr>
        <w:trPr>
          <w:trHeight w:val="209"/>
        </w:trPr>
        <w:tc>
          <w:tcPr>
            <w:tcW w:w="6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provided by operating activities</w:t>
            </w:r>
          </w:p>
        </w:tc>
        <w:tc>
          <w:tcPr>
            <w:tcW w:w="440" w:type="dxa"/>
            <w:vAlign w:val="bottom"/>
            <w:tcBorders>
              <w:top w:val="single" w:sz="8" w:color="auto"/>
            </w:tcBorders>
            <w:shd w:val="clear" w:color="auto" w:fill="CFF0FC"/>
          </w:tcPr>
          <w:p>
            <w:pPr>
              <w:jc w:val="right"/>
              <w:ind w:right="256"/>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113,439</w:t>
            </w: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jc w:val="right"/>
              <w:ind w:right="456"/>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130,628</w:t>
            </w: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4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(36,077)</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(541,710)</w:t>
            </w:r>
          </w:p>
        </w:tc>
      </w:tr>
      <w:tr>
        <w:trPr>
          <w:trHeight w:val="216"/>
        </w:trPr>
        <w:tc>
          <w:tcPr>
            <w:tcW w:w="684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4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345,090</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277,302</w:t>
            </w:r>
          </w:p>
        </w:tc>
        <w:tc>
          <w:tcPr>
            <w:tcW w:w="100" w:type="dxa"/>
            <w:vAlign w:val="bottom"/>
            <w:shd w:val="clear" w:color="auto" w:fill="CFF0FC"/>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Effect of exchange rate changes</w:t>
            </w:r>
          </w:p>
        </w:tc>
        <w:tc>
          <w:tcPr>
            <w:tcW w:w="4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(953)</w:t>
            </w:r>
          </w:p>
        </w:tc>
      </w:tr>
      <w:tr>
        <w:trPr>
          <w:trHeight w:val="209"/>
        </w:trPr>
        <w:tc>
          <w:tcPr>
            <w:tcW w:w="68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increase (decrease) in cash and cash equivalents</w:t>
            </w:r>
          </w:p>
        </w:tc>
        <w:tc>
          <w:tcPr>
            <w:tcW w:w="440" w:type="dxa"/>
            <w:vAlign w:val="bottom"/>
            <w:tcBorders>
              <w:top w:val="single" w:sz="8" w:color="auto"/>
              <w:bottom w:val="single" w:sz="8" w:color="auto"/>
            </w:tcBorders>
            <w:shd w:val="clear" w:color="auto" w:fill="CFF0FC"/>
          </w:tcPr>
          <w:p>
            <w:pPr>
              <w:jc w:val="right"/>
              <w:ind w:right="256"/>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422,383</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640" w:type="dxa"/>
            <w:vAlign w:val="bottom"/>
            <w:tcBorders>
              <w:top w:val="single" w:sz="8" w:color="auto"/>
              <w:bottom w:val="single" w:sz="8" w:color="auto"/>
            </w:tcBorders>
            <w:shd w:val="clear" w:color="auto" w:fill="CFF0FC"/>
          </w:tcPr>
          <w:p>
            <w:pPr>
              <w:jc w:val="right"/>
              <w:ind w:right="456"/>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(134,733)</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68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02" w:lineRule="exact"/>
        <w:rPr>
          <w:sz w:val="20"/>
          <w:szCs w:val="20"/>
          <w:color w:val="auto"/>
        </w:rPr>
      </w:pPr>
    </w:p>
    <w:p>
      <w:pPr>
        <w:ind w:firstLine="637"/>
        <w:spacing w:after="0" w:line="243" w:lineRule="auto"/>
        <w:rPr>
          <w:sz w:val="20"/>
          <w:szCs w:val="20"/>
          <w:color w:val="auto"/>
        </w:rPr>
      </w:pPr>
      <w:r>
        <w:rPr>
          <w:rFonts w:ascii="Arial" w:cs="Arial" w:eastAsia="Arial" w:hAnsi="Arial"/>
          <w:sz w:val="18"/>
          <w:szCs w:val="18"/>
          <w:color w:val="auto"/>
        </w:rPr>
        <w:t>Net cash provided by operating activities consists primarily of net income (loss) adjusted for noncash items, such as: equity in earnings (loss) of unconsolidated joint ventures, contributions of treasury stock, depreciation and amortization of property and equipment and intangible assets, and provisions for doubtful accounts. The timing between the conversion of our billed and unbilled receivables into cash from our customers and disbursements to our employees and vendors is the primary driver of changes in our working capital. Our operating cash flows are primarily affected by our ability to invoice and collect from our clients in a timely manner, our ability to manage our vendor payments and the overall profitability of our contracts.</w:t>
      </w:r>
    </w:p>
    <w:p>
      <w:pPr>
        <w:spacing w:after="0" w:line="66" w:lineRule="exact"/>
        <w:rPr>
          <w:sz w:val="20"/>
          <w:szCs w:val="20"/>
          <w:color w:val="auto"/>
        </w:rPr>
      </w:pPr>
    </w:p>
    <w:p>
      <w:pPr>
        <w:ind w:right="20" w:firstLine="637"/>
        <w:spacing w:after="0" w:line="243" w:lineRule="auto"/>
        <w:rPr>
          <w:sz w:val="20"/>
          <w:szCs w:val="20"/>
          <w:color w:val="auto"/>
        </w:rPr>
      </w:pPr>
      <w:r>
        <w:rPr>
          <w:rFonts w:ascii="Arial" w:cs="Arial" w:eastAsia="Arial" w:hAnsi="Arial"/>
          <w:sz w:val="18"/>
          <w:szCs w:val="18"/>
          <w:color w:val="auto"/>
        </w:rPr>
        <w:t>Net cash provided by operating activities decreased $17.2 million to $113.4 million for the nine months ended September 30, 2020 compared to $130.6 million of cash provided by operating activities for the nine months ended September 30, 2019. The change in net cash provided by operating activities is primarily from a $92.3 million increase in net income after adjusting for non-cash items, more than offset by a change of $28.7 million in other long-term liabilities, primarily driven by the payment of long-term employee incentives offset by the deferral of social security payroll taxes as described below and a $80.8 million increase in cash outflows from our working capital accounts (primarily from accounts receivable and contract liabilities offset by accrued expenses and contract assets).</w:t>
      </w:r>
    </w:p>
    <w:p>
      <w:pPr>
        <w:spacing w:after="0" w:line="66" w:lineRule="exact"/>
        <w:rPr>
          <w:sz w:val="20"/>
          <w:szCs w:val="20"/>
          <w:color w:val="auto"/>
        </w:rPr>
      </w:pPr>
    </w:p>
    <w:p>
      <w:pPr>
        <w:ind w:right="40" w:firstLine="637"/>
        <w:spacing w:after="0" w:line="248" w:lineRule="auto"/>
        <w:rPr>
          <w:sz w:val="20"/>
          <w:szCs w:val="20"/>
          <w:color w:val="auto"/>
        </w:rPr>
      </w:pPr>
      <w:r>
        <w:rPr>
          <w:rFonts w:ascii="Arial" w:cs="Arial" w:eastAsia="Arial" w:hAnsi="Arial"/>
          <w:sz w:val="18"/>
          <w:szCs w:val="18"/>
          <w:color w:val="auto"/>
        </w:rPr>
        <w:t>Under the CARES Act, the Company has been provided a net cash benefit of $26.2 million from the deferral of social security taxes otherwise due from April 10, 2020 through the quarter ended September 30, 2020 and will continue to defer employer social security taxes otherwise due for the remaining of the calendar year 2020; one-half of which are due December 31, 2021 and the second-half which are due December 31, 2022.</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0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Net cash used in investing activities consists primarily of cash flows associated with capital expenditures and business acquisitions.</w:t>
      </w:r>
    </w:p>
    <w:p>
      <w:pPr>
        <w:spacing w:after="0" w:line="212" w:lineRule="exact"/>
        <w:rPr>
          <w:sz w:val="20"/>
          <w:szCs w:val="20"/>
          <w:color w:val="auto"/>
        </w:rPr>
      </w:pPr>
    </w:p>
    <w:p>
      <w:pPr>
        <w:ind w:right="80" w:firstLine="637"/>
        <w:spacing w:after="0" w:line="268" w:lineRule="auto"/>
        <w:rPr>
          <w:sz w:val="20"/>
          <w:szCs w:val="20"/>
          <w:color w:val="auto"/>
        </w:rPr>
      </w:pPr>
      <w:r>
        <w:rPr>
          <w:rFonts w:ascii="Arial" w:cs="Arial" w:eastAsia="Arial" w:hAnsi="Arial"/>
          <w:sz w:val="17"/>
          <w:szCs w:val="17"/>
          <w:color w:val="auto"/>
        </w:rPr>
        <w:t>Net cash used in investing activities decreased $505.6 million to $36.1 million for the nine months ended September 30, 2020, when compared to $541.7 million for the nine months ended September 30, 2019, primarily due to the use of $287.5 million, net of cash acquired, for the acquisition of OGSystems on January 7, 2019, and the use of $208.2 million, net of cash acquired, for the acquisition of QRC Technologies on July 31, 2019. The Company had no business acquisitions activity during the nine months ended September 30, 2020.</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02" w:lineRule="exact"/>
        <w:rPr>
          <w:sz w:val="20"/>
          <w:szCs w:val="20"/>
          <w:color w:val="auto"/>
        </w:rPr>
      </w:pPr>
    </w:p>
    <w:p>
      <w:pPr>
        <w:ind w:right="120" w:firstLine="637"/>
        <w:spacing w:after="0" w:line="276" w:lineRule="auto"/>
        <w:rPr>
          <w:sz w:val="20"/>
          <w:szCs w:val="20"/>
          <w:color w:val="auto"/>
        </w:rPr>
      </w:pPr>
      <w:r>
        <w:rPr>
          <w:rFonts w:ascii="Arial" w:cs="Arial" w:eastAsia="Arial" w:hAnsi="Arial"/>
          <w:sz w:val="18"/>
          <w:szCs w:val="18"/>
          <w:color w:val="auto"/>
        </w:rPr>
        <w:t>Net cash provided by financing activities is primarily associated with proceeds from debt, the repayment thereof, and distributions to noncontrolling interests.</w:t>
      </w:r>
    </w:p>
    <w:p>
      <w:pPr>
        <w:spacing w:after="0" w:line="145" w:lineRule="exact"/>
        <w:rPr>
          <w:sz w:val="20"/>
          <w:szCs w:val="20"/>
          <w:color w:val="auto"/>
        </w:rPr>
      </w:pPr>
    </w:p>
    <w:p>
      <w:pPr>
        <w:ind w:right="20" w:firstLine="637"/>
        <w:spacing w:after="0" w:line="245" w:lineRule="auto"/>
        <w:rPr>
          <w:sz w:val="20"/>
          <w:szCs w:val="20"/>
          <w:color w:val="auto"/>
        </w:rPr>
      </w:pPr>
      <w:r>
        <w:rPr>
          <w:rFonts w:ascii="Arial" w:cs="Arial" w:eastAsia="Arial" w:hAnsi="Arial"/>
          <w:sz w:val="18"/>
          <w:szCs w:val="18"/>
          <w:color w:val="auto"/>
        </w:rPr>
        <w:t>Net cash provided by financing activities increased $67.8 million to $345.1 million for the nine months ended September 2020 compared to $277.3 million in net cash provided by financing activities for the nine months ended September 30, 2019. The change in cash flows from financing activities is primarily due to $348.5 million of net proceeds from the issuance of Convertible Senior Notes during the nine months ended September 30, 2020 compared to $536.9 million of IPO proceeds offset in part by net repayments of borrowings of $180 million and a dividend payment of $52.1 million during the nine months ended September 30, 2019.</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i w:val="1"/>
          <w:iCs w:val="1"/>
          <w:color w:val="auto"/>
        </w:rPr>
        <w:t>Letters of Credit</w:t>
      </w:r>
    </w:p>
    <w:p>
      <w:pPr>
        <w:spacing w:after="0" w:line="104" w:lineRule="exact"/>
        <w:rPr>
          <w:sz w:val="20"/>
          <w:szCs w:val="20"/>
          <w:color w:val="auto"/>
        </w:rPr>
      </w:pPr>
    </w:p>
    <w:p>
      <w:pPr>
        <w:ind w:right="120" w:firstLine="637"/>
        <w:spacing w:after="0" w:line="248" w:lineRule="auto"/>
        <w:rPr>
          <w:sz w:val="20"/>
          <w:szCs w:val="20"/>
          <w:color w:val="auto"/>
        </w:rPr>
      </w:pPr>
      <w:r>
        <w:rPr>
          <w:rFonts w:ascii="Arial" w:cs="Arial" w:eastAsia="Arial" w:hAnsi="Arial"/>
          <w:sz w:val="18"/>
          <w:szCs w:val="18"/>
          <w:color w:val="auto"/>
        </w:rPr>
        <w:t>We also have in place several secondary bank credit lines for issuing letters of credit, principally for foreign contracts, to support performance and completion guarantees. Letters of credit commitments outstanding under these bank lines aggregated $198.0 million as of September 30, 2020, including $ 44.9 million of letters of credit outstanding under the Credit Agreement. Total letters of credit outstanding at September 30, 2020 are $242.9 million.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04" w:lineRule="exact"/>
        <w:rPr>
          <w:sz w:val="20"/>
          <w:szCs w:val="20"/>
          <w:color w:val="auto"/>
        </w:rPr>
      </w:pPr>
    </w:p>
    <w:p>
      <w:pPr>
        <w:ind w:right="1320" w:firstLine="637"/>
        <w:spacing w:after="0" w:line="276" w:lineRule="auto"/>
        <w:rPr>
          <w:sz w:val="20"/>
          <w:szCs w:val="20"/>
          <w:color w:val="auto"/>
        </w:rPr>
      </w:pPr>
      <w:r>
        <w:rPr>
          <w:rFonts w:ascii="Arial" w:cs="Arial" w:eastAsia="Arial" w:hAnsi="Arial"/>
          <w:sz w:val="18"/>
          <w:szCs w:val="18"/>
          <w:color w:val="auto"/>
        </w:rPr>
        <w:t>See the information set forth in “Note 3—Summary of Significant Accounting Policies—Recently Adopted Accounting Pronouncements” in the notes to our consolidated financial statements.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04" w:lineRule="exact"/>
        <w:rPr>
          <w:sz w:val="20"/>
          <w:szCs w:val="20"/>
          <w:color w:val="auto"/>
        </w:rPr>
      </w:pPr>
    </w:p>
    <w:p>
      <w:pPr>
        <w:ind w:right="120" w:firstLine="637"/>
        <w:spacing w:after="0" w:line="255" w:lineRule="auto"/>
        <w:rPr>
          <w:sz w:val="20"/>
          <w:szCs w:val="20"/>
          <w:color w:val="auto"/>
        </w:rPr>
      </w:pPr>
      <w:r>
        <w:rPr>
          <w:rFonts w:ascii="Arial" w:cs="Arial" w:eastAsia="Arial" w:hAnsi="Arial"/>
          <w:sz w:val="18"/>
          <w:szCs w:val="18"/>
          <w:color w:val="auto"/>
        </w:rPr>
        <w:t>As of September 30, 2020, we have no off-balance sheet arrangements that have or are reasonably likely to have a material current or future effect on our financial condition, changes in financial condition, revenue or expenses, results of operations, liquidity, capital expenditures or capital resources.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04" w:lineRule="exact"/>
        <w:rPr>
          <w:sz w:val="20"/>
          <w:szCs w:val="20"/>
          <w:color w:val="auto"/>
        </w:rPr>
      </w:pPr>
    </w:p>
    <w:p>
      <w:pPr>
        <w:ind w:firstLine="637"/>
        <w:spacing w:after="0" w:line="243" w:lineRule="auto"/>
        <w:rPr>
          <w:sz w:val="20"/>
          <w:szCs w:val="20"/>
          <w:color w:val="auto"/>
        </w:rPr>
      </w:pPr>
      <w:r>
        <w:rPr>
          <w:rFonts w:ascii="Arial" w:cs="Arial" w:eastAsia="Arial" w:hAnsi="Arial"/>
          <w:sz w:val="18"/>
          <w:szCs w:val="18"/>
          <w:color w:val="auto"/>
        </w:rPr>
        <w:t>We are exposed to interest rate risks related to the Company’s Revolving Credit Facility. As of September 30, 2020, there were no amounts outstanding under the Revolving Credit Facility. Borrowings under the Credit Facility bear interest, at the Company’s option, at either the Base Rate (as defined in the Credit Agreement), plus an applicable margin, or LIBOR plus an applicable margin. The applicable margin for Base Rate loans is a range of 0.125% to 1.00% and the applicable margin for LIBOR loans is a range of 1.125% to 2.00%, both based on the leverage ratio of the Company at the end of each fiscal quarter. The rates at September 30, 2020 and December 31, 2019 were 1.44% and 3.02%, respectively.</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04" w:lineRule="exact"/>
        <w:rPr>
          <w:sz w:val="20"/>
          <w:szCs w:val="20"/>
          <w:color w:val="auto"/>
        </w:rPr>
      </w:pPr>
    </w:p>
    <w:p>
      <w:pPr>
        <w:ind w:right="80" w:firstLine="637"/>
        <w:spacing w:after="0" w:line="248" w:lineRule="auto"/>
        <w:rPr>
          <w:sz w:val="20"/>
          <w:szCs w:val="20"/>
          <w:color w:val="auto"/>
        </w:rPr>
      </w:pPr>
      <w:r>
        <w:rPr>
          <w:rFonts w:ascii="Arial" w:cs="Arial" w:eastAsia="Arial" w:hAnsi="Arial"/>
          <w:sz w:val="18"/>
          <w:szCs w:val="18"/>
          <w:color w:val="auto"/>
        </w:rPr>
        <w:t>We are exposed to foreign currency exchange rate risk resulting from our operations outside of the U.S. We limit exposure to foreign currency fluctuations in most of our contracts through provisions that require client payments in currencies corresponding to the currency in which costs are incurred. As a result of this natural hedge, we generally do not need to hedge foreign currency cash flows for contract work performed.</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04"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Evaluation of Disclosure Control and Procedures</w:t>
      </w:r>
    </w:p>
    <w:p>
      <w:pPr>
        <w:spacing w:after="0" w:line="106" w:lineRule="exact"/>
        <w:rPr>
          <w:sz w:val="20"/>
          <w:szCs w:val="20"/>
          <w:color w:val="auto"/>
        </w:rPr>
      </w:pPr>
    </w:p>
    <w:p>
      <w:pPr>
        <w:ind w:right="100" w:firstLine="637"/>
        <w:spacing w:after="0"/>
        <w:rPr>
          <w:sz w:val="20"/>
          <w:szCs w:val="20"/>
          <w:color w:val="auto"/>
        </w:rPr>
      </w:pPr>
      <w:r>
        <w:rPr>
          <w:rFonts w:ascii="Arial" w:cs="Arial" w:eastAsia="Arial" w:hAnsi="Arial"/>
          <w:sz w:val="18"/>
          <w:szCs w:val="18"/>
          <w:color w:val="auto"/>
        </w:rPr>
        <w:t>Our management carried out, as of September 30, 2020, with the participation of our Chief Executive Officer and our Chief Financial Officer, an evaluation of the effectiveness of our disclosure controls and procedures (as defined in Rules 13a-15(e) and 15d-15(e) under the Securities Exchange Act of 1934, as amended (the “Exchange Act”)). Based on that evaluation, our Chief Executive Officer and Chief Financial Officer concluded that, as of September 30, 2020 , our disclosure controls and procedures were effective to provide reasonable assurance that material information required to be disclosed by us in reports we file under the Exchange Act is recorded, processed, summarized and reported within the time periods specified in the SEC rules and forms and that information required to be disclosed by us in the reports we file or submit under the Exchange Act is accumulated and communicated to our management, including our Chief Executive Officer and Chief Financial Officer, as appropriate to allow timely decisions regarding required disclosure.</w:t>
      </w:r>
    </w:p>
    <w:p>
      <w:pPr>
        <w:spacing w:after="0" w:line="286"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06" w:lineRule="exact"/>
        <w:rPr>
          <w:sz w:val="20"/>
          <w:szCs w:val="20"/>
          <w:color w:val="auto"/>
        </w:rPr>
      </w:pPr>
    </w:p>
    <w:p>
      <w:pPr>
        <w:ind w:right="200" w:firstLine="637"/>
        <w:spacing w:after="0" w:line="276" w:lineRule="auto"/>
        <w:rPr>
          <w:sz w:val="20"/>
          <w:szCs w:val="20"/>
          <w:color w:val="auto"/>
        </w:rPr>
      </w:pPr>
      <w:r>
        <w:rPr>
          <w:rFonts w:ascii="Arial" w:cs="Arial" w:eastAsia="Arial" w:hAnsi="Arial"/>
          <w:sz w:val="18"/>
          <w:szCs w:val="18"/>
          <w:color w:val="auto"/>
        </w:rPr>
        <w:t>During the third quarter of 2020, there were no changes to our internal control over financial reporting that have materially affected, or are reasonably likely to materially affect, our internal control over financial reporting.</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5" w:name="page46"/>
    <w:bookmarkEnd w:id="45"/>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06" w:lineRule="exact"/>
        <w:rPr>
          <w:sz w:val="20"/>
          <w:szCs w:val="20"/>
          <w:color w:val="auto"/>
        </w:rPr>
      </w:pPr>
    </w:p>
    <w:p>
      <w:pPr>
        <w:ind w:right="460" w:firstLine="637"/>
        <w:spacing w:after="0" w:line="276" w:lineRule="auto"/>
        <w:rPr>
          <w:sz w:val="20"/>
          <w:szCs w:val="20"/>
          <w:color w:val="auto"/>
        </w:rPr>
      </w:pPr>
      <w:r>
        <w:rPr>
          <w:rFonts w:ascii="Arial" w:cs="Arial" w:eastAsia="Arial" w:hAnsi="Arial"/>
          <w:sz w:val="18"/>
          <w:szCs w:val="18"/>
          <w:color w:val="auto"/>
        </w:rPr>
        <w:t>The information required by this Item 1 is included in “Note 12 – Contingencies” included in the Notes to Consolidated Financial Statements appearing under Part I, Item 1 of this Form 10-Q which is incorporated herein by reference.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06" w:lineRule="exact"/>
        <w:rPr>
          <w:sz w:val="20"/>
          <w:szCs w:val="20"/>
          <w:color w:val="auto"/>
        </w:rPr>
      </w:pPr>
    </w:p>
    <w:p>
      <w:pPr>
        <w:ind w:right="240" w:firstLine="637"/>
        <w:spacing w:after="0" w:line="255" w:lineRule="auto"/>
        <w:rPr>
          <w:sz w:val="20"/>
          <w:szCs w:val="20"/>
          <w:color w:val="auto"/>
        </w:rPr>
      </w:pPr>
      <w:r>
        <w:rPr>
          <w:rFonts w:ascii="Arial" w:cs="Arial" w:eastAsia="Arial" w:hAnsi="Arial"/>
          <w:sz w:val="18"/>
          <w:szCs w:val="18"/>
          <w:color w:val="auto"/>
        </w:rPr>
        <w:t>There have been no material changes from our Risk Factors disclosed in the Company’s Form 10-K for the year ended December 31, 2019 other than as set forth below. See also our updates for the COVID-19 pandemic included in Management’s Discussion and Analysis of Financial Condition and Results of Operations of this Form 10-Q.</w:t>
      </w:r>
    </w:p>
    <w:p>
      <w:pPr>
        <w:spacing w:after="0" w:line="164" w:lineRule="exact"/>
        <w:rPr>
          <w:sz w:val="20"/>
          <w:szCs w:val="20"/>
          <w:color w:val="auto"/>
        </w:rPr>
      </w:pPr>
    </w:p>
    <w:p>
      <w:pPr>
        <w:ind w:right="560"/>
        <w:spacing w:after="0" w:line="285" w:lineRule="auto"/>
        <w:rPr>
          <w:sz w:val="20"/>
          <w:szCs w:val="20"/>
          <w:color w:val="auto"/>
        </w:rPr>
      </w:pPr>
      <w:r>
        <w:rPr>
          <w:rFonts w:ascii="Arial" w:cs="Arial" w:eastAsia="Arial" w:hAnsi="Arial"/>
          <w:sz w:val="18"/>
          <w:szCs w:val="18"/>
          <w:b w:val="1"/>
          <w:bCs w:val="1"/>
          <w:i w:val="1"/>
          <w:iCs w:val="1"/>
          <w:color w:val="auto"/>
        </w:rPr>
        <w:t>Our business, results of operations, financial condition, cash flows and stock price can be adversely affected by pandemics, epidemics or other public health emergencies, such as the recent outbreak of COVID-19.</w:t>
      </w:r>
    </w:p>
    <w:p>
      <w:pPr>
        <w:spacing w:after="0" w:line="21" w:lineRule="exact"/>
        <w:rPr>
          <w:sz w:val="20"/>
          <w:szCs w:val="20"/>
          <w:color w:val="auto"/>
        </w:rPr>
      </w:pPr>
    </w:p>
    <w:p>
      <w:pPr>
        <w:ind w:right="20" w:firstLine="637"/>
        <w:spacing w:after="0" w:line="241" w:lineRule="auto"/>
        <w:rPr>
          <w:sz w:val="20"/>
          <w:szCs w:val="20"/>
          <w:color w:val="auto"/>
        </w:rPr>
      </w:pPr>
      <w:r>
        <w:rPr>
          <w:rFonts w:ascii="Arial" w:cs="Arial" w:eastAsia="Arial" w:hAnsi="Arial"/>
          <w:sz w:val="18"/>
          <w:szCs w:val="18"/>
          <w:color w:val="auto"/>
        </w:rPr>
        <w:t>Our business, results of operations, financial condition, cash flows and stock price can be adversely affected by pandemics, epidemics or other public health emergencies, such as the recent outbreak of COVID-19 which has spread from China to many other countries including the United States. In March 2020, the World Health Organization characterized COVID-19 as a pandemic, and the President of the United States declared the COVID-19 outbreak a national emergency. The outbreak has resulted in governments around the world implementing increasingly stringent measures to help control the spread of the virus, including quarantines, “shelter in place” and “stay at home" orders, travel restrictions, business curtailments, school closures, and other measures. In addition, governments and central banks in several parts of the world have enacted fiscal and monetary stimulus measures to counteract the impacts of COVID-19.</w:t>
      </w:r>
    </w:p>
    <w:p>
      <w:pPr>
        <w:spacing w:after="0" w:line="71" w:lineRule="exact"/>
        <w:rPr>
          <w:sz w:val="20"/>
          <w:szCs w:val="20"/>
          <w:color w:val="auto"/>
        </w:rPr>
      </w:pPr>
    </w:p>
    <w:p>
      <w:pPr>
        <w:ind w:firstLine="637"/>
        <w:spacing w:after="0" w:line="238" w:lineRule="auto"/>
        <w:rPr>
          <w:sz w:val="20"/>
          <w:szCs w:val="20"/>
          <w:color w:val="auto"/>
        </w:rPr>
      </w:pPr>
      <w:r>
        <w:rPr>
          <w:rFonts w:ascii="Arial" w:cs="Arial" w:eastAsia="Arial" w:hAnsi="Arial"/>
          <w:sz w:val="18"/>
          <w:szCs w:val="18"/>
          <w:color w:val="auto"/>
        </w:rPr>
        <w:t>Although we have continued our operations consistent with federal guidelines and state and local orders, the outbreak of COVID-19 and any preventive or protective actions taken by governmental authorities may have a material adverse effect on our operations, employees and customers, including business shutdowns or disruptions. The extent to which COVID-19 may adversely impact our business depends on future developments, which are highly uncertain and unpredictable, depending upon the severity and duration of the outbreak and the effectiveness of actions taken globally to contain or mitigate its effects. Any resulting financial impact cannot be estimated reasonably at this time but may materially adversely affect our ability to collect accounts receivables and our business, results of operations, financial condition and cash flows. Even after the COVID-19 pandemic has subsided, we may experience materially adverse impacts to our business due to any resulting economic recession or depression. Additionally, concerns over the economic impact of COVID-19 have caused extreme volatility in financial and other capital markets which has and may continue to adversely impact our stock price and our ability to access capital markets. To the extent the COVID-19 pandemic adversely affects our business and financial results, it may also have the effect of heightening many of the other risks described in our Form 10-K for the year ended December 31, 2019, such as those relating to government spending and priorities.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0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0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0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0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1" w:right="35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Item 6. Exhibits.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40" w:type="dxa"/>
            <w:vAlign w:val="bottom"/>
          </w:tcPr>
          <w:p>
            <w:pPr>
              <w:jc w:val="right"/>
              <w:ind w:right="96"/>
              <w:spacing w:after="0"/>
              <w:rPr>
                <w:sz w:val="20"/>
                <w:szCs w:val="20"/>
                <w:color w:val="auto"/>
              </w:rPr>
            </w:pPr>
            <w:r>
              <w:rPr>
                <w:rFonts w:ascii="Arial" w:cs="Arial" w:eastAsia="Arial" w:hAnsi="Arial"/>
                <w:sz w:val="14"/>
                <w:szCs w:val="14"/>
                <w:b w:val="1"/>
                <w:bCs w:val="1"/>
                <w:color w:val="auto"/>
              </w:rPr>
              <w:t>Exhibit</w:t>
            </w:r>
          </w:p>
        </w:tc>
        <w:tc>
          <w:tcPr>
            <w:tcW w:w="1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7"/>
        </w:trPr>
        <w:tc>
          <w:tcPr>
            <w:tcW w:w="84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5"/>
                <w:szCs w:val="15"/>
                <w:color w:val="auto"/>
              </w:rPr>
            </w:pPr>
          </w:p>
        </w:tc>
        <w:tc>
          <w:tcPr>
            <w:tcW w:w="2300" w:type="dxa"/>
            <w:vAlign w:val="bottom"/>
            <w:tcBorders>
              <w:bottom w:val="single" w:sz="8" w:color="auto"/>
            </w:tcBorders>
          </w:tcPr>
          <w:p>
            <w:pPr>
              <w:spacing w:after="0"/>
              <w:rPr>
                <w:sz w:val="15"/>
                <w:szCs w:val="15"/>
                <w:color w:val="auto"/>
              </w:rPr>
            </w:pPr>
          </w:p>
        </w:tc>
        <w:tc>
          <w:tcPr>
            <w:tcW w:w="8020" w:type="dxa"/>
            <w:vAlign w:val="bottom"/>
            <w:tcBorders>
              <w:bottom w:val="single" w:sz="8" w:color="auto"/>
            </w:tcBorders>
            <w:gridSpan w:val="6"/>
          </w:tcPr>
          <w:p>
            <w:pPr>
              <w:ind w:left="2460"/>
              <w:spacing w:after="0"/>
              <w:rPr>
                <w:sz w:val="20"/>
                <w:szCs w:val="20"/>
                <w:color w:val="auto"/>
              </w:rPr>
            </w:pPr>
            <w:r>
              <w:rPr>
                <w:rFonts w:ascii="Arial" w:cs="Arial" w:eastAsia="Arial" w:hAnsi="Arial"/>
                <w:sz w:val="14"/>
                <w:szCs w:val="14"/>
                <w:b w:val="1"/>
                <w:bCs w:val="1"/>
                <w:color w:val="auto"/>
              </w:rPr>
              <w:t>Description</w:t>
            </w:r>
          </w:p>
        </w:tc>
      </w:tr>
      <w:tr>
        <w:trPr>
          <w:trHeight w:val="290"/>
        </w:trPr>
        <w:tc>
          <w:tcPr>
            <w:tcW w:w="840" w:type="dxa"/>
            <w:vAlign w:val="bottom"/>
          </w:tcPr>
          <w:p>
            <w:pPr>
              <w:jc w:val="right"/>
              <w:ind w:right="336"/>
              <w:spacing w:after="0"/>
              <w:rPr>
                <w:sz w:val="20"/>
                <w:szCs w:val="20"/>
                <w:color w:val="auto"/>
              </w:rPr>
            </w:pPr>
            <w:r>
              <w:rPr>
                <w:rFonts w:ascii="Arial" w:cs="Arial" w:eastAsia="Arial" w:hAnsi="Arial"/>
                <w:sz w:val="18"/>
                <w:szCs w:val="18"/>
                <w:color w:val="auto"/>
                <w:w w:val="95"/>
              </w:rPr>
              <w:t>31.1*</w:t>
            </w:r>
          </w:p>
        </w:tc>
        <w:tc>
          <w:tcPr>
            <w:tcW w:w="100" w:type="dxa"/>
            <w:vAlign w:val="bottom"/>
          </w:tcPr>
          <w:p>
            <w:pPr>
              <w:spacing w:after="0"/>
              <w:rPr>
                <w:sz w:val="24"/>
                <w:szCs w:val="24"/>
                <w:color w:val="auto"/>
              </w:rPr>
            </w:pPr>
          </w:p>
        </w:tc>
        <w:tc>
          <w:tcPr>
            <w:tcW w:w="10320" w:type="dxa"/>
            <w:vAlign w:val="bottom"/>
            <w:gridSpan w:val="7"/>
          </w:tcPr>
          <w:p>
            <w:pPr>
              <w:spacing w:after="0"/>
              <w:rPr>
                <w:rFonts w:ascii="Arial" w:cs="Arial" w:eastAsia="Arial" w:hAnsi="Arial"/>
                <w:sz w:val="18"/>
                <w:szCs w:val="18"/>
                <w:color w:val="0000EE"/>
                <w:w w:val="99"/>
              </w:rPr>
            </w:pPr>
            <w:hyperlink w:anchor="page49">
              <w:r>
                <w:rPr>
                  <w:rFonts w:ascii="Arial" w:cs="Arial" w:eastAsia="Arial" w:hAnsi="Arial"/>
                  <w:sz w:val="18"/>
                  <w:szCs w:val="18"/>
                  <w:color w:val="0000EE"/>
                  <w:w w:val="99"/>
                </w:rPr>
                <w:t>Certification of Principal Executive Officer Pursuant to Rules 13a-14(a) and 15d-14(a) under the Securities Exchange Act of 1934,</w:t>
              </w:r>
            </w:hyperlink>
          </w:p>
        </w:tc>
      </w:tr>
      <w:tr>
        <w:trPr>
          <w:trHeight w:val="183"/>
        </w:trPr>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74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99"/>
              </w:rPr>
            </w:pPr>
            <w:hyperlink w:anchor="page49">
              <w:r>
                <w:rPr>
                  <w:rFonts w:ascii="Arial" w:cs="Arial" w:eastAsia="Arial" w:hAnsi="Arial"/>
                  <w:sz w:val="18"/>
                  <w:szCs w:val="18"/>
                  <w:color w:val="0000EE"/>
                  <w:w w:val="99"/>
                </w:rPr>
                <w:t>as Adopted Pursuant to Section 302 of the Sarbanes-Oxley Act of 2002.</w:t>
              </w:r>
            </w:hyperlink>
          </w:p>
        </w:tc>
        <w:tc>
          <w:tcPr>
            <w:tcW w:w="4560" w:type="dxa"/>
            <w:vAlign w:val="bottom"/>
            <w:tcBorders>
              <w:top w:val="single" w:sz="8" w:color="0000EE"/>
            </w:tcBorders>
            <w:gridSpan w:val="4"/>
          </w:tcPr>
          <w:p>
            <w:pPr>
              <w:spacing w:after="0"/>
              <w:rPr>
                <w:sz w:val="15"/>
                <w:szCs w:val="15"/>
                <w:color w:val="auto"/>
              </w:rPr>
            </w:pPr>
          </w:p>
        </w:tc>
        <w:tc>
          <w:tcPr>
            <w:tcW w:w="20" w:type="dxa"/>
            <w:vAlign w:val="bottom"/>
          </w:tcPr>
          <w:p>
            <w:pPr>
              <w:spacing w:after="0"/>
              <w:rPr>
                <w:sz w:val="15"/>
                <w:szCs w:val="15"/>
                <w:color w:val="auto"/>
              </w:rPr>
            </w:pPr>
          </w:p>
        </w:tc>
      </w:tr>
      <w:tr>
        <w:trPr>
          <w:trHeight w:val="304"/>
        </w:trPr>
        <w:tc>
          <w:tcPr>
            <w:tcW w:w="840" w:type="dxa"/>
            <w:vAlign w:val="bottom"/>
          </w:tcPr>
          <w:p>
            <w:pPr>
              <w:jc w:val="right"/>
              <w:ind w:right="336"/>
              <w:spacing w:after="0"/>
              <w:rPr>
                <w:sz w:val="20"/>
                <w:szCs w:val="20"/>
                <w:color w:val="auto"/>
              </w:rPr>
            </w:pPr>
            <w:r>
              <w:rPr>
                <w:rFonts w:ascii="Arial" w:cs="Arial" w:eastAsia="Arial" w:hAnsi="Arial"/>
                <w:sz w:val="18"/>
                <w:szCs w:val="18"/>
                <w:color w:val="auto"/>
                <w:w w:val="95"/>
              </w:rPr>
              <w:t>31.2*</w:t>
            </w:r>
          </w:p>
        </w:tc>
        <w:tc>
          <w:tcPr>
            <w:tcW w:w="100" w:type="dxa"/>
            <w:vAlign w:val="bottom"/>
          </w:tcPr>
          <w:p>
            <w:pPr>
              <w:spacing w:after="0"/>
              <w:rPr>
                <w:sz w:val="24"/>
                <w:szCs w:val="24"/>
                <w:color w:val="auto"/>
              </w:rPr>
            </w:pPr>
          </w:p>
        </w:tc>
        <w:tc>
          <w:tcPr>
            <w:tcW w:w="10320" w:type="dxa"/>
            <w:vAlign w:val="bottom"/>
            <w:gridSpan w:val="7"/>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Certification of Principal Financial Officer Pursuant to Rules 13a-14(a) and 15d-14(a) under the Securities Exchange Act of 1934,</w:t>
              </w:r>
            </w:hyperlink>
          </w:p>
        </w:tc>
      </w:tr>
      <w:tr>
        <w:trPr>
          <w:trHeight w:val="183"/>
        </w:trPr>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74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99"/>
              </w:rPr>
            </w:pPr>
            <w:hyperlink w:anchor="page50">
              <w:r>
                <w:rPr>
                  <w:rFonts w:ascii="Arial" w:cs="Arial" w:eastAsia="Arial" w:hAnsi="Arial"/>
                  <w:sz w:val="18"/>
                  <w:szCs w:val="18"/>
                  <w:color w:val="0000EE"/>
                  <w:w w:val="99"/>
                </w:rPr>
                <w:t>as Adopted Pursuant to Section 302 of the Sarbanes-Oxley Act of 2002.</w:t>
              </w:r>
            </w:hyperlink>
          </w:p>
        </w:tc>
        <w:tc>
          <w:tcPr>
            <w:tcW w:w="4500" w:type="dxa"/>
            <w:vAlign w:val="bottom"/>
            <w:tcBorders>
              <w:top w:val="single" w:sz="8" w:color="0000EE"/>
            </w:tcBorders>
            <w:gridSpan w:val="3"/>
          </w:tcPr>
          <w:p>
            <w:pPr>
              <w:spacing w:after="0"/>
              <w:rPr>
                <w:sz w:val="15"/>
                <w:szCs w:val="15"/>
                <w:color w:val="auto"/>
              </w:rPr>
            </w:pPr>
          </w:p>
        </w:tc>
        <w:tc>
          <w:tcPr>
            <w:tcW w:w="80" w:type="dxa"/>
            <w:vAlign w:val="bottom"/>
            <w:gridSpan w:val="2"/>
          </w:tcPr>
          <w:p>
            <w:pPr>
              <w:spacing w:after="0"/>
              <w:rPr>
                <w:sz w:val="15"/>
                <w:szCs w:val="15"/>
                <w:color w:val="auto"/>
              </w:rPr>
            </w:pPr>
          </w:p>
        </w:tc>
      </w:tr>
      <w:tr>
        <w:trPr>
          <w:trHeight w:val="304"/>
        </w:trPr>
        <w:tc>
          <w:tcPr>
            <w:tcW w:w="840" w:type="dxa"/>
            <w:vAlign w:val="bottom"/>
          </w:tcPr>
          <w:p>
            <w:pPr>
              <w:jc w:val="right"/>
              <w:ind w:right="336"/>
              <w:spacing w:after="0"/>
              <w:rPr>
                <w:sz w:val="20"/>
                <w:szCs w:val="20"/>
                <w:color w:val="auto"/>
              </w:rPr>
            </w:pPr>
            <w:r>
              <w:rPr>
                <w:rFonts w:ascii="Arial" w:cs="Arial" w:eastAsia="Arial" w:hAnsi="Arial"/>
                <w:sz w:val="18"/>
                <w:szCs w:val="18"/>
                <w:color w:val="auto"/>
                <w:w w:val="95"/>
              </w:rPr>
              <w:t>32.1*</w:t>
            </w:r>
          </w:p>
        </w:tc>
        <w:tc>
          <w:tcPr>
            <w:tcW w:w="100" w:type="dxa"/>
            <w:vAlign w:val="bottom"/>
          </w:tcPr>
          <w:p>
            <w:pPr>
              <w:spacing w:after="0"/>
              <w:rPr>
                <w:sz w:val="24"/>
                <w:szCs w:val="24"/>
                <w:color w:val="auto"/>
              </w:rPr>
            </w:pPr>
          </w:p>
        </w:tc>
        <w:tc>
          <w:tcPr>
            <w:tcW w:w="10320" w:type="dxa"/>
            <w:vAlign w:val="bottom"/>
            <w:gridSpan w:val="7"/>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Certification of Principal Executive Officer Pursuant to 18 U.S.C. Section 1350, as Adopted Pursuant to Section 906 of the</w:t>
              </w:r>
            </w:hyperlink>
          </w:p>
        </w:tc>
      </w:tr>
      <w:tr>
        <w:trPr>
          <w:trHeight w:val="183"/>
        </w:trPr>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0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w w:val="99"/>
              </w:rPr>
            </w:pPr>
            <w:hyperlink w:anchor="page51">
              <w:r>
                <w:rPr>
                  <w:rFonts w:ascii="Arial" w:cs="Arial" w:eastAsia="Arial" w:hAnsi="Arial"/>
                  <w:sz w:val="18"/>
                  <w:szCs w:val="18"/>
                  <w:color w:val="0000EE"/>
                  <w:w w:val="99"/>
                </w:rPr>
                <w:t>Sarbanes-Oxley Act of 2002.</w:t>
              </w:r>
            </w:hyperlink>
          </w:p>
        </w:tc>
        <w:tc>
          <w:tcPr>
            <w:tcW w:w="7380" w:type="dxa"/>
            <w:vAlign w:val="bottom"/>
            <w:tcBorders>
              <w:top w:val="single" w:sz="8" w:color="0000EE"/>
            </w:tcBorders>
            <w:gridSpan w:val="3"/>
          </w:tcPr>
          <w:p>
            <w:pPr>
              <w:spacing w:after="0"/>
              <w:rPr>
                <w:sz w:val="15"/>
                <w:szCs w:val="15"/>
                <w:color w:val="auto"/>
              </w:rPr>
            </w:pPr>
          </w:p>
        </w:tc>
        <w:tc>
          <w:tcPr>
            <w:tcW w:w="640" w:type="dxa"/>
            <w:vAlign w:val="bottom"/>
            <w:gridSpan w:val="3"/>
          </w:tcPr>
          <w:p>
            <w:pPr>
              <w:spacing w:after="0"/>
              <w:rPr>
                <w:sz w:val="15"/>
                <w:szCs w:val="15"/>
                <w:color w:val="auto"/>
              </w:rPr>
            </w:pPr>
          </w:p>
        </w:tc>
      </w:tr>
      <w:tr>
        <w:trPr>
          <w:trHeight w:val="304"/>
        </w:trPr>
        <w:tc>
          <w:tcPr>
            <w:tcW w:w="840" w:type="dxa"/>
            <w:vAlign w:val="bottom"/>
          </w:tcPr>
          <w:p>
            <w:pPr>
              <w:jc w:val="right"/>
              <w:ind w:right="336"/>
              <w:spacing w:after="0"/>
              <w:rPr>
                <w:sz w:val="20"/>
                <w:szCs w:val="20"/>
                <w:color w:val="auto"/>
              </w:rPr>
            </w:pPr>
            <w:r>
              <w:rPr>
                <w:rFonts w:ascii="Arial" w:cs="Arial" w:eastAsia="Arial" w:hAnsi="Arial"/>
                <w:sz w:val="18"/>
                <w:szCs w:val="18"/>
                <w:color w:val="auto"/>
                <w:w w:val="95"/>
              </w:rPr>
              <w:t>32.2*</w:t>
            </w:r>
          </w:p>
        </w:tc>
        <w:tc>
          <w:tcPr>
            <w:tcW w:w="100" w:type="dxa"/>
            <w:vAlign w:val="bottom"/>
          </w:tcPr>
          <w:p>
            <w:pPr>
              <w:spacing w:after="0"/>
              <w:rPr>
                <w:sz w:val="24"/>
                <w:szCs w:val="24"/>
                <w:color w:val="auto"/>
              </w:rPr>
            </w:pPr>
          </w:p>
        </w:tc>
        <w:tc>
          <w:tcPr>
            <w:tcW w:w="10320" w:type="dxa"/>
            <w:vAlign w:val="bottom"/>
            <w:gridSpan w:val="7"/>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Certification of Principal Financial Officer Pursuant to 18 U.S.C. Section 1350, as Adopted Pursuant to Section 906 of the</w:t>
              </w:r>
            </w:hyperlink>
          </w:p>
        </w:tc>
      </w:tr>
      <w:tr>
        <w:trPr>
          <w:trHeight w:val="183"/>
        </w:trPr>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0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w w:val="99"/>
              </w:rPr>
            </w:pPr>
            <w:hyperlink w:anchor="page52">
              <w:r>
                <w:rPr>
                  <w:rFonts w:ascii="Arial" w:cs="Arial" w:eastAsia="Arial" w:hAnsi="Arial"/>
                  <w:sz w:val="18"/>
                  <w:szCs w:val="18"/>
                  <w:color w:val="0000EE"/>
                  <w:w w:val="99"/>
                </w:rPr>
                <w:t>Sarbanes-Oxley Act of 2002.</w:t>
              </w:r>
            </w:hyperlink>
          </w:p>
        </w:tc>
        <w:tc>
          <w:tcPr>
            <w:tcW w:w="7320" w:type="dxa"/>
            <w:vAlign w:val="bottom"/>
            <w:tcBorders>
              <w:top w:val="single" w:sz="8" w:color="0000EE"/>
            </w:tcBorders>
            <w:gridSpan w:val="2"/>
          </w:tcPr>
          <w:p>
            <w:pPr>
              <w:spacing w:after="0"/>
              <w:rPr>
                <w:sz w:val="15"/>
                <w:szCs w:val="15"/>
                <w:color w:val="auto"/>
              </w:rPr>
            </w:pPr>
          </w:p>
        </w:tc>
        <w:tc>
          <w:tcPr>
            <w:tcW w:w="700" w:type="dxa"/>
            <w:vAlign w:val="bottom"/>
            <w:gridSpan w:val="4"/>
          </w:tcPr>
          <w:p>
            <w:pPr>
              <w:spacing w:after="0"/>
              <w:rPr>
                <w:sz w:val="15"/>
                <w:szCs w:val="15"/>
                <w:color w:val="auto"/>
              </w:rPr>
            </w:pPr>
          </w:p>
        </w:tc>
      </w:tr>
    </w:tbl>
    <w:p>
      <w:pPr>
        <w:spacing w:after="0" w:line="112" w:lineRule="exact"/>
        <w:rPr>
          <w:sz w:val="20"/>
          <w:szCs w:val="20"/>
          <w:color w:val="auto"/>
        </w:rPr>
      </w:pPr>
    </w:p>
    <w:p>
      <w:pPr>
        <w:ind w:left="940" w:right="40" w:hanging="932"/>
        <w:spacing w:after="0" w:line="268" w:lineRule="auto"/>
        <w:tabs>
          <w:tab w:leader="none" w:pos="9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following financial statements from the Company’s Quarterly Report on Form 10-Q for the quarter ended September 30, 2020, formatted in Inline XBRL: (i) Consolidated Balance Sheets, (ii) Consolidated Statements of Earnings, (iii) Consolidated Statements of Comprehensive Income (Loss), (iv) Consolidated Statements of Stockholders’ Equity, (v) Consolidated Statements of Cash Flows and (vi) Notes to Consolidated Financial Statements, tagged as blocks of text and including detailed tags.</w:t>
      </w:r>
    </w:p>
    <w:p>
      <w:pPr>
        <w:spacing w:after="0" w:line="58" w:lineRule="exact"/>
        <w:rPr>
          <w:sz w:val="20"/>
          <w:szCs w:val="20"/>
          <w:color w:val="auto"/>
        </w:rPr>
      </w:pPr>
    </w:p>
    <w:p>
      <w:pPr>
        <w:ind w:left="940" w:right="80" w:hanging="932"/>
        <w:spacing w:after="0" w:line="276" w:lineRule="auto"/>
        <w:tabs>
          <w:tab w:leader="none" w:pos="9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with applicable taxonomy extension information contained in Exhibits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95123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98" w:lineRule="exact"/>
        <w:rPr>
          <w:sz w:val="20"/>
          <w:szCs w:val="20"/>
          <w:color w:val="auto"/>
        </w:rPr>
      </w:pPr>
    </w:p>
    <w:p>
      <w:pPr>
        <w:ind w:left="640" w:hanging="632"/>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5" w:right="339" w:bottom="1440" w:gutter="0" w:footer="0" w:header="0"/>
        </w:sectPr>
      </w:pPr>
    </w:p>
    <w:bookmarkStart w:id="47" w:name="page48"/>
    <w:bookmarkEnd w:id="47"/>
    <w:p>
      <w:pPr>
        <w:jc w:val="center"/>
        <w:ind w:right="-279"/>
        <w:spacing w:after="0"/>
        <w:rPr>
          <w:sz w:val="20"/>
          <w:szCs w:val="20"/>
          <w:color w:val="auto"/>
        </w:rPr>
      </w:pPr>
      <w:r>
        <w:rPr>
          <w:rFonts w:ascii="Arial" w:cs="Arial" w:eastAsia="Arial" w:hAnsi="Arial"/>
          <w:sz w:val="18"/>
          <w:szCs w:val="18"/>
          <w:b w:val="1"/>
          <w:bCs w:val="1"/>
          <w:color w:val="auto"/>
        </w:rPr>
        <w:t>SIGNATURES</w:t>
      </w:r>
    </w:p>
    <w:p>
      <w:pPr>
        <w:spacing w:after="0" w:line="214" w:lineRule="exact"/>
        <w:rPr>
          <w:sz w:val="20"/>
          <w:szCs w:val="20"/>
          <w:color w:val="auto"/>
        </w:rPr>
      </w:pPr>
    </w:p>
    <w:p>
      <w:pPr>
        <w:ind w:firstLine="637"/>
        <w:spacing w:after="0" w:line="27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Parsons Corporation</w:t>
      </w:r>
    </w:p>
    <w:p>
      <w:pPr>
        <w:spacing w:after="0" w:line="198" w:lineRule="exact"/>
        <w:rPr>
          <w:sz w:val="20"/>
          <w:szCs w:val="20"/>
          <w:color w:val="auto"/>
        </w:rPr>
      </w:pPr>
    </w:p>
    <w:p>
      <w:pPr>
        <w:spacing w:after="0"/>
        <w:tabs>
          <w:tab w:leader="none" w:pos="5860" w:val="left"/>
          <w:tab w:leader="none" w:pos="8040" w:val="left"/>
        </w:tabs>
        <w:rPr>
          <w:sz w:val="20"/>
          <w:szCs w:val="20"/>
          <w:color w:val="auto"/>
        </w:rPr>
      </w:pPr>
      <w:r>
        <w:rPr>
          <w:rFonts w:ascii="Arial" w:cs="Arial" w:eastAsia="Arial" w:hAnsi="Arial"/>
          <w:sz w:val="18"/>
          <w:szCs w:val="18"/>
          <w:color w:val="auto"/>
        </w:rPr>
        <w:t>Date: November 4,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George L. Ball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11430</wp:posOffset>
            </wp:positionV>
            <wp:extent cx="316293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162935" cy="8890"/>
                    </a:xfrm>
                    <a:prstGeom prst="rect">
                      <a:avLst/>
                    </a:prstGeom>
                    <a:noFill/>
                  </pic:spPr>
                </pic:pic>
              </a:graphicData>
            </a:graphic>
          </wp:anchor>
        </w:drawing>
      </w:r>
    </w:p>
    <w:p>
      <w:pPr>
        <w:spacing w:after="0" w:line="30" w:lineRule="exact"/>
        <w:rPr>
          <w:sz w:val="20"/>
          <w:szCs w:val="20"/>
          <w:color w:val="auto"/>
        </w:rPr>
      </w:pPr>
    </w:p>
    <w:p>
      <w:pPr>
        <w:jc w:val="center"/>
        <w:ind w:left="6240"/>
        <w:spacing w:after="0"/>
        <w:rPr>
          <w:sz w:val="20"/>
          <w:szCs w:val="20"/>
          <w:color w:val="auto"/>
        </w:rPr>
      </w:pPr>
      <w:r>
        <w:rPr>
          <w:rFonts w:ascii="Arial" w:cs="Arial" w:eastAsia="Arial" w:hAnsi="Arial"/>
          <w:sz w:val="18"/>
          <w:szCs w:val="18"/>
          <w:color w:val="auto"/>
        </w:rPr>
        <w:t>George L. Ball</w:t>
      </w:r>
    </w:p>
    <w:p>
      <w:pPr>
        <w:spacing w:after="0" w:line="18" w:lineRule="exact"/>
        <w:rPr>
          <w:sz w:val="20"/>
          <w:szCs w:val="20"/>
          <w:color w:val="auto"/>
        </w:rPr>
      </w:pPr>
    </w:p>
    <w:p>
      <w:pPr>
        <w:jc w:val="center"/>
        <w:ind w:left="6240"/>
        <w:spacing w:after="0"/>
        <w:rPr>
          <w:sz w:val="20"/>
          <w:szCs w:val="20"/>
          <w:color w:val="auto"/>
        </w:rPr>
      </w:pPr>
      <w:r>
        <w:rPr>
          <w:rFonts w:ascii="Arial" w:cs="Arial" w:eastAsia="Arial" w:hAnsi="Arial"/>
          <w:sz w:val="18"/>
          <w:szCs w:val="18"/>
          <w:color w:val="auto"/>
        </w:rPr>
        <w:t>Chief Financial Officer</w:t>
      </w:r>
    </w:p>
    <w:p>
      <w:pPr>
        <w:spacing w:after="0" w:line="14" w:lineRule="exact"/>
        <w:rPr>
          <w:sz w:val="20"/>
          <w:szCs w:val="20"/>
          <w:color w:val="auto"/>
        </w:rPr>
      </w:pPr>
    </w:p>
    <w:p>
      <w:pPr>
        <w:ind w:left="768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5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0980"/>
          </w:cols>
          <w:pgMar w:left="320" w:top="331" w:right="59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31.1</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 Charles L. Harrington, certify that:</w:t>
      </w:r>
    </w:p>
    <w:p>
      <w:pPr>
        <w:spacing w:after="0" w:line="212" w:lineRule="exact"/>
        <w:rPr>
          <w:sz w:val="20"/>
          <w:szCs w:val="20"/>
          <w:color w:val="auto"/>
        </w:rPr>
      </w:pPr>
    </w:p>
    <w:p>
      <w:pPr>
        <w:ind w:left="520" w:hanging="512"/>
        <w:spacing w:after="0"/>
        <w:tabs>
          <w:tab w:leader="none" w:pos="5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Parsons Corporation;</w:t>
      </w:r>
    </w:p>
    <w:p>
      <w:pPr>
        <w:spacing w:after="0" w:line="211" w:lineRule="exact"/>
        <w:rPr>
          <w:rFonts w:ascii="Arial" w:cs="Arial" w:eastAsia="Arial" w:hAnsi="Arial"/>
          <w:sz w:val="18"/>
          <w:szCs w:val="18"/>
          <w:color w:val="auto"/>
        </w:rPr>
      </w:pPr>
    </w:p>
    <w:p>
      <w:pPr>
        <w:ind w:left="520" w:right="80" w:hanging="512"/>
        <w:spacing w:after="0" w:line="255" w:lineRule="auto"/>
        <w:tabs>
          <w:tab w:leader="none" w:pos="5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3" w:lineRule="exact"/>
        <w:rPr>
          <w:rFonts w:ascii="Arial" w:cs="Arial" w:eastAsia="Arial" w:hAnsi="Arial"/>
          <w:sz w:val="18"/>
          <w:szCs w:val="18"/>
          <w:color w:val="auto"/>
        </w:rPr>
      </w:pPr>
    </w:p>
    <w:p>
      <w:pPr>
        <w:ind w:left="520" w:right="260" w:hanging="512"/>
        <w:spacing w:after="0" w:line="255" w:lineRule="auto"/>
        <w:tabs>
          <w:tab w:leader="none" w:pos="5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Arial" w:cs="Arial" w:eastAsia="Arial" w:hAnsi="Arial"/>
          <w:sz w:val="18"/>
          <w:szCs w:val="18"/>
          <w:color w:val="auto"/>
        </w:rPr>
      </w:pPr>
    </w:p>
    <w:p>
      <w:pPr>
        <w:ind w:left="520" w:right="60" w:hanging="512"/>
        <w:spacing w:after="0" w:line="276" w:lineRule="auto"/>
        <w:tabs>
          <w:tab w:leader="none" w:pos="5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for the registrant and have:</w:t>
      </w:r>
    </w:p>
    <w:p>
      <w:pPr>
        <w:spacing w:after="0" w:line="144" w:lineRule="exact"/>
        <w:rPr>
          <w:rFonts w:ascii="Arial" w:cs="Arial" w:eastAsia="Arial" w:hAnsi="Arial"/>
          <w:sz w:val="18"/>
          <w:szCs w:val="18"/>
          <w:color w:val="auto"/>
        </w:rPr>
      </w:pPr>
    </w:p>
    <w:p>
      <w:pPr>
        <w:ind w:left="1040" w:right="280" w:hanging="519"/>
        <w:spacing w:after="0" w:line="255" w:lineRule="auto"/>
        <w:tabs>
          <w:tab w:leader="none" w:pos="10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3" w:lineRule="exact"/>
        <w:rPr>
          <w:rFonts w:ascii="Arial" w:cs="Arial" w:eastAsia="Arial" w:hAnsi="Arial"/>
          <w:sz w:val="18"/>
          <w:szCs w:val="18"/>
          <w:color w:val="auto"/>
        </w:rPr>
      </w:pPr>
    </w:p>
    <w:p>
      <w:pPr>
        <w:jc w:val="both"/>
        <w:ind w:left="1040" w:right="200" w:hanging="519"/>
        <w:spacing w:after="0" w:line="255" w:lineRule="auto"/>
        <w:tabs>
          <w:tab w:leader="none" w:pos="10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Arial" w:cs="Arial" w:eastAsia="Arial" w:hAnsi="Arial"/>
          <w:sz w:val="18"/>
          <w:szCs w:val="18"/>
          <w:color w:val="auto"/>
        </w:rPr>
      </w:pPr>
    </w:p>
    <w:p>
      <w:pPr>
        <w:ind w:left="1040" w:right="20" w:hanging="519"/>
        <w:spacing w:after="0" w:line="255" w:lineRule="auto"/>
        <w:tabs>
          <w:tab w:leader="none" w:pos="10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3" w:lineRule="exact"/>
        <w:rPr>
          <w:rFonts w:ascii="Arial" w:cs="Arial" w:eastAsia="Arial" w:hAnsi="Arial"/>
          <w:sz w:val="18"/>
          <w:szCs w:val="18"/>
          <w:color w:val="auto"/>
        </w:rPr>
      </w:pPr>
    </w:p>
    <w:p>
      <w:pPr>
        <w:ind w:left="520" w:right="260" w:hanging="512"/>
        <w:spacing w:after="0" w:line="255" w:lineRule="auto"/>
        <w:tabs>
          <w:tab w:leader="none" w:pos="5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rFonts w:ascii="Arial" w:cs="Arial" w:eastAsia="Arial" w:hAnsi="Arial"/>
          <w:sz w:val="18"/>
          <w:szCs w:val="18"/>
          <w:color w:val="auto"/>
        </w:rPr>
      </w:pPr>
    </w:p>
    <w:p>
      <w:pPr>
        <w:ind w:left="1040" w:right="200" w:hanging="519"/>
        <w:spacing w:after="0" w:line="255" w:lineRule="auto"/>
        <w:tabs>
          <w:tab w:leader="none" w:pos="10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3" w:lineRule="exact"/>
        <w:rPr>
          <w:rFonts w:ascii="Arial" w:cs="Arial" w:eastAsia="Arial" w:hAnsi="Arial"/>
          <w:sz w:val="18"/>
          <w:szCs w:val="18"/>
          <w:color w:val="auto"/>
        </w:rPr>
      </w:pPr>
    </w:p>
    <w:p>
      <w:pPr>
        <w:ind w:left="1040" w:right="120" w:hanging="519"/>
        <w:spacing w:after="0" w:line="276" w:lineRule="auto"/>
        <w:tabs>
          <w:tab w:leader="none" w:pos="10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77" w:lineRule="exact"/>
        <w:rPr>
          <w:sz w:val="20"/>
          <w:szCs w:val="20"/>
          <w:color w:val="auto"/>
        </w:rPr>
      </w:pPr>
    </w:p>
    <w:p>
      <w:pPr>
        <w:spacing w:after="0"/>
        <w:tabs>
          <w:tab w:leader="none" w:pos="6740" w:val="left"/>
          <w:tab w:leader="none" w:pos="8180" w:val="left"/>
        </w:tabs>
        <w:rPr>
          <w:sz w:val="20"/>
          <w:szCs w:val="20"/>
          <w:color w:val="auto"/>
        </w:rPr>
      </w:pPr>
      <w:r>
        <w:rPr>
          <w:rFonts w:ascii="Arial" w:cs="Arial" w:eastAsia="Arial" w:hAnsi="Arial"/>
          <w:sz w:val="18"/>
          <w:szCs w:val="18"/>
          <w:color w:val="auto"/>
        </w:rPr>
        <w:t>Date: November 4,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Charles L. Harrington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11430</wp:posOffset>
            </wp:positionV>
            <wp:extent cx="263144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30" w:lineRule="exact"/>
        <w:rPr>
          <w:sz w:val="20"/>
          <w:szCs w:val="20"/>
          <w:color w:val="auto"/>
        </w:rPr>
      </w:pPr>
    </w:p>
    <w:p>
      <w:pPr>
        <w:ind w:left="8320"/>
        <w:spacing w:after="0"/>
        <w:rPr>
          <w:sz w:val="20"/>
          <w:szCs w:val="20"/>
          <w:color w:val="auto"/>
        </w:rPr>
      </w:pPr>
      <w:r>
        <w:rPr>
          <w:rFonts w:ascii="Arial" w:cs="Arial" w:eastAsia="Arial" w:hAnsi="Arial"/>
          <w:sz w:val="18"/>
          <w:szCs w:val="18"/>
          <w:color w:val="auto"/>
        </w:rPr>
        <w:t>Charles L. Harrington</w:t>
      </w:r>
    </w:p>
    <w:p>
      <w:pPr>
        <w:spacing w:after="0" w:line="36"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114"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31.2</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 George L. Ball, certify that:</w:t>
      </w:r>
    </w:p>
    <w:p>
      <w:pPr>
        <w:spacing w:after="0" w:line="212" w:lineRule="exact"/>
        <w:rPr>
          <w:sz w:val="20"/>
          <w:szCs w:val="20"/>
          <w:color w:val="auto"/>
        </w:rPr>
      </w:pPr>
    </w:p>
    <w:p>
      <w:pPr>
        <w:ind w:left="520" w:hanging="512"/>
        <w:spacing w:after="0"/>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Parsons Corporation;</w:t>
      </w:r>
    </w:p>
    <w:p>
      <w:pPr>
        <w:spacing w:after="0" w:line="211" w:lineRule="exact"/>
        <w:rPr>
          <w:rFonts w:ascii="Arial" w:cs="Arial" w:eastAsia="Arial" w:hAnsi="Arial"/>
          <w:sz w:val="18"/>
          <w:szCs w:val="18"/>
          <w:color w:val="auto"/>
        </w:rPr>
      </w:pPr>
    </w:p>
    <w:p>
      <w:pPr>
        <w:ind w:left="520" w:right="80" w:hanging="512"/>
        <w:spacing w:after="0" w:line="255" w:lineRule="auto"/>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3" w:lineRule="exact"/>
        <w:rPr>
          <w:rFonts w:ascii="Arial" w:cs="Arial" w:eastAsia="Arial" w:hAnsi="Arial"/>
          <w:sz w:val="18"/>
          <w:szCs w:val="18"/>
          <w:color w:val="auto"/>
        </w:rPr>
      </w:pPr>
    </w:p>
    <w:p>
      <w:pPr>
        <w:ind w:left="520" w:right="260" w:hanging="512"/>
        <w:spacing w:after="0" w:line="255" w:lineRule="auto"/>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Arial" w:cs="Arial" w:eastAsia="Arial" w:hAnsi="Arial"/>
          <w:sz w:val="18"/>
          <w:szCs w:val="18"/>
          <w:color w:val="auto"/>
        </w:rPr>
      </w:pPr>
    </w:p>
    <w:p>
      <w:pPr>
        <w:ind w:left="520" w:right="60" w:hanging="512"/>
        <w:spacing w:after="0" w:line="276" w:lineRule="auto"/>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for the registrant and have:</w:t>
      </w:r>
    </w:p>
    <w:p>
      <w:pPr>
        <w:spacing w:after="0" w:line="144" w:lineRule="exact"/>
        <w:rPr>
          <w:rFonts w:ascii="Arial" w:cs="Arial" w:eastAsia="Arial" w:hAnsi="Arial"/>
          <w:sz w:val="18"/>
          <w:szCs w:val="18"/>
          <w:color w:val="auto"/>
        </w:rPr>
      </w:pPr>
    </w:p>
    <w:p>
      <w:pPr>
        <w:ind w:left="1040" w:right="280" w:hanging="519"/>
        <w:spacing w:after="0" w:line="255" w:lineRule="auto"/>
        <w:tabs>
          <w:tab w:leader="none" w:pos="10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3" w:lineRule="exact"/>
        <w:rPr>
          <w:rFonts w:ascii="Arial" w:cs="Arial" w:eastAsia="Arial" w:hAnsi="Arial"/>
          <w:sz w:val="18"/>
          <w:szCs w:val="18"/>
          <w:color w:val="auto"/>
        </w:rPr>
      </w:pPr>
    </w:p>
    <w:p>
      <w:pPr>
        <w:jc w:val="both"/>
        <w:ind w:left="1040" w:right="200" w:hanging="519"/>
        <w:spacing w:after="0" w:line="255" w:lineRule="auto"/>
        <w:tabs>
          <w:tab w:leader="none" w:pos="10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Arial" w:cs="Arial" w:eastAsia="Arial" w:hAnsi="Arial"/>
          <w:sz w:val="18"/>
          <w:szCs w:val="18"/>
          <w:color w:val="auto"/>
        </w:rPr>
      </w:pPr>
    </w:p>
    <w:p>
      <w:pPr>
        <w:ind w:left="1040" w:right="20" w:hanging="519"/>
        <w:spacing w:after="0" w:line="255" w:lineRule="auto"/>
        <w:tabs>
          <w:tab w:leader="none" w:pos="10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3" w:lineRule="exact"/>
        <w:rPr>
          <w:rFonts w:ascii="Arial" w:cs="Arial" w:eastAsia="Arial" w:hAnsi="Arial"/>
          <w:sz w:val="18"/>
          <w:szCs w:val="18"/>
          <w:color w:val="auto"/>
        </w:rPr>
      </w:pPr>
    </w:p>
    <w:p>
      <w:pPr>
        <w:ind w:left="520" w:right="260" w:hanging="512"/>
        <w:spacing w:after="0" w:line="255" w:lineRule="auto"/>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rFonts w:ascii="Arial" w:cs="Arial" w:eastAsia="Arial" w:hAnsi="Arial"/>
          <w:sz w:val="18"/>
          <w:szCs w:val="18"/>
          <w:color w:val="auto"/>
        </w:rPr>
      </w:pPr>
    </w:p>
    <w:p>
      <w:pPr>
        <w:ind w:left="1040" w:right="200" w:hanging="519"/>
        <w:spacing w:after="0" w:line="255" w:lineRule="auto"/>
        <w:tabs>
          <w:tab w:leader="none" w:pos="10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3" w:lineRule="exact"/>
        <w:rPr>
          <w:rFonts w:ascii="Arial" w:cs="Arial" w:eastAsia="Arial" w:hAnsi="Arial"/>
          <w:sz w:val="18"/>
          <w:szCs w:val="18"/>
          <w:color w:val="auto"/>
        </w:rPr>
      </w:pPr>
    </w:p>
    <w:p>
      <w:pPr>
        <w:ind w:left="1040" w:right="120" w:hanging="519"/>
        <w:spacing w:after="0" w:line="276" w:lineRule="auto"/>
        <w:tabs>
          <w:tab w:leader="none" w:pos="10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77" w:lineRule="exact"/>
        <w:rPr>
          <w:sz w:val="20"/>
          <w:szCs w:val="20"/>
          <w:color w:val="auto"/>
        </w:rPr>
      </w:pPr>
    </w:p>
    <w:p>
      <w:pPr>
        <w:spacing w:after="0"/>
        <w:tabs>
          <w:tab w:leader="none" w:pos="6740" w:val="left"/>
          <w:tab w:leader="none" w:pos="8460" w:val="left"/>
        </w:tabs>
        <w:rPr>
          <w:sz w:val="20"/>
          <w:szCs w:val="20"/>
          <w:color w:val="auto"/>
        </w:rPr>
      </w:pPr>
      <w:r>
        <w:rPr>
          <w:rFonts w:ascii="Arial" w:cs="Arial" w:eastAsia="Arial" w:hAnsi="Arial"/>
          <w:sz w:val="18"/>
          <w:szCs w:val="18"/>
          <w:color w:val="auto"/>
        </w:rPr>
        <w:t>Date: November 4,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George L. Ball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11430</wp:posOffset>
            </wp:positionV>
            <wp:extent cx="263144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30" w:lineRule="exact"/>
        <w:rPr>
          <w:sz w:val="20"/>
          <w:szCs w:val="20"/>
          <w:color w:val="auto"/>
        </w:rPr>
      </w:pPr>
    </w:p>
    <w:p>
      <w:pPr>
        <w:jc w:val="center"/>
        <w:ind w:left="7080"/>
        <w:spacing w:after="0"/>
        <w:rPr>
          <w:sz w:val="20"/>
          <w:szCs w:val="20"/>
          <w:color w:val="auto"/>
        </w:rPr>
      </w:pPr>
      <w:r>
        <w:rPr>
          <w:rFonts w:ascii="Arial" w:cs="Arial" w:eastAsia="Arial" w:hAnsi="Arial"/>
          <w:sz w:val="18"/>
          <w:szCs w:val="18"/>
          <w:color w:val="auto"/>
        </w:rPr>
        <w:t>George L. Ball</w:t>
      </w:r>
    </w:p>
    <w:p>
      <w:pPr>
        <w:spacing w:after="0" w:line="36" w:lineRule="exact"/>
        <w:rPr>
          <w:sz w:val="20"/>
          <w:szCs w:val="20"/>
          <w:color w:val="auto"/>
        </w:rPr>
      </w:pPr>
    </w:p>
    <w:p>
      <w:pPr>
        <w:jc w:val="center"/>
        <w:ind w:left="70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114"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32.1</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5"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18 U.S.C. SECTION 1350, AS ADOPTED PURSUANT TO</w:t>
      </w:r>
    </w:p>
    <w:p>
      <w:pPr>
        <w:ind w:left="32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0" w:lineRule="exact"/>
        <w:rPr>
          <w:sz w:val="20"/>
          <w:szCs w:val="20"/>
          <w:color w:val="auto"/>
        </w:rPr>
      </w:pPr>
    </w:p>
    <w:p>
      <w:pPr>
        <w:ind w:right="220" w:firstLine="526"/>
        <w:spacing w:after="0" w:line="255" w:lineRule="auto"/>
        <w:rPr>
          <w:sz w:val="20"/>
          <w:szCs w:val="20"/>
          <w:color w:val="auto"/>
        </w:rPr>
      </w:pPr>
      <w:r>
        <w:rPr>
          <w:rFonts w:ascii="Arial" w:cs="Arial" w:eastAsia="Arial" w:hAnsi="Arial"/>
          <w:sz w:val="18"/>
          <w:szCs w:val="18"/>
          <w:color w:val="auto"/>
        </w:rPr>
        <w:t>In connection with the Quarterly Report of Parsons Corporation (the “Company”) on Form 10-Q for the period ending September 30, 2020 as filed with the Securities and Exchange Commission on the date hereof (the “Report”), I, Charles L. Harrington, Chief Executive Officer of the Company, certify, pursuant to 18 U.S.C. § 1350, as adopted pursuant to § 906 of the Sarbanes-Oxley Act of 2002, that:</w:t>
      </w:r>
    </w:p>
    <w:p>
      <w:pPr>
        <w:spacing w:after="0" w:line="164" w:lineRule="exact"/>
        <w:rPr>
          <w:sz w:val="20"/>
          <w:szCs w:val="20"/>
          <w:color w:val="auto"/>
        </w:rPr>
      </w:pPr>
    </w:p>
    <w:p>
      <w:pPr>
        <w:ind w:left="1040" w:hanging="519"/>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1040" w:right="20" w:hanging="519"/>
        <w:spacing w:after="0" w:line="276" w:lineRule="auto"/>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72" w:lineRule="exact"/>
        <w:rPr>
          <w:sz w:val="20"/>
          <w:szCs w:val="20"/>
          <w:color w:val="auto"/>
        </w:rPr>
      </w:pPr>
    </w:p>
    <w:p>
      <w:pPr>
        <w:spacing w:after="0"/>
        <w:tabs>
          <w:tab w:leader="none" w:pos="6180" w:val="left"/>
          <w:tab w:leader="none" w:pos="7880" w:val="left"/>
        </w:tabs>
        <w:rPr>
          <w:sz w:val="20"/>
          <w:szCs w:val="20"/>
          <w:color w:val="auto"/>
        </w:rPr>
      </w:pPr>
      <w:r>
        <w:rPr>
          <w:rFonts w:ascii="Arial" w:cs="Arial" w:eastAsia="Arial" w:hAnsi="Arial"/>
          <w:sz w:val="18"/>
          <w:szCs w:val="18"/>
          <w:color w:val="auto"/>
        </w:rPr>
        <w:t>Date: November 4,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Charles L. Harrington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4128135</wp:posOffset>
            </wp:positionH>
            <wp:positionV relativeFrom="paragraph">
              <wp:posOffset>11430</wp:posOffset>
            </wp:positionV>
            <wp:extent cx="300863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008630" cy="8255"/>
                    </a:xfrm>
                    <a:prstGeom prst="rect">
                      <a:avLst/>
                    </a:prstGeom>
                    <a:noFill/>
                  </pic:spPr>
                </pic:pic>
              </a:graphicData>
            </a:graphic>
          </wp:anchor>
        </w:drawing>
      </w:r>
    </w:p>
    <w:p>
      <w:pPr>
        <w:spacing w:after="0" w:line="30" w:lineRule="exact"/>
        <w:rPr>
          <w:sz w:val="20"/>
          <w:szCs w:val="20"/>
          <w:color w:val="auto"/>
        </w:rPr>
      </w:pPr>
    </w:p>
    <w:p>
      <w:pPr>
        <w:ind w:left="8020"/>
        <w:spacing w:after="0"/>
        <w:rPr>
          <w:sz w:val="20"/>
          <w:szCs w:val="20"/>
          <w:color w:val="auto"/>
        </w:rPr>
      </w:pPr>
      <w:r>
        <w:rPr>
          <w:rFonts w:ascii="Arial" w:cs="Arial" w:eastAsia="Arial" w:hAnsi="Arial"/>
          <w:sz w:val="18"/>
          <w:szCs w:val="18"/>
          <w:color w:val="auto"/>
        </w:rPr>
        <w:t>Charles L. Harrington</w:t>
      </w:r>
    </w:p>
    <w:p>
      <w:pPr>
        <w:spacing w:after="0" w:line="18" w:lineRule="exact"/>
        <w:rPr>
          <w:sz w:val="20"/>
          <w:szCs w:val="20"/>
          <w:color w:val="auto"/>
        </w:rPr>
      </w:pPr>
    </w:p>
    <w:p>
      <w:pPr>
        <w:ind w:left="796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480" w:firstLine="526"/>
        <w:spacing w:after="0" w:line="276"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114"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32.2</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5"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18 U.S.C. SECTION 1350, AS ADOPTED PURSUANT TO</w:t>
      </w:r>
    </w:p>
    <w:p>
      <w:pPr>
        <w:ind w:left="32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0" w:lineRule="exact"/>
        <w:rPr>
          <w:sz w:val="20"/>
          <w:szCs w:val="20"/>
          <w:color w:val="auto"/>
        </w:rPr>
      </w:pPr>
    </w:p>
    <w:p>
      <w:pPr>
        <w:ind w:right="60" w:firstLine="510"/>
        <w:spacing w:after="0" w:line="255" w:lineRule="auto"/>
        <w:rPr>
          <w:sz w:val="20"/>
          <w:szCs w:val="20"/>
          <w:color w:val="auto"/>
        </w:rPr>
      </w:pPr>
      <w:r>
        <w:rPr>
          <w:rFonts w:ascii="Arial" w:cs="Arial" w:eastAsia="Arial" w:hAnsi="Arial"/>
          <w:sz w:val="18"/>
          <w:szCs w:val="18"/>
          <w:color w:val="auto"/>
        </w:rPr>
        <w:t>In connection with the Quarterly Report of Parsons Corporation (the “Company”) on Form 10-Q for the period ending September 30, 2020 as filed with the Securities and Exchange Commission on the date hereof (the “Report”), I, George L. Ball, Chief Financial Officer of the Company, certify, pursuant to 18 U.S.C. § 1350, as adopted pursuant to § 906 of the Sarbanes-Oxley Act of 2002, that:</w:t>
      </w:r>
    </w:p>
    <w:p>
      <w:pPr>
        <w:spacing w:after="0" w:line="164" w:lineRule="exact"/>
        <w:rPr>
          <w:sz w:val="20"/>
          <w:szCs w:val="20"/>
          <w:color w:val="auto"/>
        </w:rPr>
      </w:pPr>
    </w:p>
    <w:p>
      <w:pPr>
        <w:ind w:left="1000" w:hanging="493"/>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1000" w:right="60" w:hanging="493"/>
        <w:spacing w:after="0" w:line="276" w:lineRule="auto"/>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72" w:lineRule="exact"/>
        <w:rPr>
          <w:sz w:val="20"/>
          <w:szCs w:val="20"/>
          <w:color w:val="auto"/>
        </w:rPr>
      </w:pPr>
    </w:p>
    <w:p>
      <w:pPr>
        <w:spacing w:after="0"/>
        <w:tabs>
          <w:tab w:leader="none" w:pos="6180" w:val="left"/>
          <w:tab w:leader="none" w:pos="8160" w:val="left"/>
        </w:tabs>
        <w:rPr>
          <w:sz w:val="20"/>
          <w:szCs w:val="20"/>
          <w:color w:val="auto"/>
        </w:rPr>
      </w:pPr>
      <w:r>
        <w:rPr>
          <w:rFonts w:ascii="Arial" w:cs="Arial" w:eastAsia="Arial" w:hAnsi="Arial"/>
          <w:sz w:val="18"/>
          <w:szCs w:val="18"/>
          <w:color w:val="auto"/>
        </w:rPr>
        <w:t>Date: November 4,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George L. Ball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4128135</wp:posOffset>
            </wp:positionH>
            <wp:positionV relativeFrom="paragraph">
              <wp:posOffset>11430</wp:posOffset>
            </wp:positionV>
            <wp:extent cx="300863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008630" cy="8255"/>
                    </a:xfrm>
                    <a:prstGeom prst="rect">
                      <a:avLst/>
                    </a:prstGeom>
                    <a:noFill/>
                  </pic:spPr>
                </pic:pic>
              </a:graphicData>
            </a:graphic>
          </wp:anchor>
        </w:drawing>
      </w:r>
    </w:p>
    <w:p>
      <w:pPr>
        <w:spacing w:after="0" w:line="30" w:lineRule="exact"/>
        <w:rPr>
          <w:sz w:val="20"/>
          <w:szCs w:val="20"/>
          <w:color w:val="auto"/>
        </w:rPr>
      </w:pPr>
    </w:p>
    <w:p>
      <w:pPr>
        <w:jc w:val="center"/>
        <w:ind w:left="6480"/>
        <w:spacing w:after="0"/>
        <w:rPr>
          <w:sz w:val="20"/>
          <w:szCs w:val="20"/>
          <w:color w:val="auto"/>
        </w:rPr>
      </w:pPr>
      <w:r>
        <w:rPr>
          <w:rFonts w:ascii="Arial" w:cs="Arial" w:eastAsia="Arial" w:hAnsi="Arial"/>
          <w:sz w:val="18"/>
          <w:szCs w:val="18"/>
          <w:color w:val="auto"/>
        </w:rPr>
        <w:t>George L. Ball</w:t>
      </w:r>
    </w:p>
    <w:p>
      <w:pPr>
        <w:spacing w:after="0" w:line="18" w:lineRule="exact"/>
        <w:rPr>
          <w:sz w:val="20"/>
          <w:szCs w:val="20"/>
          <w:color w:val="auto"/>
        </w:rPr>
      </w:pPr>
    </w:p>
    <w:p>
      <w:pPr>
        <w:jc w:val="center"/>
        <w:ind w:left="648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500" w:firstLine="510"/>
        <w:spacing w:after="0" w:line="276"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11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1."/>
      <w:numFmt w:val="decimal"/>
      <w:start w:val="1"/>
    </w:lvl>
  </w:abstractNum>
  <w:abstractNum w:abstractNumId="3">
    <w:nsid w:val="721DA317"/>
    <w:multiLevelType w:val="hybridMultilevel"/>
    <w:lvl w:ilvl="0">
      <w:lvlJc w:val="left"/>
      <w:lvlText w:val="%1."/>
      <w:numFmt w:val="decimal"/>
      <w:start w:val="2"/>
    </w:lvl>
  </w:abstractNum>
  <w:abstractNum w:abstractNumId="4">
    <w:nsid w:val="2443A858"/>
    <w:multiLevelType w:val="hybridMultilevel"/>
    <w:lvl w:ilvl="0">
      <w:lvlJc w:val="left"/>
      <w:lvlText w:val="%1."/>
      <w:numFmt w:val="decimal"/>
      <w:start w:val="3"/>
    </w:lvl>
  </w:abstractNum>
  <w:abstractNum w:abstractNumId="5">
    <w:nsid w:val="2D1D5AE9"/>
    <w:multiLevelType w:val="hybridMultilevel"/>
    <w:lvl w:ilvl="0">
      <w:lvlJc w:val="left"/>
      <w:lvlText w:val="%1."/>
      <w:numFmt w:val="decimal"/>
      <w:start w:val="4"/>
    </w:lvl>
  </w:abstractNum>
  <w:abstractNum w:abstractNumId="6">
    <w:nsid w:val="6763845E"/>
    <w:multiLevelType w:val="hybridMultilevel"/>
    <w:lvl w:ilvl="0">
      <w:lvlJc w:val="left"/>
      <w:lvlText w:val="%1."/>
      <w:numFmt w:val="decimal"/>
      <w:start w:val="5"/>
    </w:lvl>
  </w:abstractNum>
  <w:abstractNum w:abstractNumId="7">
    <w:nsid w:val="75A2A8D4"/>
    <w:multiLevelType w:val="hybridMultilevel"/>
    <w:lvl w:ilvl="0">
      <w:lvlJc w:val="left"/>
      <w:lvlText w:val="(%1)"/>
      <w:numFmt w:val="decimal"/>
      <w:start w:val="1"/>
    </w:lvl>
  </w:abstractNum>
  <w:abstractNum w:abstractNumId="8">
    <w:nsid w:val="8EDBDAB"/>
    <w:multiLevelType w:val="hybridMultilevel"/>
    <w:lvl w:ilvl="0">
      <w:lvlJc w:val="left"/>
      <w:lvlText w:val="(%1)"/>
      <w:numFmt w:val="lowerLetter"/>
      <w:start w:val="4"/>
    </w:lvl>
  </w:abstractNum>
  <w:abstractNum w:abstractNumId="9">
    <w:nsid w:val="79838CB2"/>
    <w:multiLevelType w:val="hybridMultilevel"/>
    <w:lvl w:ilvl="0">
      <w:lvlJc w:val="left"/>
      <w:lvlText w:val="%1."/>
      <w:numFmt w:val="decimal"/>
      <w:start w:val="6"/>
    </w:lvl>
  </w:abstractNum>
  <w:abstractNum w:abstractNumId="10">
    <w:nsid w:val="4353D0CD"/>
    <w:multiLevelType w:val="hybridMultilevel"/>
    <w:lvl w:ilvl="0">
      <w:lvlJc w:val="left"/>
      <w:lvlText w:val="%1."/>
      <w:numFmt w:val="decimal"/>
      <w:start w:val="7"/>
    </w:lvl>
  </w:abstractNum>
  <w:abstractNum w:abstractNumId="11">
    <w:nsid w:val="B03E0C6"/>
    <w:multiLevelType w:val="hybridMultilevel"/>
    <w:lvl w:ilvl="0">
      <w:lvlJc w:val="left"/>
      <w:lvlText w:val="%1."/>
      <w:numFmt w:val="decimal"/>
      <w:start w:val="8"/>
    </w:lvl>
  </w:abstractNum>
  <w:abstractNum w:abstractNumId="12">
    <w:nsid w:val="189A769B"/>
    <w:multiLevelType w:val="hybridMultilevel"/>
    <w:lvl w:ilvl="0">
      <w:lvlJc w:val="left"/>
      <w:lvlText w:val="%1."/>
      <w:numFmt w:val="decimal"/>
      <w:start w:val="9"/>
    </w:lvl>
  </w:abstractNum>
  <w:abstractNum w:abstractNumId="13">
    <w:nsid w:val="54E49EB4"/>
    <w:multiLevelType w:val="hybridMultilevel"/>
    <w:lvl w:ilvl="0">
      <w:lvlJc w:val="left"/>
      <w:lvlText w:val="%1."/>
      <w:numFmt w:val="decimal"/>
      <w:start w:val="10"/>
    </w:lvl>
  </w:abstractNum>
  <w:abstractNum w:abstractNumId="14">
    <w:nsid w:val="71F32454"/>
    <w:multiLevelType w:val="hybridMultilevel"/>
    <w:lvl w:ilvl="0">
      <w:lvlJc w:val="left"/>
      <w:lvlText w:val="•"/>
      <w:numFmt w:val="bullet"/>
      <w:start w:val="1"/>
    </w:lvl>
  </w:abstractNum>
  <w:abstractNum w:abstractNumId="15">
    <w:nsid w:val="2CA88611"/>
    <w:multiLevelType w:val="hybridMultilevel"/>
    <w:lvl w:ilvl="0">
      <w:lvlJc w:val="left"/>
      <w:lvlText w:val="."/>
      <w:numFmt w:val="bullet"/>
      <w:start w:val="1"/>
    </w:lvl>
  </w:abstractNum>
  <w:abstractNum w:abstractNumId="16">
    <w:nsid w:val="836C40E"/>
    <w:multiLevelType w:val="hybridMultilevel"/>
    <w:lvl w:ilvl="0">
      <w:lvlJc w:val="left"/>
      <w:lvlText w:val="%1."/>
      <w:numFmt w:val="decimal"/>
      <w:start w:val="11"/>
    </w:lvl>
  </w:abstractNum>
  <w:abstractNum w:abstractNumId="17">
    <w:nsid w:val="2901D82"/>
    <w:multiLevelType w:val="hybridMultilevel"/>
    <w:lvl w:ilvl="0">
      <w:lvlJc w:val="left"/>
      <w:lvlText w:val="%1."/>
      <w:numFmt w:val="decimal"/>
      <w:start w:val="12"/>
    </w:lvl>
  </w:abstractNum>
  <w:abstractNum w:abstractNumId="18">
    <w:nsid w:val="3A95F874"/>
    <w:multiLevelType w:val="hybridMultilevel"/>
    <w:lvl w:ilvl="0">
      <w:lvlJc w:val="left"/>
      <w:lvlText w:val="%1."/>
      <w:numFmt w:val="decimal"/>
      <w:start w:val="13"/>
    </w:lvl>
  </w:abstractNum>
  <w:abstractNum w:abstractNumId="19">
    <w:nsid w:val="8138641"/>
    <w:multiLevelType w:val="hybridMultilevel"/>
    <w:lvl w:ilvl="0">
      <w:lvlJc w:val="left"/>
      <w:lvlText w:val="%1."/>
      <w:numFmt w:val="decimal"/>
      <w:start w:val="14"/>
    </w:lvl>
  </w:abstractNum>
  <w:abstractNum w:abstractNumId="20">
    <w:nsid w:val="1E7FF521"/>
    <w:multiLevelType w:val="hybridMultilevel"/>
    <w:lvl w:ilvl="0">
      <w:lvlJc w:val="left"/>
      <w:lvlText w:val="%1."/>
      <w:numFmt w:val="decimal"/>
      <w:start w:val="15"/>
    </w:lvl>
  </w:abstractNum>
  <w:abstractNum w:abstractNumId="21">
    <w:nsid w:val="7C3DBD3D"/>
    <w:multiLevelType w:val="hybridMultilevel"/>
    <w:lvl w:ilvl="0">
      <w:lvlJc w:val="left"/>
      <w:lvlText w:val="%1."/>
      <w:numFmt w:val="decimal"/>
      <w:start w:val="16"/>
    </w:lvl>
  </w:abstractNum>
  <w:abstractNum w:abstractNumId="22">
    <w:nsid w:val="737B8DDC"/>
    <w:multiLevelType w:val="hybridMultilevel"/>
    <w:lvl w:ilvl="0">
      <w:lvlJc w:val="left"/>
      <w:lvlText w:val="•"/>
      <w:numFmt w:val="bullet"/>
      <w:start w:val="1"/>
    </w:lvl>
  </w:abstractNum>
  <w:abstractNum w:abstractNumId="23">
    <w:nsid w:val="6CEAF087"/>
    <w:multiLevelType w:val="hybridMultilevel"/>
    <w:lvl w:ilvl="0">
      <w:lvlJc w:val="left"/>
      <w:lvlText w:val="%1."/>
      <w:numFmt w:val="decimal"/>
      <w:start w:val="17"/>
    </w:lvl>
  </w:abstractNum>
  <w:abstractNum w:abstractNumId="24">
    <w:nsid w:val="22221A70"/>
    <w:multiLevelType w:val="hybridMultilevel"/>
    <w:lvl w:ilvl="0">
      <w:lvlJc w:val="left"/>
      <w:lvlText w:val="%1."/>
      <w:numFmt w:val="decimal"/>
      <w:start w:val="6"/>
    </w:lvl>
  </w:abstractNum>
  <w:abstractNum w:abstractNumId="25">
    <w:nsid w:val="4516DDE9"/>
    <w:multiLevelType w:val="hybridMultilevel"/>
    <w:lvl w:ilvl="0">
      <w:lvlJc w:val="left"/>
      <w:lvlText w:val="%1."/>
      <w:numFmt w:val="decimal"/>
      <w:start w:val="18"/>
    </w:lvl>
  </w:abstractNum>
  <w:abstractNum w:abstractNumId="26">
    <w:nsid w:val="3006C83E"/>
    <w:multiLevelType w:val="hybridMultilevel"/>
    <w:lvl w:ilvl="0">
      <w:lvlJc w:val="left"/>
      <w:lvlText w:val="(%1)"/>
      <w:numFmt w:val="lowerLetter"/>
      <w:start w:val="1"/>
    </w:lvl>
  </w:abstractNum>
  <w:abstractNum w:abstractNumId="27">
    <w:nsid w:val="614FD4A1"/>
    <w:multiLevelType w:val="hybridMultilevel"/>
    <w:lvl w:ilvl="0">
      <w:lvlJc w:val="left"/>
      <w:lvlText w:val="%1."/>
      <w:numFmt w:val="decimal"/>
      <w:start w:val="19"/>
    </w:lvl>
  </w:abstractNum>
  <w:abstractNum w:abstractNumId="28">
    <w:nsid w:val="419AC241"/>
    <w:multiLevelType w:val="hybridMultilevel"/>
    <w:lvl w:ilvl="0">
      <w:lvlJc w:val="left"/>
      <w:lvlText w:val="(%1)"/>
      <w:numFmt w:val="decimal"/>
      <w:start w:val="1"/>
    </w:lvl>
  </w:abstractNum>
  <w:abstractNum w:abstractNumId="29">
    <w:nsid w:val="5577F8E1"/>
    <w:multiLevelType w:val="hybridMultilevel"/>
    <w:lvl w:ilvl="0">
      <w:lvlJc w:val="left"/>
      <w:lvlText w:val="•"/>
      <w:numFmt w:val="bullet"/>
      <w:start w:val="1"/>
    </w:lvl>
  </w:abstractNum>
  <w:abstractNum w:abstractNumId="30">
    <w:nsid w:val="440BADFC"/>
    <w:multiLevelType w:val="hybridMultilevel"/>
    <w:lvl w:ilvl="0">
      <w:lvlJc w:val="left"/>
      <w:lvlText w:val="(%1)"/>
      <w:numFmt w:val="decimal"/>
      <w:start w:val="1"/>
    </w:lvl>
  </w:abstractNum>
  <w:abstractNum w:abstractNumId="31">
    <w:nsid w:val="5072367"/>
    <w:multiLevelType w:val="hybridMultilevel"/>
    <w:lvl w:ilvl="0">
      <w:lvlJc w:val="left"/>
      <w:lvlText w:val="(%1)"/>
      <w:numFmt w:val="decimal"/>
      <w:start w:val="1"/>
    </w:lvl>
  </w:abstractNum>
  <w:abstractNum w:abstractNumId="32">
    <w:nsid w:val="3804823E"/>
    <w:multiLevelType w:val="hybridMultilevel"/>
    <w:lvl w:ilvl="0">
      <w:lvlJc w:val="left"/>
      <w:lvlText w:val="(%1)"/>
      <w:numFmt w:val="lowerLetter"/>
      <w:start w:val="1"/>
    </w:lvl>
  </w:abstractNum>
  <w:abstractNum w:abstractNumId="33">
    <w:nsid w:val="77465F01"/>
    <w:multiLevelType w:val="hybridMultilevel"/>
    <w:lvl w:ilvl="0">
      <w:lvlJc w:val="left"/>
      <w:lvlText w:val="%1"/>
      <w:numFmt w:val="decimal"/>
      <w:start w:val="101"/>
    </w:lvl>
  </w:abstractNum>
  <w:abstractNum w:abstractNumId="34">
    <w:nsid w:val="7724C67E"/>
    <w:multiLevelType w:val="hybridMultilevel"/>
    <w:lvl w:ilvl="0">
      <w:lvlJc w:val="left"/>
      <w:lvlText w:val="%1"/>
      <w:numFmt w:val="decimal"/>
      <w:start w:val="104"/>
    </w:lvl>
  </w:abstractNum>
  <w:abstractNum w:abstractNumId="35">
    <w:nsid w:val="5C482A97"/>
    <w:multiLevelType w:val="hybridMultilevel"/>
    <w:lvl w:ilvl="0">
      <w:lvlJc w:val="left"/>
      <w:lvlText w:val="*"/>
      <w:numFmt w:val="bullet"/>
      <w:start w:val="1"/>
    </w:lvl>
  </w:abstractNum>
  <w:abstractNum w:abstractNumId="36">
    <w:nsid w:val="2463B9EA"/>
    <w:multiLevelType w:val="hybridMultilevel"/>
    <w:lvl w:ilvl="0">
      <w:lvlJc w:val="left"/>
      <w:lvlText w:val="%1."/>
      <w:numFmt w:val="decimal"/>
      <w:start w:val="1"/>
    </w:lvl>
    <w:lvl w:ilvl="1">
      <w:lvlJc w:val="left"/>
      <w:lvlText w:val="(%2)"/>
      <w:numFmt w:val="lowerLetter"/>
      <w:start w:val="1"/>
    </w:lvl>
  </w:abstractNum>
  <w:abstractNum w:abstractNumId="37">
    <w:nsid w:val="5E884ADC"/>
    <w:multiLevelType w:val="hybridMultilevel"/>
    <w:lvl w:ilvl="0">
      <w:lvlJc w:val="left"/>
      <w:lvlText w:val="%1."/>
      <w:numFmt w:val="decimal"/>
      <w:start w:val="1"/>
    </w:lvl>
    <w:lvl w:ilvl="1">
      <w:lvlJc w:val="left"/>
      <w:lvlText w:val="(%2)"/>
      <w:numFmt w:val="lowerLetter"/>
      <w:start w:val="1"/>
    </w:lvl>
  </w:abstractNum>
  <w:abstractNum w:abstractNumId="38">
    <w:nsid w:val="51EAD36B"/>
    <w:multiLevelType w:val="hybridMultilevel"/>
    <w:lvl w:ilvl="0">
      <w:lvlJc w:val="left"/>
      <w:lvlText w:val="(%1)"/>
      <w:numFmt w:val="decimal"/>
      <w:start w:val="1"/>
    </w:lvl>
  </w:abstractNum>
  <w:abstractNum w:abstractNumId="39">
    <w:nsid w:val="2D51779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2020-11-04T05:39:56Z</dcterms:created>
  <dcterms:modified xsi:type="dcterms:W3CDTF">2020-11-04T05:39:56Z</dcterms:modified>
</cp:coreProperties>
</file>