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LEER STEVEN F</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PARSONS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04/14/2026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PARSONS CORPORATION</w:t>
            </w:r>
          </w:p>
        </w:tc>
        <w:tc>
          <w:tcPr>
            <w:tcW w:w="140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14291 PARK MEADOW DR.,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2,947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33,401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fully vested restricted stock units. Vested shares will be delivered pursuant to the terms and conditions set forth in the applicable grant notice for such restricted stock units, subject to any deferral election made by the insider.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Martinez, as attorney- </w:t>
      </w:r>
      <w:r>
        <w:rPr>
          <w:rFonts w:ascii="Times New Roman" w:cs="Times New Roman" w:eastAsia="Times New Roman" w:hAnsi="Times New Roman"/>
          <w:sz w:val="33"/>
          <w:szCs w:val="33"/>
          <w:color w:val="0000FF"/>
          <w:vertAlign w:val="subscript"/>
        </w:rPr>
        <w:t>04/15/2026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6086"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2026-04-15T19:22:41Z</dcterms:created>
  <dcterms:modified xsi:type="dcterms:W3CDTF">2026-04-15T19:22:41Z</dcterms:modified>
</cp:coreProperties>
</file>