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66675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89535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 w:lineRule="exact"/>
        <w:rPr>
          <w:sz w:val="24"/>
          <w:szCs w:val="24"/>
          <w:color w:val="auto"/>
        </w:rPr>
      </w:pPr>
    </w:p>
    <w:p>
      <w:pPr>
        <w:ind w:left="3740" w:right="1660" w:hanging="3732"/>
        <w:spacing w:after="0" w:line="345" w:lineRule="auto"/>
        <w:tabs>
          <w:tab w:leader="none" w:pos="51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spacing w:after="0" w:line="224"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71755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57785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3"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4560" w:type="dxa"/>
            <w:vAlign w:val="bottom"/>
          </w:tcPr>
          <w:p>
            <w:pPr>
              <w:jc w:val="center"/>
              <w:ind w:right="1799"/>
              <w:spacing w:after="0"/>
              <w:rPr>
                <w:sz w:val="20"/>
                <w:szCs w:val="20"/>
                <w:color w:val="auto"/>
              </w:rPr>
            </w:pPr>
            <w:r>
              <w:rPr>
                <w:rFonts w:ascii="Arial" w:cs="Arial" w:eastAsia="Arial" w:hAnsi="Arial"/>
                <w:sz w:val="18"/>
                <w:szCs w:val="18"/>
                <w:b w:val="1"/>
                <w:bCs w:val="1"/>
                <w:color w:val="auto"/>
              </w:rPr>
              <w:t>Delaware</w:t>
            </w:r>
          </w:p>
        </w:tc>
        <w:tc>
          <w:tcPr>
            <w:tcW w:w="310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560" w:type="dxa"/>
            <w:vAlign w:val="bottom"/>
          </w:tcPr>
          <w:p>
            <w:pPr>
              <w:jc w:val="center"/>
              <w:ind w:right="1779"/>
              <w:spacing w:after="0"/>
              <w:rPr>
                <w:sz w:val="20"/>
                <w:szCs w:val="20"/>
                <w:color w:val="auto"/>
              </w:rPr>
            </w:pPr>
            <w:r>
              <w:rPr>
                <w:rFonts w:ascii="Arial" w:cs="Arial" w:eastAsia="Arial" w:hAnsi="Arial"/>
                <w:sz w:val="14"/>
                <w:szCs w:val="14"/>
                <w:b w:val="1"/>
                <w:bCs w:val="1"/>
                <w:color w:val="auto"/>
              </w:rPr>
              <w:t>(State or other jurisdiction of</w:t>
            </w:r>
          </w:p>
        </w:tc>
        <w:tc>
          <w:tcPr>
            <w:tcW w:w="3100" w:type="dxa"/>
            <w:vAlign w:val="bottom"/>
          </w:tcPr>
          <w:p>
            <w:pPr>
              <w:jc w:val="center"/>
              <w:ind w:left="180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560" w:type="dxa"/>
            <w:vAlign w:val="bottom"/>
          </w:tcPr>
          <w:p>
            <w:pPr>
              <w:jc w:val="center"/>
              <w:ind w:right="1779"/>
              <w:spacing w:after="0"/>
              <w:rPr>
                <w:sz w:val="20"/>
                <w:szCs w:val="20"/>
                <w:color w:val="auto"/>
              </w:rPr>
            </w:pPr>
            <w:r>
              <w:rPr>
                <w:rFonts w:ascii="Arial" w:cs="Arial" w:eastAsia="Arial" w:hAnsi="Arial"/>
                <w:sz w:val="14"/>
                <w:szCs w:val="14"/>
                <w:b w:val="1"/>
                <w:bCs w:val="1"/>
                <w:color w:val="auto"/>
              </w:rPr>
              <w:t>incorporation or organization)</w:t>
            </w:r>
          </w:p>
        </w:tc>
        <w:tc>
          <w:tcPr>
            <w:tcW w:w="3100" w:type="dxa"/>
            <w:vAlign w:val="bottom"/>
          </w:tcPr>
          <w:p>
            <w:pPr>
              <w:jc w:val="center"/>
              <w:ind w:left="1801"/>
              <w:spacing w:after="0"/>
              <w:rPr>
                <w:sz w:val="20"/>
                <w:szCs w:val="20"/>
                <w:color w:val="auto"/>
              </w:rPr>
            </w:pPr>
            <w:r>
              <w:rPr>
                <w:rFonts w:ascii="Arial" w:cs="Arial" w:eastAsia="Arial" w:hAnsi="Arial"/>
                <w:sz w:val="14"/>
                <w:szCs w:val="14"/>
                <w:b w:val="1"/>
                <w:bCs w:val="1"/>
                <w:color w:val="auto"/>
              </w:rPr>
              <w:t>Identification No.)</w:t>
            </w:r>
          </w:p>
        </w:tc>
      </w:tr>
      <w:tr>
        <w:trPr>
          <w:trHeight w:val="286"/>
        </w:trPr>
        <w:tc>
          <w:tcPr>
            <w:tcW w:w="4560" w:type="dxa"/>
            <w:vAlign w:val="bottom"/>
          </w:tcPr>
          <w:p>
            <w:pPr>
              <w:jc w:val="center"/>
              <w:ind w:right="1779"/>
              <w:spacing w:after="0"/>
              <w:rPr>
                <w:sz w:val="20"/>
                <w:szCs w:val="20"/>
                <w:color w:val="auto"/>
              </w:rPr>
            </w:pPr>
            <w:r>
              <w:rPr>
                <w:rFonts w:ascii="Arial" w:cs="Arial" w:eastAsia="Arial" w:hAnsi="Arial"/>
                <w:sz w:val="18"/>
                <w:szCs w:val="18"/>
                <w:b w:val="1"/>
                <w:bCs w:val="1"/>
                <w:color w:val="auto"/>
                <w:w w:val="99"/>
              </w:rPr>
              <w:t>5875 Trinity Parkway #300</w:t>
            </w:r>
          </w:p>
        </w:tc>
        <w:tc>
          <w:tcPr>
            <w:tcW w:w="3100" w:type="dxa"/>
            <w:vAlign w:val="bottom"/>
          </w:tcPr>
          <w:p>
            <w:pPr>
              <w:spacing w:after="0"/>
              <w:rPr>
                <w:sz w:val="24"/>
                <w:szCs w:val="24"/>
                <w:color w:val="auto"/>
              </w:rPr>
            </w:pPr>
          </w:p>
        </w:tc>
      </w:tr>
      <w:tr>
        <w:trPr>
          <w:trHeight w:val="212"/>
        </w:trPr>
        <w:tc>
          <w:tcPr>
            <w:tcW w:w="45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9"/>
              </w:rPr>
              <w:t>Centerville, Virginia</w:t>
            </w:r>
          </w:p>
        </w:tc>
        <w:tc>
          <w:tcPr>
            <w:tcW w:w="3100" w:type="dxa"/>
            <w:vAlign w:val="bottom"/>
          </w:tcPr>
          <w:p>
            <w:pPr>
              <w:jc w:val="right"/>
              <w:ind w:right="281"/>
              <w:spacing w:after="0"/>
              <w:rPr>
                <w:sz w:val="20"/>
                <w:szCs w:val="20"/>
                <w:color w:val="auto"/>
              </w:rPr>
            </w:pPr>
            <w:r>
              <w:rPr>
                <w:rFonts w:ascii="Arial" w:cs="Arial" w:eastAsia="Arial" w:hAnsi="Arial"/>
                <w:sz w:val="18"/>
                <w:szCs w:val="18"/>
                <w:b w:val="1"/>
                <w:bCs w:val="1"/>
                <w:color w:val="auto"/>
              </w:rPr>
              <w:t>20120</w:t>
            </w:r>
          </w:p>
        </w:tc>
      </w:tr>
      <w:tr>
        <w:trPr>
          <w:trHeight w:val="190"/>
        </w:trPr>
        <w:tc>
          <w:tcPr>
            <w:tcW w:w="4560" w:type="dxa"/>
            <w:vAlign w:val="bottom"/>
          </w:tcPr>
          <w:p>
            <w:pPr>
              <w:jc w:val="center"/>
              <w:ind w:right="1799"/>
              <w:spacing w:after="0"/>
              <w:rPr>
                <w:sz w:val="20"/>
                <w:szCs w:val="20"/>
                <w:color w:val="auto"/>
              </w:rPr>
            </w:pPr>
            <w:r>
              <w:rPr>
                <w:rFonts w:ascii="Arial" w:cs="Arial" w:eastAsia="Arial" w:hAnsi="Arial"/>
                <w:sz w:val="14"/>
                <w:szCs w:val="14"/>
                <w:b w:val="1"/>
                <w:bCs w:val="1"/>
                <w:color w:val="auto"/>
              </w:rPr>
              <w:t>(Address of principal executive offices)</w:t>
            </w:r>
          </w:p>
        </w:tc>
        <w:tc>
          <w:tcPr>
            <w:tcW w:w="3100" w:type="dxa"/>
            <w:vAlign w:val="bottom"/>
          </w:tcPr>
          <w:p>
            <w:pPr>
              <w:jc w:val="center"/>
              <w:ind w:left="1801"/>
              <w:spacing w:after="0"/>
              <w:rPr>
                <w:sz w:val="20"/>
                <w:szCs w:val="20"/>
                <w:color w:val="auto"/>
              </w:rPr>
            </w:pPr>
            <w:r>
              <w:rPr>
                <w:rFonts w:ascii="Arial" w:cs="Arial" w:eastAsia="Arial" w:hAnsi="Arial"/>
                <w:sz w:val="14"/>
                <w:szCs w:val="14"/>
                <w:b w:val="1"/>
                <w:bCs w:val="1"/>
                <w:color w:val="auto"/>
              </w:rPr>
              <w:t>(Zip Code)</w:t>
            </w: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9" w:lineRule="exact"/>
        <w:rPr>
          <w:sz w:val="24"/>
          <w:szCs w:val="24"/>
          <w:color w:val="auto"/>
        </w:rPr>
      </w:pPr>
    </w:p>
    <w:p>
      <w:pPr>
        <w:ind w:right="80"/>
        <w:spacing w:after="0" w:line="20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ind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jc w:val="both"/>
        <w:ind w:right="160" w:firstLine="608"/>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0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00"/>
              <w:spacing w:after="0"/>
              <w:rPr>
                <w:sz w:val="20"/>
                <w:szCs w:val="20"/>
                <w:color w:val="auto"/>
              </w:rPr>
            </w:pPr>
            <w:r>
              <w:rPr>
                <w:rFonts w:ascii="Arial" w:cs="Arial" w:eastAsia="Arial" w:hAnsi="Arial"/>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60" w:lineRule="exact"/>
        <w:rPr>
          <w:sz w:val="24"/>
          <w:szCs w:val="24"/>
          <w:color w:val="auto"/>
        </w:rPr>
      </w:pPr>
    </w:p>
    <w:p>
      <w:pPr>
        <w:ind w:right="640" w:firstLine="608"/>
        <w:spacing w:after="0" w:line="21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left="6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Trading</w:t>
            </w:r>
          </w:p>
        </w:tc>
        <w:tc>
          <w:tcPr>
            <w:tcW w:w="5140" w:type="dxa"/>
            <w:vAlign w:val="bottom"/>
          </w:tcPr>
          <w:p>
            <w:pPr>
              <w:spacing w:after="0"/>
              <w:rPr>
                <w:sz w:val="14"/>
                <w:szCs w:val="14"/>
                <w:color w:val="auto"/>
              </w:rPr>
            </w:pPr>
          </w:p>
        </w:tc>
      </w:tr>
      <w:tr>
        <w:trPr>
          <w:trHeight w:val="175"/>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5"/>
                <w:szCs w:val="15"/>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0"/>
        </w:trPr>
        <w:tc>
          <w:tcPr>
            <w:tcW w:w="436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1"/>
                <w:szCs w:val="21"/>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PSN</w:t>
            </w:r>
          </w:p>
        </w:tc>
        <w:tc>
          <w:tcPr>
            <w:tcW w:w="51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53" w:lineRule="exact"/>
        <w:rPr>
          <w:sz w:val="24"/>
          <w:szCs w:val="24"/>
          <w:color w:val="auto"/>
        </w:rPr>
      </w:pPr>
    </w:p>
    <w:p>
      <w:pPr>
        <w:ind w:left="620"/>
        <w:spacing w:after="0"/>
        <w:rPr>
          <w:sz w:val="20"/>
          <w:szCs w:val="20"/>
          <w:color w:val="auto"/>
        </w:rPr>
      </w:pPr>
      <w:r>
        <w:rPr>
          <w:rFonts w:ascii="Arial" w:cs="Arial" w:eastAsia="Arial" w:hAnsi="Arial"/>
          <w:sz w:val="18"/>
          <w:szCs w:val="18"/>
          <w:color w:val="auto"/>
        </w:rPr>
        <w:t>As of June 6, 2019, the registrant had 99,434,877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156845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60" w:type="dxa"/>
            <w:vAlign w:val="bottom"/>
            <w:gridSpan w:val="6"/>
          </w:tcPr>
          <w:p>
            <w:pPr>
              <w:ind w:left="620"/>
              <w:spacing w:after="0"/>
              <w:rPr>
                <w:sz w:val="20"/>
                <w:szCs w:val="20"/>
                <w:color w:val="auto"/>
              </w:rPr>
            </w:pPr>
            <w:r>
              <w:rPr>
                <w:rFonts w:ascii="Arial" w:cs="Arial" w:eastAsia="Arial" w:hAnsi="Arial"/>
                <w:sz w:val="18"/>
                <w:szCs w:val="18"/>
                <w:b w:val="1"/>
                <w:bCs w:val="1"/>
                <w:color w:val="auto"/>
              </w:rPr>
              <w:t>Table of Contents</w:t>
            </w:r>
          </w:p>
        </w:tc>
      </w:tr>
      <w:tr>
        <w:trPr>
          <w:trHeight w:val="621"/>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0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0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r>
      <w:tr>
        <w:trPr>
          <w:trHeight w:val="223"/>
        </w:trPr>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Balance Sheets</w:t>
              </w:r>
            </w:hyperlink>
          </w:p>
        </w:tc>
        <w:tc>
          <w:tcPr>
            <w:tcW w:w="300" w:type="dxa"/>
            <w:vAlign w:val="bottom"/>
            <w:tcBorders>
              <w:top w:val="single" w:sz="8" w:color="0000EE"/>
            </w:tcBorders>
            <w:gridSpan w:val="2"/>
          </w:tcPr>
          <w:p>
            <w:pPr>
              <w:spacing w:after="0"/>
              <w:rPr>
                <w:sz w:val="19"/>
                <w:szCs w:val="19"/>
                <w:color w:val="auto"/>
              </w:rPr>
            </w:pPr>
          </w:p>
        </w:tc>
        <w:tc>
          <w:tcPr>
            <w:tcW w:w="4400" w:type="dxa"/>
            <w:vAlign w:val="bottom"/>
            <w:gridSpan w:val="8"/>
          </w:tcPr>
          <w:p>
            <w:pPr>
              <w:spacing w:after="0"/>
              <w:rPr>
                <w:sz w:val="19"/>
                <w:szCs w:val="19"/>
                <w:color w:val="auto"/>
              </w:rPr>
            </w:pPr>
          </w:p>
        </w:tc>
      </w:tr>
      <w:tr>
        <w:trPr>
          <w:trHeight w:val="223"/>
        </w:trPr>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18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Statements of Comprehensive Income</w:t>
              </w:r>
            </w:hyperlink>
          </w:p>
        </w:tc>
        <w:tc>
          <w:tcPr>
            <w:tcW w:w="2900" w:type="dxa"/>
            <w:vAlign w:val="bottom"/>
            <w:gridSpan w:val="4"/>
          </w:tcPr>
          <w:p>
            <w:pPr>
              <w:spacing w:after="0"/>
              <w:rPr>
                <w:sz w:val="19"/>
                <w:szCs w:val="19"/>
                <w:color w:val="auto"/>
              </w:rPr>
            </w:pPr>
          </w:p>
        </w:tc>
      </w:tr>
      <w:tr>
        <w:trPr>
          <w:trHeight w:val="223"/>
        </w:trPr>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2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Cash Flows</w:t>
              </w:r>
            </w:hyperlink>
          </w:p>
        </w:tc>
        <w:tc>
          <w:tcPr>
            <w:tcW w:w="3860" w:type="dxa"/>
            <w:vAlign w:val="bottom"/>
            <w:gridSpan w:val="6"/>
          </w:tcPr>
          <w:p>
            <w:pPr>
              <w:spacing w:after="0"/>
              <w:rPr>
                <w:sz w:val="19"/>
                <w:szCs w:val="19"/>
                <w:color w:val="auto"/>
              </w:rPr>
            </w:pPr>
          </w:p>
        </w:tc>
      </w:tr>
      <w:tr>
        <w:trPr>
          <w:trHeight w:val="223"/>
        </w:trPr>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4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Statements of Shareholder’s Equity</w:t>
              </w:r>
            </w:hyperlink>
          </w:p>
        </w:tc>
        <w:tc>
          <w:tcPr>
            <w:tcW w:w="3140" w:type="dxa"/>
            <w:vAlign w:val="bottom"/>
            <w:gridSpan w:val="5"/>
          </w:tcPr>
          <w:p>
            <w:pPr>
              <w:spacing w:after="0"/>
              <w:rPr>
                <w:sz w:val="19"/>
                <w:szCs w:val="19"/>
                <w:color w:val="auto"/>
              </w:rPr>
            </w:pPr>
          </w:p>
        </w:tc>
      </w:tr>
      <w:tr>
        <w:trPr>
          <w:trHeight w:val="237"/>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8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Management’s Discussion and Analysis of Financial Condition and Results of Operations</w:t>
              </w:r>
            </w:hyperlink>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r>
      <w:tr>
        <w:trPr>
          <w:trHeight w:val="210"/>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Controls and Procedures</w:t>
              </w:r>
            </w:hyperlink>
          </w:p>
        </w:tc>
        <w:tc>
          <w:tcPr>
            <w:tcW w:w="2720" w:type="dxa"/>
            <w:vAlign w:val="bottom"/>
            <w:tcBorders>
              <w:top w:val="single" w:sz="8" w:color="0000EE"/>
            </w:tcBorders>
            <w:gridSpan w:val="10"/>
          </w:tcPr>
          <w:p>
            <w:pPr>
              <w:spacing w:after="0"/>
              <w:rPr>
                <w:sz w:val="18"/>
                <w:szCs w:val="18"/>
                <w:color w:val="auto"/>
              </w:rPr>
            </w:pPr>
          </w:p>
        </w:tc>
        <w:tc>
          <w:tcPr>
            <w:tcW w:w="2360" w:type="dxa"/>
            <w:vAlign w:val="bottom"/>
            <w:gridSpan w:val="2"/>
          </w:tcPr>
          <w:p>
            <w:pPr>
              <w:spacing w:after="0"/>
              <w:rPr>
                <w:sz w:val="18"/>
                <w:szCs w:val="18"/>
                <w:color w:val="auto"/>
              </w:rPr>
            </w:pPr>
          </w:p>
        </w:tc>
      </w:tr>
      <w:tr>
        <w:trPr>
          <w:trHeight w:val="237"/>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OTHER INFORMATION</w:t>
              </w:r>
            </w:hyperlink>
          </w:p>
        </w:tc>
        <w:tc>
          <w:tcPr>
            <w:tcW w:w="5140" w:type="dxa"/>
            <w:vAlign w:val="bottom"/>
            <w:gridSpan w:val="13"/>
          </w:tcPr>
          <w:p>
            <w:pPr>
              <w:spacing w:after="0"/>
              <w:rPr>
                <w:sz w:val="20"/>
                <w:szCs w:val="20"/>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Legal Proceedings</w:t>
              </w:r>
            </w:hyperlink>
          </w:p>
        </w:tc>
        <w:tc>
          <w:tcPr>
            <w:tcW w:w="5580" w:type="dxa"/>
            <w:vAlign w:val="bottom"/>
            <w:gridSpan w:val="14"/>
          </w:tcPr>
          <w:p>
            <w:pPr>
              <w:spacing w:after="0"/>
              <w:rPr>
                <w:sz w:val="19"/>
                <w:szCs w:val="19"/>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708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860" w:type="dxa"/>
            <w:vAlign w:val="bottom"/>
            <w:tcBorders>
              <w:top w:val="single" w:sz="8" w:color="0000EE"/>
            </w:tcBorders>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2220" w:type="dxa"/>
            <w:vAlign w:val="bottom"/>
          </w:tcPr>
          <w:p>
            <w:pPr>
              <w:spacing w:after="0"/>
              <w:rPr>
                <w:sz w:val="19"/>
                <w:szCs w:val="19"/>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9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Mine Safety Disclosures</w:t>
              </w:r>
            </w:hyperlink>
          </w:p>
        </w:tc>
        <w:tc>
          <w:tcPr>
            <w:tcW w:w="620" w:type="dxa"/>
            <w:vAlign w:val="bottom"/>
            <w:tcBorders>
              <w:top w:val="single" w:sz="8" w:color="0000EE"/>
            </w:tcBorders>
            <w:gridSpan w:val="4"/>
          </w:tcPr>
          <w:p>
            <w:pPr>
              <w:spacing w:after="0"/>
              <w:rPr>
                <w:sz w:val="19"/>
                <w:szCs w:val="19"/>
                <w:color w:val="auto"/>
              </w:rPr>
            </w:pPr>
          </w:p>
        </w:tc>
        <w:tc>
          <w:tcPr>
            <w:tcW w:w="4520" w:type="dxa"/>
            <w:vAlign w:val="bottom"/>
            <w:gridSpan w:val="9"/>
          </w:tcPr>
          <w:p>
            <w:pPr>
              <w:spacing w:after="0"/>
              <w:rPr>
                <w:sz w:val="19"/>
                <w:szCs w:val="19"/>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708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400" w:type="dxa"/>
            <w:vAlign w:val="bottom"/>
            <w:tcBorders>
              <w:top w:val="single" w:sz="8" w:color="0000EE"/>
            </w:tcBorders>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5680" w:type="dxa"/>
            <w:vAlign w:val="bottom"/>
            <w:gridSpan w:val="15"/>
          </w:tcPr>
          <w:p>
            <w:pPr>
              <w:spacing w:after="0"/>
              <w:rPr>
                <w:sz w:val="19"/>
                <w:szCs w:val="19"/>
                <w:color w:val="auto"/>
              </w:rPr>
            </w:pPr>
          </w:p>
        </w:tc>
      </w:tr>
      <w:tr>
        <w:trPr>
          <w:trHeight w:val="223"/>
        </w:trPr>
        <w:tc>
          <w:tcPr>
            <w:tcW w:w="1120" w:type="dxa"/>
            <w:vAlign w:val="bottom"/>
            <w:gridSpan w:val="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8890</wp:posOffset>
            </wp:positionV>
            <wp:extent cx="5060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ectPr>
          <w:pgSz w:w="11900" w:h="16838" w:orient="portrait"/>
          <w:cols w:equalWidth="0" w:num="2">
            <w:col w:w="10180" w:space="720"/>
            <w:col w:w="500"/>
          </w:cols>
          <w:pgMar w:left="240" w:top="118"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8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 2019</w:t>
            </w:r>
          </w:p>
        </w:tc>
      </w:tr>
      <w:tr>
        <w:trPr>
          <w:trHeight w:val="169"/>
        </w:trPr>
        <w:tc>
          <w:tcPr>
            <w:tcW w:w="8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76"/>
        </w:trPr>
        <w:tc>
          <w:tcPr>
            <w:tcW w:w="8500" w:type="dxa"/>
            <w:vAlign w:val="bottom"/>
          </w:tcPr>
          <w:p>
            <w:pPr>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Cash and cash equivalents (including $73,794 and $42,872 Cash of consolidated joint ventures)</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280,221</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121,408</w:t>
            </w: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Pr>
          <w:p>
            <w:pPr>
              <w:ind w:left="300"/>
              <w:spacing w:after="0"/>
              <w:rPr>
                <w:sz w:val="20"/>
                <w:szCs w:val="20"/>
                <w:color w:val="auto"/>
              </w:rPr>
            </w:pPr>
            <w:r>
              <w:rPr>
                <w:rFonts w:ascii="Arial" w:cs="Arial" w:eastAsia="Arial" w:hAnsi="Arial"/>
                <w:sz w:val="14"/>
                <w:szCs w:val="14"/>
                <w:color w:val="auto"/>
              </w:rPr>
              <w:t>Restricted cash and investments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9,061</w:t>
            </w: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Accounts receivable, net (including $180,325 and $193,597 Accounts receivable of consolidated joint ventures, net)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623,286</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651,924</w:t>
            </w: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Pr>
          <w:p>
            <w:pPr>
              <w:ind w:left="300"/>
              <w:spacing w:after="0"/>
              <w:rPr>
                <w:sz w:val="20"/>
                <w:szCs w:val="20"/>
                <w:color w:val="auto"/>
              </w:rPr>
            </w:pPr>
            <w:r>
              <w:rPr>
                <w:rFonts w:ascii="Arial" w:cs="Arial" w:eastAsia="Arial" w:hAnsi="Arial"/>
                <w:sz w:val="14"/>
                <w:szCs w:val="14"/>
                <w:color w:val="auto"/>
              </w:rPr>
              <w:t>Contract assets (including $21,270 and $23,964 Contract assets of consolidated joint ventures)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515,319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571,755</w:t>
            </w:r>
          </w:p>
        </w:tc>
        <w:tc>
          <w:tcPr>
            <w:tcW w:w="120" w:type="dxa"/>
            <w:vAlign w:val="bottom"/>
          </w:tcPr>
          <w:p>
            <w:pPr>
              <w:spacing w:after="0"/>
              <w:rPr>
                <w:sz w:val="15"/>
                <w:szCs w:val="15"/>
                <w:color w:val="auto"/>
              </w:rPr>
            </w:pPr>
          </w:p>
        </w:tc>
      </w:tr>
      <w:tr>
        <w:trPr>
          <w:trHeight w:val="180"/>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Prepaid expenses and other current assets (including $11,837 and $9,423 Prepaid expenses and other current assets of</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57"/>
        </w:trPr>
        <w:tc>
          <w:tcPr>
            <w:tcW w:w="8500" w:type="dxa"/>
            <w:vAlign w:val="bottom"/>
            <w:shd w:val="clear" w:color="auto" w:fill="CFF0FC"/>
          </w:tcPr>
          <w:p>
            <w:pPr>
              <w:ind w:left="300"/>
              <w:spacing w:after="0" w:line="157" w:lineRule="exact"/>
              <w:rPr>
                <w:sz w:val="20"/>
                <w:szCs w:val="20"/>
                <w:color w:val="auto"/>
              </w:rPr>
            </w:pPr>
            <w:r>
              <w:rPr>
                <w:rFonts w:ascii="Arial" w:cs="Arial" w:eastAsia="Arial" w:hAnsi="Arial"/>
                <w:sz w:val="14"/>
                <w:szCs w:val="14"/>
                <w:color w:val="auto"/>
              </w:rPr>
              <w:t>consolidated joint ventures)</w:t>
            </w: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69,007</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77,013</w:t>
            </w:r>
          </w:p>
        </w:tc>
        <w:tc>
          <w:tcPr>
            <w:tcW w:w="120" w:type="dxa"/>
            <w:vAlign w:val="bottom"/>
            <w:shd w:val="clear" w:color="auto" w:fill="CFF0FC"/>
          </w:tcPr>
          <w:p>
            <w:pPr>
              <w:spacing w:after="0"/>
              <w:rPr>
                <w:sz w:val="13"/>
                <w:szCs w:val="13"/>
                <w:color w:val="auto"/>
              </w:rPr>
            </w:pPr>
          </w:p>
        </w:tc>
      </w:tr>
      <w:tr>
        <w:trPr>
          <w:trHeight w:val="169"/>
        </w:trPr>
        <w:tc>
          <w:tcPr>
            <w:tcW w:w="8500" w:type="dxa"/>
            <w:vAlign w:val="bottom"/>
            <w:tcBorders>
              <w:bottom w:val="single" w:sz="8" w:color="CFF0FC"/>
            </w:tcBorders>
          </w:tcPr>
          <w:p>
            <w:pPr>
              <w:ind w:left="560"/>
              <w:spacing w:after="0"/>
              <w:rPr>
                <w:sz w:val="20"/>
                <w:szCs w:val="20"/>
                <w:color w:val="auto"/>
              </w:rPr>
            </w:pPr>
            <w:r>
              <w:rPr>
                <w:rFonts w:ascii="Arial" w:cs="Arial" w:eastAsia="Arial" w:hAnsi="Arial"/>
                <w:sz w:val="14"/>
                <w:szCs w:val="14"/>
                <w:color w:val="auto"/>
              </w:rPr>
              <w:t>Total current assets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1,488,807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1,431,161</w:t>
            </w:r>
          </w:p>
        </w:tc>
        <w:tc>
          <w:tcPr>
            <w:tcW w:w="120" w:type="dxa"/>
            <w:vAlign w:val="bottom"/>
            <w:tcBorders>
              <w:bottom w:val="single" w:sz="8" w:color="CFF0FC"/>
            </w:tcBorders>
          </w:tcPr>
          <w:p>
            <w:pPr>
              <w:spacing w:after="0"/>
              <w:rPr>
                <w:sz w:val="14"/>
                <w:szCs w:val="14"/>
                <w:color w:val="auto"/>
              </w:rPr>
            </w:pPr>
          </w:p>
        </w:tc>
      </w:tr>
      <w:tr>
        <w:trPr>
          <w:trHeight w:val="169"/>
        </w:trPr>
        <w:tc>
          <w:tcPr>
            <w:tcW w:w="8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6"/>
        </w:trPr>
        <w:tc>
          <w:tcPr>
            <w:tcW w:w="8500" w:type="dxa"/>
            <w:vAlign w:val="bottom"/>
          </w:tcPr>
          <w:p>
            <w:pPr>
              <w:ind w:left="300"/>
              <w:spacing w:after="0"/>
              <w:rPr>
                <w:sz w:val="20"/>
                <w:szCs w:val="20"/>
                <w:color w:val="auto"/>
              </w:rPr>
            </w:pPr>
            <w:r>
              <w:rPr>
                <w:rFonts w:ascii="Arial" w:cs="Arial" w:eastAsia="Arial" w:hAnsi="Arial"/>
                <w:sz w:val="14"/>
                <w:szCs w:val="14"/>
                <w:color w:val="auto"/>
              </w:rPr>
              <w:t>Property and equipment, net (including $2,561 and $2,507 Property and equipment of consolidated joint ventures, net)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91,849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97,298</w:t>
            </w: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Right of use assets, operating leases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216,484</w:t>
            </w: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Pr>
          <w:p>
            <w:pPr>
              <w:ind w:left="30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736,938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921,097</w:t>
            </w: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Investments in and advances to unconsolidated joint ventures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63,560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67,202</w:t>
            </w: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Pr>
          <w:p>
            <w:pPr>
              <w:ind w:left="300"/>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179,519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250,948</w:t>
            </w: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Deferred tax assets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4,891</w:t>
            </w: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Borders>
              <w:bottom w:val="single" w:sz="8" w:color="CFF0FC"/>
            </w:tcBorders>
          </w:tcPr>
          <w:p>
            <w:pPr>
              <w:ind w:left="300"/>
              <w:spacing w:after="0"/>
              <w:rPr>
                <w:sz w:val="20"/>
                <w:szCs w:val="20"/>
                <w:color w:val="auto"/>
              </w:rPr>
            </w:pPr>
            <w:r>
              <w:rPr>
                <w:rFonts w:ascii="Arial" w:cs="Arial" w:eastAsia="Arial" w:hAnsi="Arial"/>
                <w:sz w:val="14"/>
                <w:szCs w:val="14"/>
                <w:color w:val="auto"/>
              </w:rPr>
              <w:t>Other noncurrent assets</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46,225</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43,917</w:t>
            </w:r>
          </w:p>
        </w:tc>
        <w:tc>
          <w:tcPr>
            <w:tcW w:w="120" w:type="dxa"/>
            <w:vAlign w:val="bottom"/>
            <w:tcBorders>
              <w:bottom w:val="single" w:sz="8" w:color="CFF0FC"/>
            </w:tcBorders>
          </w:tcPr>
          <w:p>
            <w:pPr>
              <w:spacing w:after="0"/>
              <w:rPr>
                <w:sz w:val="15"/>
                <w:szCs w:val="15"/>
                <w:color w:val="auto"/>
              </w:rPr>
            </w:pPr>
          </w:p>
        </w:tc>
      </w:tr>
      <w:tr>
        <w:trPr>
          <w:trHeight w:val="169"/>
        </w:trPr>
        <w:tc>
          <w:tcPr>
            <w:tcW w:w="85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Total assets</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2,612,578</w:t>
            </w:r>
          </w:p>
        </w:tc>
        <w:tc>
          <w:tcPr>
            <w:tcW w:w="18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3,032,998</w:t>
            </w:r>
          </w:p>
        </w:tc>
        <w:tc>
          <w:tcPr>
            <w:tcW w:w="120" w:type="dxa"/>
            <w:vAlign w:val="bottom"/>
            <w:shd w:val="clear" w:color="auto" w:fill="CFF0FC"/>
          </w:tcPr>
          <w:p>
            <w:pPr>
              <w:spacing w:after="0"/>
              <w:rPr>
                <w:sz w:val="14"/>
                <w:szCs w:val="14"/>
                <w:color w:val="auto"/>
              </w:rPr>
            </w:pPr>
          </w:p>
        </w:tc>
      </w:tr>
      <w:tr>
        <w:trPr>
          <w:trHeight w:val="20"/>
        </w:trPr>
        <w:tc>
          <w:tcPr>
            <w:tcW w:w="85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56"/>
        </w:trPr>
        <w:tc>
          <w:tcPr>
            <w:tcW w:w="8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6"/>
        </w:trPr>
        <w:tc>
          <w:tcPr>
            <w:tcW w:w="8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Pr>
          <w:p>
            <w:pPr>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Accounts payable (including $87,914 and $91,505 Accounts payable of consolidated joint ventures)</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226,345</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203,684</w:t>
            </w:r>
          </w:p>
        </w:tc>
        <w:tc>
          <w:tcPr>
            <w:tcW w:w="120" w:type="dxa"/>
            <w:vAlign w:val="bottom"/>
            <w:shd w:val="clear" w:color="auto" w:fill="CFF0FC"/>
          </w:tcPr>
          <w:p>
            <w:pPr>
              <w:spacing w:after="0"/>
              <w:rPr>
                <w:sz w:val="15"/>
                <w:szCs w:val="15"/>
                <w:color w:val="auto"/>
              </w:rPr>
            </w:pPr>
          </w:p>
        </w:tc>
      </w:tr>
      <w:tr>
        <w:trPr>
          <w:trHeight w:val="180"/>
        </w:trPr>
        <w:tc>
          <w:tcPr>
            <w:tcW w:w="8500" w:type="dxa"/>
            <w:vAlign w:val="bottom"/>
          </w:tcPr>
          <w:p>
            <w:pPr>
              <w:ind w:left="300"/>
              <w:spacing w:after="0"/>
              <w:rPr>
                <w:sz w:val="20"/>
                <w:szCs w:val="20"/>
                <w:color w:val="auto"/>
              </w:rPr>
            </w:pPr>
            <w:r>
              <w:rPr>
                <w:rFonts w:ascii="Arial" w:cs="Arial" w:eastAsia="Arial" w:hAnsi="Arial"/>
                <w:sz w:val="14"/>
                <w:szCs w:val="14"/>
                <w:color w:val="auto"/>
              </w:rPr>
              <w:t>Accrued expenses and other current liabilities (including $73,209 and $71,593 Accrued expenses and other current liabilities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7"/>
        </w:trPr>
        <w:tc>
          <w:tcPr>
            <w:tcW w:w="8500" w:type="dxa"/>
            <w:vAlign w:val="bottom"/>
          </w:tcPr>
          <w:p>
            <w:pPr>
              <w:ind w:left="300"/>
              <w:spacing w:after="0" w:line="157" w:lineRule="exact"/>
              <w:rPr>
                <w:sz w:val="20"/>
                <w:szCs w:val="20"/>
                <w:color w:val="auto"/>
              </w:rPr>
            </w:pPr>
            <w:r>
              <w:rPr>
                <w:rFonts w:ascii="Arial" w:cs="Arial" w:eastAsia="Arial" w:hAnsi="Arial"/>
                <w:sz w:val="14"/>
                <w:szCs w:val="14"/>
                <w:color w:val="auto"/>
              </w:rPr>
              <w:t>consolidated joint ventures)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line="157" w:lineRule="exact"/>
              <w:rPr>
                <w:sz w:val="20"/>
                <w:szCs w:val="20"/>
                <w:color w:val="auto"/>
              </w:rPr>
            </w:pPr>
            <w:r>
              <w:rPr>
                <w:rFonts w:ascii="Arial" w:cs="Arial" w:eastAsia="Arial" w:hAnsi="Arial"/>
                <w:sz w:val="14"/>
                <w:szCs w:val="14"/>
                <w:color w:val="auto"/>
              </w:rPr>
              <w:t>559,700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547,954</w:t>
            </w:r>
          </w:p>
        </w:tc>
        <w:tc>
          <w:tcPr>
            <w:tcW w:w="120" w:type="dxa"/>
            <w:vAlign w:val="bottom"/>
          </w:tcPr>
          <w:p>
            <w:pPr>
              <w:spacing w:after="0"/>
              <w:rPr>
                <w:sz w:val="13"/>
                <w:szCs w:val="13"/>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Contract liabilities (including $38,706 and $46,754 Contract liabilities of consolidated joint ventures)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208,576</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225,017</w:t>
            </w: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Pr>
          <w:p>
            <w:pPr>
              <w:ind w:left="300"/>
              <w:spacing w:after="0"/>
              <w:rPr>
                <w:sz w:val="20"/>
                <w:szCs w:val="20"/>
                <w:color w:val="auto"/>
              </w:rPr>
            </w:pPr>
            <w:r>
              <w:rPr>
                <w:rFonts w:ascii="Arial" w:cs="Arial" w:eastAsia="Arial" w:hAnsi="Arial"/>
                <w:sz w:val="14"/>
                <w:szCs w:val="14"/>
                <w:color w:val="auto"/>
              </w:rPr>
              <w:t>Short-term lease liabilities, operating leases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53,029</w:t>
            </w: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Income taxes payable</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11,540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9,415</w:t>
            </w: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Borders>
              <w:bottom w:val="single" w:sz="8" w:color="CFF0FC"/>
            </w:tcBorders>
          </w:tcPr>
          <w:p>
            <w:pPr>
              <w:ind w:left="300"/>
              <w:spacing w:after="0"/>
              <w:rPr>
                <w:sz w:val="20"/>
                <w:szCs w:val="20"/>
                <w:color w:val="auto"/>
              </w:rPr>
            </w:pPr>
            <w:r>
              <w:rPr>
                <w:rFonts w:ascii="Arial" w:cs="Arial" w:eastAsia="Arial" w:hAnsi="Arial"/>
                <w:sz w:val="14"/>
                <w:szCs w:val="14"/>
                <w:color w:val="auto"/>
              </w:rPr>
              <w:t>Short-term notes payable</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149,786</w:t>
            </w:r>
          </w:p>
        </w:tc>
        <w:tc>
          <w:tcPr>
            <w:tcW w:w="120" w:type="dxa"/>
            <w:vAlign w:val="bottom"/>
            <w:tcBorders>
              <w:bottom w:val="single" w:sz="8" w:color="CFF0FC"/>
            </w:tcBorders>
          </w:tcPr>
          <w:p>
            <w:pPr>
              <w:spacing w:after="0"/>
              <w:rPr>
                <w:sz w:val="15"/>
                <w:szCs w:val="15"/>
                <w:color w:val="auto"/>
              </w:rPr>
            </w:pPr>
          </w:p>
        </w:tc>
      </w:tr>
      <w:tr>
        <w:trPr>
          <w:trHeight w:val="169"/>
        </w:trPr>
        <w:tc>
          <w:tcPr>
            <w:tcW w:w="85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1,006,161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1,188,885</w:t>
            </w:r>
          </w:p>
        </w:tc>
        <w:tc>
          <w:tcPr>
            <w:tcW w:w="120" w:type="dxa"/>
            <w:vAlign w:val="bottom"/>
            <w:shd w:val="clear" w:color="auto" w:fill="CFF0FC"/>
          </w:tcPr>
          <w:p>
            <w:pPr>
              <w:spacing w:after="0"/>
              <w:rPr>
                <w:sz w:val="14"/>
                <w:szCs w:val="14"/>
                <w:color w:val="auto"/>
              </w:rPr>
            </w:pPr>
          </w:p>
        </w:tc>
      </w:tr>
      <w:tr>
        <w:trPr>
          <w:trHeight w:val="169"/>
        </w:trPr>
        <w:tc>
          <w:tcPr>
            <w:tcW w:w="8500" w:type="dxa"/>
            <w:vAlign w:val="bottom"/>
          </w:tcPr>
          <w:p>
            <w:pPr>
              <w:ind w:left="300"/>
              <w:spacing w:after="0"/>
              <w:rPr>
                <w:sz w:val="20"/>
                <w:szCs w:val="20"/>
                <w:color w:val="auto"/>
              </w:rPr>
            </w:pPr>
            <w:r>
              <w:rPr>
                <w:rFonts w:ascii="Arial" w:cs="Arial" w:eastAsia="Arial" w:hAnsi="Arial"/>
                <w:sz w:val="14"/>
                <w:szCs w:val="14"/>
                <w:color w:val="auto"/>
              </w:rPr>
              <w:t>Long-term employee incentives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41,913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29,991</w:t>
            </w:r>
          </w:p>
        </w:tc>
        <w:tc>
          <w:tcPr>
            <w:tcW w:w="120" w:type="dxa"/>
            <w:vAlign w:val="bottom"/>
          </w:tcPr>
          <w:p>
            <w:pPr>
              <w:spacing w:after="0"/>
              <w:rPr>
                <w:sz w:val="14"/>
                <w:szCs w:val="14"/>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Deferred gain resulting from sale-leaseback transactions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46,004</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Pr>
          <w:p>
            <w:pPr>
              <w:ind w:left="300"/>
              <w:spacing w:after="0"/>
              <w:rPr>
                <w:sz w:val="20"/>
                <w:szCs w:val="20"/>
                <w:color w:val="auto"/>
              </w:rPr>
            </w:pPr>
            <w:r>
              <w:rPr>
                <w:rFonts w:ascii="Arial" w:cs="Arial" w:eastAsia="Arial" w:hAnsi="Arial"/>
                <w:sz w:val="14"/>
                <w:szCs w:val="14"/>
                <w:color w:val="auto"/>
              </w:rPr>
              <w:t>Long-term debt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429,164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509,211</w:t>
            </w: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Long-term lease liabilities, operating leases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181,274</w:t>
            </w: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Pr>
          <w:p>
            <w:pPr>
              <w:ind w:left="300"/>
              <w:spacing w:after="0"/>
              <w:rPr>
                <w:sz w:val="20"/>
                <w:szCs w:val="20"/>
                <w:color w:val="auto"/>
              </w:rPr>
            </w:pPr>
            <w:r>
              <w:rPr>
                <w:rFonts w:ascii="Arial" w:cs="Arial" w:eastAsia="Arial" w:hAnsi="Arial"/>
                <w:sz w:val="14"/>
                <w:szCs w:val="14"/>
                <w:color w:val="auto"/>
              </w:rPr>
              <w:t>Deferred tax 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6,240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7,922</w:t>
            </w: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Other long-term liabilities</w:t>
            </w:r>
          </w:p>
        </w:tc>
        <w:tc>
          <w:tcPr>
            <w:tcW w:w="1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127,863</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111,023</w:t>
            </w:r>
          </w:p>
        </w:tc>
        <w:tc>
          <w:tcPr>
            <w:tcW w:w="120" w:type="dxa"/>
            <w:vAlign w:val="bottom"/>
            <w:shd w:val="clear" w:color="auto" w:fill="CFF0FC"/>
          </w:tcPr>
          <w:p>
            <w:pPr>
              <w:spacing w:after="0"/>
              <w:rPr>
                <w:sz w:val="15"/>
                <w:szCs w:val="15"/>
                <w:color w:val="auto"/>
              </w:rPr>
            </w:pPr>
          </w:p>
        </w:tc>
      </w:tr>
      <w:tr>
        <w:trPr>
          <w:trHeight w:val="169"/>
        </w:trPr>
        <w:tc>
          <w:tcPr>
            <w:tcW w:w="8500" w:type="dxa"/>
            <w:vAlign w:val="bottom"/>
            <w:tcBorders>
              <w:bottom w:val="single" w:sz="8" w:color="CFF0FC"/>
            </w:tcBorders>
          </w:tcPr>
          <w:p>
            <w:pPr>
              <w:ind w:left="56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1,657,345</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2,028,306</w:t>
            </w:r>
          </w:p>
        </w:tc>
        <w:tc>
          <w:tcPr>
            <w:tcW w:w="120" w:type="dxa"/>
            <w:vAlign w:val="bottom"/>
            <w:tcBorders>
              <w:bottom w:val="single" w:sz="8" w:color="CFF0FC"/>
            </w:tcBorders>
          </w:tcPr>
          <w:p>
            <w:pPr>
              <w:spacing w:after="0"/>
              <w:rPr>
                <w:sz w:val="14"/>
                <w:szCs w:val="14"/>
                <w:color w:val="auto"/>
              </w:rPr>
            </w:pPr>
          </w:p>
        </w:tc>
      </w:tr>
      <w:tr>
        <w:trPr>
          <w:trHeight w:val="169"/>
        </w:trPr>
        <w:tc>
          <w:tcPr>
            <w:tcW w:w="8500" w:type="dxa"/>
            <w:vAlign w:val="bottom"/>
            <w:shd w:val="clear" w:color="auto" w:fill="CFF0FC"/>
          </w:tcPr>
          <w:p>
            <w:pPr>
              <w:spacing w:after="0"/>
              <w:rPr>
                <w:sz w:val="20"/>
                <w:szCs w:val="20"/>
                <w:color w:val="auto"/>
              </w:rPr>
            </w:pPr>
            <w:r>
              <w:rPr>
                <w:rFonts w:ascii="Arial" w:cs="Arial" w:eastAsia="Arial" w:hAnsi="Arial"/>
                <w:sz w:val="14"/>
                <w:szCs w:val="14"/>
                <w:color w:val="auto"/>
              </w:rPr>
              <w:t>Commitments and contingencies (Note 14)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0"/>
        </w:trPr>
        <w:tc>
          <w:tcPr>
            <w:tcW w:w="8500" w:type="dxa"/>
            <w:vAlign w:val="bottom"/>
          </w:tcPr>
          <w:p>
            <w:pPr>
              <w:ind w:left="300"/>
              <w:spacing w:after="0"/>
              <w:rPr>
                <w:sz w:val="20"/>
                <w:szCs w:val="20"/>
                <w:color w:val="auto"/>
              </w:rPr>
            </w:pPr>
            <w:r>
              <w:rPr>
                <w:rFonts w:ascii="Arial" w:cs="Arial" w:eastAsia="Arial" w:hAnsi="Arial"/>
                <w:sz w:val="14"/>
                <w:szCs w:val="14"/>
                <w:color w:val="auto"/>
              </w:rPr>
              <w:t>Redeemable common stock held by Employee Stock Ownership Plan (ESOP) ,$1 par value; authorized 150,000,000 shares;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7"/>
        </w:trPr>
        <w:tc>
          <w:tcPr>
            <w:tcW w:w="8500" w:type="dxa"/>
            <w:vAlign w:val="bottom"/>
          </w:tcPr>
          <w:p>
            <w:pPr>
              <w:ind w:left="300"/>
              <w:spacing w:after="0" w:line="157" w:lineRule="exact"/>
              <w:rPr>
                <w:sz w:val="20"/>
                <w:szCs w:val="20"/>
                <w:color w:val="auto"/>
              </w:rPr>
            </w:pPr>
            <w:r>
              <w:rPr>
                <w:rFonts w:ascii="Arial" w:cs="Arial" w:eastAsia="Arial" w:hAnsi="Arial"/>
                <w:sz w:val="14"/>
                <w:szCs w:val="14"/>
                <w:color w:val="auto"/>
              </w:rPr>
              <w:t>125,097,684 shares issued; 78,172,809 and 78,138,831 shares outstanding, recorded at redemption value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line="157" w:lineRule="exact"/>
              <w:rPr>
                <w:sz w:val="20"/>
                <w:szCs w:val="20"/>
                <w:color w:val="auto"/>
              </w:rPr>
            </w:pPr>
            <w:r>
              <w:rPr>
                <w:rFonts w:ascii="Arial" w:cs="Arial" w:eastAsia="Arial" w:hAnsi="Arial"/>
                <w:sz w:val="14"/>
                <w:szCs w:val="14"/>
                <w:color w:val="auto"/>
              </w:rPr>
              <w:t>1,876,309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1,875,332</w:t>
            </w:r>
          </w:p>
        </w:tc>
        <w:tc>
          <w:tcPr>
            <w:tcW w:w="120" w:type="dxa"/>
            <w:vAlign w:val="bottom"/>
          </w:tcPr>
          <w:p>
            <w:pPr>
              <w:spacing w:after="0"/>
              <w:rPr>
                <w:sz w:val="13"/>
                <w:szCs w:val="13"/>
                <w:color w:val="auto"/>
              </w:rPr>
            </w:pPr>
          </w:p>
        </w:tc>
      </w:tr>
      <w:tr>
        <w:trPr>
          <w:trHeight w:val="176"/>
        </w:trPr>
        <w:tc>
          <w:tcPr>
            <w:tcW w:w="8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Pr>
          <w:p>
            <w:pPr>
              <w:spacing w:after="0"/>
              <w:rPr>
                <w:sz w:val="20"/>
                <w:szCs w:val="20"/>
                <w:color w:val="auto"/>
              </w:rPr>
            </w:pPr>
            <w:r>
              <w:rPr>
                <w:rFonts w:ascii="Arial" w:cs="Arial" w:eastAsia="Arial" w:hAnsi="Arial"/>
                <w:sz w:val="14"/>
                <w:szCs w:val="14"/>
                <w:color w:val="auto"/>
              </w:rPr>
              <w:t>Shareholder's equity (deficit):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Treasury Stock, 46,918,140 and 46,958,853 shares at cost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(957,025)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(957,838)</w:t>
            </w:r>
          </w:p>
        </w:tc>
      </w:tr>
      <w:tr>
        <w:trPr>
          <w:trHeight w:val="176"/>
        </w:trPr>
        <w:tc>
          <w:tcPr>
            <w:tcW w:w="8500" w:type="dxa"/>
            <w:vAlign w:val="bottom"/>
          </w:tcPr>
          <w:p>
            <w:pPr>
              <w:ind w:left="300"/>
              <w:spacing w:after="0"/>
              <w:rPr>
                <w:sz w:val="20"/>
                <w:szCs w:val="20"/>
                <w:color w:val="auto"/>
              </w:rPr>
            </w:pPr>
            <w:r>
              <w:rPr>
                <w:rFonts w:ascii="Arial" w:cs="Arial" w:eastAsia="Arial" w:hAnsi="Arial"/>
                <w:sz w:val="14"/>
                <w:szCs w:val="14"/>
                <w:color w:val="auto"/>
              </w:rPr>
              <w:t>Retained earnings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12,445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75,771</w:t>
            </w: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(22,957)</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(20,401)</w:t>
            </w:r>
          </w:p>
        </w:tc>
      </w:tr>
      <w:tr>
        <w:trPr>
          <w:trHeight w:val="20"/>
        </w:trPr>
        <w:tc>
          <w:tcPr>
            <w:tcW w:w="8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8500" w:type="dxa"/>
            <w:vAlign w:val="bottom"/>
          </w:tcPr>
          <w:p>
            <w:pPr>
              <w:ind w:left="300"/>
              <w:spacing w:after="0"/>
              <w:rPr>
                <w:sz w:val="20"/>
                <w:szCs w:val="20"/>
                <w:color w:val="auto"/>
              </w:rPr>
            </w:pPr>
            <w:r>
              <w:rPr>
                <w:rFonts w:ascii="Arial" w:cs="Arial" w:eastAsia="Arial" w:hAnsi="Arial"/>
                <w:sz w:val="14"/>
                <w:szCs w:val="14"/>
                <w:color w:val="auto"/>
              </w:rPr>
              <w:t>Total Parsons Corporation shareholder's equity (deficit)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(967,537)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(902,468)</w:t>
            </w: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46,461</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31,828</w:t>
            </w:r>
          </w:p>
        </w:tc>
        <w:tc>
          <w:tcPr>
            <w:tcW w:w="120" w:type="dxa"/>
            <w:vAlign w:val="bottom"/>
            <w:shd w:val="clear" w:color="auto" w:fill="CFF0FC"/>
          </w:tcPr>
          <w:p>
            <w:pPr>
              <w:spacing w:after="0"/>
              <w:rPr>
                <w:sz w:val="15"/>
                <w:szCs w:val="15"/>
                <w:color w:val="auto"/>
              </w:rPr>
            </w:pPr>
          </w:p>
        </w:tc>
      </w:tr>
      <w:tr>
        <w:trPr>
          <w:trHeight w:val="169"/>
        </w:trPr>
        <w:tc>
          <w:tcPr>
            <w:tcW w:w="8500" w:type="dxa"/>
            <w:vAlign w:val="bottom"/>
          </w:tcPr>
          <w:p>
            <w:pPr>
              <w:ind w:left="300"/>
              <w:spacing w:after="0"/>
              <w:rPr>
                <w:sz w:val="20"/>
                <w:szCs w:val="20"/>
                <w:color w:val="auto"/>
              </w:rPr>
            </w:pPr>
            <w:r>
              <w:rPr>
                <w:rFonts w:ascii="Arial" w:cs="Arial" w:eastAsia="Arial" w:hAnsi="Arial"/>
                <w:sz w:val="14"/>
                <w:szCs w:val="14"/>
                <w:color w:val="auto"/>
              </w:rPr>
              <w:t>Total shareholder's equity (deficit)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(921,076)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(870,640)</w:t>
            </w:r>
          </w:p>
        </w:tc>
      </w:tr>
      <w:tr>
        <w:trPr>
          <w:trHeight w:val="20"/>
        </w:trPr>
        <w:tc>
          <w:tcPr>
            <w:tcW w:w="85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69"/>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Total liabilities, redeemable common stock and shareholder's equity (deficit)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2,612,578</w:t>
            </w:r>
          </w:p>
        </w:tc>
        <w:tc>
          <w:tcPr>
            <w:tcW w:w="18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3,032,998</w:t>
            </w:r>
          </w:p>
        </w:tc>
        <w:tc>
          <w:tcPr>
            <w:tcW w:w="120" w:type="dxa"/>
            <w:vAlign w:val="bottom"/>
            <w:shd w:val="clear" w:color="auto" w:fill="CFF0FC"/>
          </w:tcPr>
          <w:p>
            <w:pPr>
              <w:spacing w:after="0"/>
              <w:rPr>
                <w:sz w:val="14"/>
                <w:szCs w:val="14"/>
                <w:color w:val="auto"/>
              </w:rPr>
            </w:pPr>
          </w:p>
        </w:tc>
      </w:tr>
      <w:tr>
        <w:trPr>
          <w:trHeight w:val="20"/>
        </w:trPr>
        <w:tc>
          <w:tcPr>
            <w:tcW w:w="85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March 30, 2018</w:t>
            </w:r>
          </w:p>
        </w:tc>
        <w:tc>
          <w:tcPr>
            <w:tcW w:w="2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754,679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904,405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Direct costs of contracts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602,972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714,237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Indirect, general and administrative expenses</w:t>
            </w:r>
          </w:p>
        </w:tc>
        <w:tc>
          <w:tcPr>
            <w:tcW w:w="8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123,847</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8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38,891</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Interest income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(3,999)</w:t>
            </w: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(8,292)</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income, net</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expense) gain associated with claim on long-term contract</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(2,330)</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Total other expense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(4,436)</w:t>
            </w: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(7,774)</w:t>
            </w:r>
          </w:p>
        </w:tc>
        <w:tc>
          <w:tcPr>
            <w:tcW w:w="0" w:type="dxa"/>
            <w:vAlign w:val="bottom"/>
          </w:tcPr>
          <w:p>
            <w:pPr>
              <w:spacing w:after="0"/>
              <w:rPr>
                <w:sz w:val="1"/>
                <w:szCs w:val="1"/>
                <w:color w:val="auto"/>
              </w:rPr>
            </w:pPr>
          </w:p>
        </w:tc>
      </w:tr>
      <w:tr>
        <w:trPr>
          <w:trHeight w:val="210"/>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 provision</w:t>
            </w:r>
          </w:p>
        </w:tc>
        <w:tc>
          <w:tcPr>
            <w:tcW w:w="8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34,455</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Income tax provision</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(5,353)</w:t>
            </w: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0"/>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including noncontrolling interests</w:t>
            </w:r>
          </w:p>
        </w:tc>
        <w:tc>
          <w:tcPr>
            <w:tcW w:w="8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29,102</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(3,815)</w:t>
            </w: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10"/>
        </w:trPr>
        <w:tc>
          <w:tcPr>
            <w:tcW w:w="7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8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25,287</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and diluted</w:t>
            </w:r>
          </w:p>
        </w:tc>
        <w:tc>
          <w:tcPr>
            <w:tcW w:w="8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5"/>
                <w:szCs w:val="15"/>
                <w:color w:val="auto"/>
              </w:rPr>
            </w:pPr>
          </w:p>
        </w:tc>
      </w:tr>
      <w:tr>
        <w:trPr>
          <w:trHeight w:val="169"/>
        </w:trPr>
        <w:tc>
          <w:tcPr>
            <w:tcW w:w="6860" w:type="dxa"/>
            <w:vAlign w:val="bottom"/>
            <w:tcBorders>
              <w:bottom w:val="single" w:sz="8" w:color="CFF0FC"/>
            </w:tcBorders>
          </w:tcPr>
          <w:p>
            <w:pPr>
              <w:spacing w:after="0"/>
              <w:rPr>
                <w:sz w:val="14"/>
                <w:szCs w:val="14"/>
                <w:color w:val="auto"/>
              </w:rPr>
            </w:pPr>
          </w:p>
        </w:tc>
        <w:tc>
          <w:tcPr>
            <w:tcW w:w="9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March 30, 2018</w:t>
            </w:r>
          </w:p>
        </w:tc>
        <w:tc>
          <w:tcPr>
            <w:tcW w:w="2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4"/>
                <w:szCs w:val="14"/>
                <w:color w:val="auto"/>
              </w:rPr>
            </w:pPr>
          </w:p>
        </w:tc>
      </w:tr>
      <w:tr>
        <w:trPr>
          <w:trHeight w:val="21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Net income including noncontrolling interests</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29,102</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13,386</w:t>
            </w:r>
          </w:p>
        </w:tc>
        <w:tc>
          <w:tcPr>
            <w:tcW w:w="12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 net of tax</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(2,784)</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2,549</w:t>
            </w:r>
          </w:p>
        </w:tc>
        <w:tc>
          <w:tcPr>
            <w:tcW w:w="120" w:type="dxa"/>
            <w:vAlign w:val="bottom"/>
            <w:shd w:val="clear" w:color="auto" w:fill="CFF0FC"/>
          </w:tcPr>
          <w:p>
            <w:pPr>
              <w:spacing w:after="0"/>
              <w:rPr>
                <w:sz w:val="18"/>
                <w:szCs w:val="18"/>
                <w:color w:val="auto"/>
              </w:rPr>
            </w:pPr>
          </w:p>
        </w:tc>
      </w:tr>
      <w:tr>
        <w:trPr>
          <w:trHeight w:val="216"/>
        </w:trPr>
        <w:tc>
          <w:tcPr>
            <w:tcW w:w="6860" w:type="dxa"/>
            <w:vAlign w:val="bottom"/>
          </w:tcPr>
          <w:p>
            <w:pPr>
              <w:ind w:left="260"/>
              <w:spacing w:after="0"/>
              <w:rPr>
                <w:sz w:val="20"/>
                <w:szCs w:val="20"/>
                <w:color w:val="auto"/>
              </w:rPr>
            </w:pPr>
            <w:r>
              <w:rPr>
                <w:rFonts w:ascii="Arial" w:cs="Arial" w:eastAsia="Arial" w:hAnsi="Arial"/>
                <w:sz w:val="18"/>
                <w:szCs w:val="18"/>
                <w:color w:val="auto"/>
              </w:rPr>
              <w:t>Pension adjustments, net of tax</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r>
      <w:tr>
        <w:trPr>
          <w:trHeight w:val="210"/>
        </w:trPr>
        <w:tc>
          <w:tcPr>
            <w:tcW w:w="6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Comprehensive income including noncontrolling interests, net of tax</w:t>
            </w:r>
          </w:p>
        </w:tc>
        <w:tc>
          <w:tcPr>
            <w:tcW w:w="9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26,299</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(3,815)</w:t>
            </w: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(3,645)</w:t>
            </w:r>
          </w:p>
        </w:tc>
      </w:tr>
      <w:tr>
        <w:trPr>
          <w:trHeight w:val="209"/>
        </w:trPr>
        <w:tc>
          <w:tcPr>
            <w:tcW w:w="6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Comprehensive income attributable to Parsons Corporation,</w:t>
            </w:r>
          </w:p>
        </w:tc>
        <w:tc>
          <w:tcPr>
            <w:tcW w:w="9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3"/>
        </w:trPr>
        <w:tc>
          <w:tcPr>
            <w:tcW w:w="6860" w:type="dxa"/>
            <w:vAlign w:val="bottom"/>
            <w:shd w:val="clear" w:color="auto" w:fill="CFF0FC"/>
          </w:tcPr>
          <w:p>
            <w:pPr>
              <w:ind w:left="660"/>
              <w:spacing w:after="0" w:line="203" w:lineRule="exact"/>
              <w:rPr>
                <w:sz w:val="20"/>
                <w:szCs w:val="20"/>
                <w:color w:val="auto"/>
              </w:rPr>
            </w:pPr>
            <w:r>
              <w:rPr>
                <w:rFonts w:ascii="Arial" w:cs="Arial" w:eastAsia="Arial" w:hAnsi="Arial"/>
                <w:sz w:val="18"/>
                <w:szCs w:val="18"/>
                <w:color w:val="auto"/>
              </w:rPr>
              <w:t>net of tax</w:t>
            </w:r>
          </w:p>
        </w:tc>
        <w:tc>
          <w:tcPr>
            <w:tcW w:w="116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22,484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12,299</w:t>
            </w:r>
          </w:p>
        </w:tc>
        <w:tc>
          <w:tcPr>
            <w:tcW w:w="120" w:type="dxa"/>
            <w:vAlign w:val="bottom"/>
            <w:shd w:val="clear" w:color="auto" w:fill="CFF0FC"/>
          </w:tcPr>
          <w:p>
            <w:pPr>
              <w:spacing w:after="0"/>
              <w:rPr>
                <w:sz w:val="17"/>
                <w:szCs w:val="17"/>
                <w:color w:val="auto"/>
              </w:rPr>
            </w:pPr>
          </w:p>
        </w:tc>
      </w:tr>
      <w:tr>
        <w:trPr>
          <w:trHeight w:val="20"/>
        </w:trPr>
        <w:tc>
          <w:tcPr>
            <w:tcW w:w="68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5"/>
                <w:szCs w:val="15"/>
                <w:color w:val="auto"/>
              </w:rPr>
            </w:pPr>
          </w:p>
        </w:tc>
      </w:tr>
      <w:tr>
        <w:trPr>
          <w:trHeight w:val="196"/>
        </w:trPr>
        <w:tc>
          <w:tcPr>
            <w:tcW w:w="7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30, 2018</w:t>
            </w:r>
          </w:p>
        </w:tc>
        <w:tc>
          <w:tcPr>
            <w:tcW w:w="160" w:type="dxa"/>
            <w:vAlign w:val="bottom"/>
          </w:tcPr>
          <w:p>
            <w:pPr>
              <w:spacing w:after="0"/>
              <w:rPr>
                <w:sz w:val="17"/>
                <w:szCs w:val="17"/>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2019</w:t>
            </w:r>
          </w:p>
        </w:tc>
      </w:tr>
      <w:tr>
        <w:trPr>
          <w:trHeight w:val="196"/>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7880" w:type="dxa"/>
            <w:vAlign w:val="bottom"/>
          </w:tcPr>
          <w:p>
            <w:pPr>
              <w:ind w:left="300"/>
              <w:spacing w:after="0"/>
              <w:rPr>
                <w:sz w:val="20"/>
                <w:szCs w:val="20"/>
                <w:color w:val="auto"/>
              </w:rPr>
            </w:pPr>
            <w:r>
              <w:rPr>
                <w:rFonts w:ascii="Arial" w:cs="Arial" w:eastAsia="Arial" w:hAnsi="Arial"/>
                <w:sz w:val="16"/>
                <w:szCs w:val="16"/>
                <w:color w:val="auto"/>
              </w:rPr>
              <w:t>Net income including noncontrolling interests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29,102</w:t>
            </w:r>
          </w:p>
        </w:tc>
        <w:tc>
          <w:tcPr>
            <w:tcW w:w="3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13,386</w:t>
            </w: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9,009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30,591</w:t>
            </w: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Amortization of deferred gain</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(1,813)</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Amortization of debt issue costs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(Gain) loss on disposal of property and equipment</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w:t>
            </w: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Provision for doubtful accounts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2,426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(279)</w:t>
            </w: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Deferred taxes</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(138)</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1,486</w:t>
            </w:r>
          </w:p>
        </w:tc>
        <w:tc>
          <w:tcPr>
            <w:tcW w:w="120" w:type="dxa"/>
            <w:vAlign w:val="bottom"/>
            <w:shd w:val="clear" w:color="auto" w:fill="CFF0FC"/>
          </w:tcPr>
          <w:p>
            <w:pPr>
              <w:spacing w:after="0"/>
              <w:rPr>
                <w:sz w:val="17"/>
                <w:szCs w:val="17"/>
                <w:color w:val="auto"/>
              </w:rPr>
            </w:pP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Foreign currency transaction gains and losses</w:t>
            </w:r>
          </w:p>
        </w:tc>
        <w:tc>
          <w:tcPr>
            <w:tcW w:w="18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(457)</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Equity in earnings of unconsolidated joint ventures</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(11,031)</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(10,397)</w:t>
            </w: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Return on investments in unconsolidated joint ventures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15,406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10,794</w:t>
            </w: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Contributions of treasury stock</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11,357</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12,250</w:t>
            </w:r>
          </w:p>
        </w:tc>
        <w:tc>
          <w:tcPr>
            <w:tcW w:w="120" w:type="dxa"/>
            <w:vAlign w:val="bottom"/>
            <w:shd w:val="clear" w:color="auto" w:fill="CFF0FC"/>
          </w:tcPr>
          <w:p>
            <w:pPr>
              <w:spacing w:after="0"/>
              <w:rPr>
                <w:sz w:val="17"/>
                <w:szCs w:val="17"/>
                <w:color w:val="auto"/>
              </w:rPr>
            </w:pPr>
          </w:p>
        </w:tc>
      </w:tr>
      <w:tr>
        <w:trPr>
          <w:trHeight w:val="204"/>
        </w:trPr>
        <w:tc>
          <w:tcPr>
            <w:tcW w:w="7880" w:type="dxa"/>
            <w:vAlign w:val="bottom"/>
          </w:tcPr>
          <w:p>
            <w:pPr>
              <w:ind w:left="300"/>
              <w:spacing w:after="0"/>
              <w:rPr>
                <w:sz w:val="20"/>
                <w:szCs w:val="20"/>
                <w:color w:val="auto"/>
              </w:rPr>
            </w:pPr>
            <w:r>
              <w:rPr>
                <w:rFonts w:ascii="Arial" w:cs="Arial" w:eastAsia="Arial" w:hAnsi="Arial"/>
                <w:sz w:val="16"/>
                <w:szCs w:val="16"/>
                <w:color w:val="auto"/>
              </w:rPr>
              <w:t>Changes in assets and liabilities, net of acquisitions and newly consolidated</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7"/>
        </w:trPr>
        <w:tc>
          <w:tcPr>
            <w:tcW w:w="7880" w:type="dxa"/>
            <w:vAlign w:val="bottom"/>
          </w:tcPr>
          <w:p>
            <w:pPr>
              <w:ind w:left="420"/>
              <w:spacing w:after="0"/>
              <w:rPr>
                <w:sz w:val="20"/>
                <w:szCs w:val="20"/>
                <w:color w:val="auto"/>
              </w:rPr>
            </w:pPr>
            <w:r>
              <w:rPr>
                <w:rFonts w:ascii="Arial" w:cs="Arial" w:eastAsia="Arial" w:hAnsi="Arial"/>
                <w:sz w:val="16"/>
                <w:szCs w:val="16"/>
                <w:color w:val="auto"/>
              </w:rPr>
              <w:t>joint ventures: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469,720</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(17,135)</w:t>
            </w: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Contract assets</w:t>
            </w:r>
          </w:p>
        </w:tc>
        <w:tc>
          <w:tcPr>
            <w:tcW w:w="18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(531,157)</w:t>
            </w:r>
          </w:p>
        </w:tc>
        <w:tc>
          <w:tcPr>
            <w:tcW w:w="16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(46,984)</w:t>
            </w: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Prepaid expenses and current assets</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(27,138)</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(1,424)</w:t>
            </w: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(723)</w:t>
            </w:r>
          </w:p>
        </w:tc>
        <w:tc>
          <w:tcPr>
            <w:tcW w:w="16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(28,182)</w:t>
            </w: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(44,016)</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(24,023)</w:t>
            </w: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Billings in excess of costs</w:t>
            </w:r>
          </w:p>
        </w:tc>
        <w:tc>
          <w:tcPr>
            <w:tcW w:w="18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(152,147)</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Contract liabilities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299,639</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14,884</w:t>
            </w:r>
          </w:p>
        </w:tc>
        <w:tc>
          <w:tcPr>
            <w:tcW w:w="120" w:type="dxa"/>
            <w:vAlign w:val="bottom"/>
            <w:shd w:val="clear" w:color="auto" w:fill="CFF0FC"/>
          </w:tcPr>
          <w:p>
            <w:pPr>
              <w:spacing w:after="0"/>
              <w:rPr>
                <w:sz w:val="17"/>
                <w:szCs w:val="17"/>
                <w:color w:val="auto"/>
              </w:rPr>
            </w:pP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Provision for contract losses</w:t>
            </w:r>
          </w:p>
        </w:tc>
        <w:tc>
          <w:tcPr>
            <w:tcW w:w="18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(143,666)</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Income taxes</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(597)</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(3,645)</w:t>
            </w: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10,624</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(12,265)</w:t>
            </w:r>
          </w:p>
        </w:tc>
      </w:tr>
      <w:tr>
        <w:trPr>
          <w:trHeight w:val="20"/>
        </w:trPr>
        <w:tc>
          <w:tcPr>
            <w:tcW w:w="7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Net cash used in operating activities</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(65,433)</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(60,108)</w:t>
            </w:r>
          </w:p>
        </w:tc>
      </w:tr>
      <w:tr>
        <w:trPr>
          <w:trHeight w:val="196"/>
        </w:trPr>
        <w:tc>
          <w:tcPr>
            <w:tcW w:w="788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Capital expenditures</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(5,152)</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(11,041)</w:t>
            </w:r>
          </w:p>
        </w:tc>
      </w:tr>
      <w:tr>
        <w:trPr>
          <w:trHeight w:val="203"/>
        </w:trPr>
        <w:tc>
          <w:tcPr>
            <w:tcW w:w="7880" w:type="dxa"/>
            <w:vAlign w:val="bottom"/>
          </w:tcPr>
          <w:p>
            <w:pPr>
              <w:ind w:left="300"/>
              <w:spacing w:after="0"/>
              <w:rPr>
                <w:sz w:val="20"/>
                <w:szCs w:val="20"/>
                <w:color w:val="auto"/>
              </w:rPr>
            </w:pPr>
            <w:r>
              <w:rPr>
                <w:rFonts w:ascii="Arial" w:cs="Arial" w:eastAsia="Arial" w:hAnsi="Arial"/>
                <w:sz w:val="16"/>
                <w:szCs w:val="16"/>
                <w:color w:val="auto"/>
              </w:rPr>
              <w:t>Proceeds from sale of property and equipment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Payments for acquisitions, net of cash acquired</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(287,482)</w:t>
            </w:r>
          </w:p>
        </w:tc>
      </w:tr>
      <w:tr>
        <w:trPr>
          <w:trHeight w:val="203"/>
        </w:trPr>
        <w:tc>
          <w:tcPr>
            <w:tcW w:w="7880" w:type="dxa"/>
            <w:vAlign w:val="bottom"/>
          </w:tcPr>
          <w:p>
            <w:pPr>
              <w:ind w:left="300"/>
              <w:spacing w:after="0"/>
              <w:rPr>
                <w:sz w:val="20"/>
                <w:szCs w:val="20"/>
                <w:color w:val="auto"/>
              </w:rPr>
            </w:pPr>
            <w:r>
              <w:rPr>
                <w:rFonts w:ascii="Arial" w:cs="Arial" w:eastAsia="Arial" w:hAnsi="Arial"/>
                <w:sz w:val="16"/>
                <w:szCs w:val="16"/>
                <w:color w:val="auto"/>
              </w:rPr>
              <w:t>Investments in unconsolidated joint ventures</w:t>
            </w:r>
          </w:p>
        </w:tc>
        <w:tc>
          <w:tcPr>
            <w:tcW w:w="18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(3,058)</w:t>
            </w:r>
          </w:p>
        </w:tc>
        <w:tc>
          <w:tcPr>
            <w:tcW w:w="16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(4,905)</w:t>
            </w:r>
          </w:p>
        </w:tc>
      </w:tr>
      <w:tr>
        <w:trPr>
          <w:trHeight w:val="203"/>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Return of investments in unconsolidated joint ventures</w:t>
            </w: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2,234</w:t>
            </w:r>
          </w:p>
        </w:tc>
        <w:tc>
          <w:tcPr>
            <w:tcW w:w="120" w:type="dxa"/>
            <w:vAlign w:val="bottom"/>
            <w:shd w:val="clear" w:color="auto" w:fill="CFF0FC"/>
          </w:tcPr>
          <w:p>
            <w:pPr>
              <w:spacing w:after="0"/>
              <w:rPr>
                <w:sz w:val="17"/>
                <w:szCs w:val="17"/>
                <w:color w:val="auto"/>
              </w:rPr>
            </w:pPr>
          </w:p>
        </w:tc>
      </w:tr>
      <w:tr>
        <w:trPr>
          <w:trHeight w:val="196"/>
        </w:trPr>
        <w:tc>
          <w:tcPr>
            <w:tcW w:w="7880" w:type="dxa"/>
            <w:vAlign w:val="bottom"/>
          </w:tcPr>
          <w:p>
            <w:pPr>
              <w:ind w:left="30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(8,181)</w:t>
            </w:r>
          </w:p>
        </w:tc>
        <w:tc>
          <w:tcPr>
            <w:tcW w:w="16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(301,059)</w:t>
            </w:r>
          </w:p>
        </w:tc>
      </w:tr>
      <w:tr>
        <w:trPr>
          <w:trHeight w:val="196"/>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7880" w:type="dxa"/>
            <w:vAlign w:val="bottom"/>
          </w:tcPr>
          <w:p>
            <w:pPr>
              <w:ind w:left="300"/>
              <w:spacing w:after="0"/>
              <w:rPr>
                <w:sz w:val="20"/>
                <w:szCs w:val="20"/>
                <w:color w:val="auto"/>
              </w:rPr>
            </w:pPr>
            <w:r>
              <w:rPr>
                <w:rFonts w:ascii="Arial" w:cs="Arial" w:eastAsia="Arial" w:hAnsi="Arial"/>
                <w:sz w:val="16"/>
                <w:szCs w:val="16"/>
                <w:color w:val="auto"/>
              </w:rPr>
              <w:t>Proceeds from borrowings under credit agreement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290,000</w:t>
            </w: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Repayments of borrowings under credit agreement</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(60,000)</w:t>
            </w:r>
          </w:p>
        </w:tc>
      </w:tr>
      <w:tr>
        <w:trPr>
          <w:trHeight w:val="203"/>
        </w:trPr>
        <w:tc>
          <w:tcPr>
            <w:tcW w:w="7880" w:type="dxa"/>
            <w:vAlign w:val="bottom"/>
          </w:tcPr>
          <w:p>
            <w:pPr>
              <w:ind w:left="300"/>
              <w:spacing w:after="0"/>
              <w:rPr>
                <w:sz w:val="20"/>
                <w:szCs w:val="20"/>
                <w:color w:val="auto"/>
              </w:rPr>
            </w:pPr>
            <w:r>
              <w:rPr>
                <w:rFonts w:ascii="Arial" w:cs="Arial" w:eastAsia="Arial" w:hAnsi="Arial"/>
                <w:sz w:val="16"/>
                <w:szCs w:val="16"/>
                <w:color w:val="auto"/>
              </w:rPr>
              <w:t>Payments for debt costs and credit agreement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(286)</w:t>
            </w:r>
          </w:p>
        </w:tc>
      </w:tr>
      <w:tr>
        <w:trPr>
          <w:trHeight w:val="203"/>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Contributions by (distributions to) noncontrolling interests, net</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6,497</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(18,278)</w:t>
            </w:r>
          </w:p>
        </w:tc>
      </w:tr>
      <w:tr>
        <w:trPr>
          <w:trHeight w:val="203"/>
        </w:trPr>
        <w:tc>
          <w:tcPr>
            <w:tcW w:w="7880" w:type="dxa"/>
            <w:vAlign w:val="bottom"/>
          </w:tcPr>
          <w:p>
            <w:pPr>
              <w:ind w:left="300"/>
              <w:spacing w:after="0"/>
              <w:rPr>
                <w:sz w:val="20"/>
                <w:szCs w:val="20"/>
                <w:color w:val="auto"/>
              </w:rPr>
            </w:pPr>
            <w:r>
              <w:rPr>
                <w:rFonts w:ascii="Arial" w:cs="Arial" w:eastAsia="Arial" w:hAnsi="Arial"/>
                <w:sz w:val="16"/>
                <w:szCs w:val="16"/>
                <w:color w:val="auto"/>
              </w:rPr>
              <w:t>Purchase of treasury stock</w:t>
            </w:r>
          </w:p>
        </w:tc>
        <w:tc>
          <w:tcPr>
            <w:tcW w:w="18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(366)</w:t>
            </w:r>
          </w:p>
        </w:tc>
        <w:tc>
          <w:tcPr>
            <w:tcW w:w="16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(813)</w:t>
            </w:r>
          </w:p>
        </w:tc>
      </w:tr>
      <w:tr>
        <w:trPr>
          <w:trHeight w:val="196"/>
        </w:trPr>
        <w:tc>
          <w:tcPr>
            <w:tcW w:w="7880" w:type="dxa"/>
            <w:vAlign w:val="bottom"/>
            <w:tcBorders>
              <w:top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Net cash provided by financing activities</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6,131</w:t>
            </w:r>
          </w:p>
        </w:tc>
        <w:tc>
          <w:tcPr>
            <w:tcW w:w="3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210,623</w:t>
            </w:r>
          </w:p>
        </w:tc>
        <w:tc>
          <w:tcPr>
            <w:tcW w:w="120" w:type="dxa"/>
            <w:vAlign w:val="bottom"/>
            <w:tcBorders>
              <w:top w:val="single" w:sz="8" w:color="CFF0FC"/>
            </w:tcBorders>
            <w:shd w:val="clear" w:color="auto" w:fill="CFF0FC"/>
          </w:tcPr>
          <w:p>
            <w:pPr>
              <w:spacing w:after="0"/>
              <w:rPr>
                <w:sz w:val="17"/>
                <w:szCs w:val="17"/>
                <w:color w:val="auto"/>
              </w:rPr>
            </w:pPr>
          </w:p>
        </w:tc>
      </w:tr>
      <w:tr>
        <w:trPr>
          <w:trHeight w:val="196"/>
        </w:trPr>
        <w:tc>
          <w:tcPr>
            <w:tcW w:w="7880" w:type="dxa"/>
            <w:vAlign w:val="bottom"/>
          </w:tcPr>
          <w:p>
            <w:pPr>
              <w:ind w:left="300"/>
              <w:spacing w:after="0"/>
              <w:rPr>
                <w:sz w:val="20"/>
                <w:szCs w:val="20"/>
                <w:color w:val="auto"/>
              </w:rPr>
            </w:pPr>
            <w:r>
              <w:rPr>
                <w:rFonts w:ascii="Arial" w:cs="Arial" w:eastAsia="Arial" w:hAnsi="Arial"/>
                <w:sz w:val="16"/>
                <w:szCs w:val="16"/>
                <w:color w:val="auto"/>
              </w:rPr>
              <w:t>Effect of exchange rate changes</w:t>
            </w:r>
          </w:p>
        </w:tc>
        <w:tc>
          <w:tcPr>
            <w:tcW w:w="18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(825)</w:t>
            </w:r>
          </w:p>
        </w:tc>
        <w:tc>
          <w:tcPr>
            <w:tcW w:w="160" w:type="dxa"/>
            <w:vAlign w:val="bottom"/>
          </w:tcPr>
          <w:p>
            <w:pPr>
              <w:spacing w:after="0"/>
              <w:rPr>
                <w:sz w:val="17"/>
                <w:szCs w:val="17"/>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(182)</w:t>
            </w:r>
          </w:p>
        </w:tc>
      </w:tr>
      <w:tr>
        <w:trPr>
          <w:trHeight w:val="203"/>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(68,308)</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(150,726)</w:t>
            </w:r>
          </w:p>
        </w:tc>
      </w:tr>
      <w:tr>
        <w:trPr>
          <w:trHeight w:val="203"/>
        </w:trPr>
        <w:tc>
          <w:tcPr>
            <w:tcW w:w="7880" w:type="dxa"/>
            <w:vAlign w:val="bottom"/>
          </w:tcPr>
          <w:p>
            <w:pPr>
              <w:ind w:left="300"/>
              <w:spacing w:after="0"/>
              <w:rPr>
                <w:sz w:val="20"/>
                <w:szCs w:val="20"/>
                <w:color w:val="auto"/>
              </w:rPr>
            </w:pPr>
            <w:r>
              <w:rPr>
                <w:rFonts w:ascii="Arial" w:cs="Arial" w:eastAsia="Arial" w:hAnsi="Arial"/>
                <w:sz w:val="16"/>
                <w:szCs w:val="16"/>
                <w:color w:val="auto"/>
              </w:rPr>
              <w:t>Cash, cash equivalents and restricted cash</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Beginning of year</w:t>
            </w: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446,144</w:t>
            </w:r>
          </w:p>
        </w:tc>
        <w:tc>
          <w:tcPr>
            <w:tcW w:w="3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281,195</w:t>
            </w:r>
          </w:p>
        </w:tc>
        <w:tc>
          <w:tcPr>
            <w:tcW w:w="120" w:type="dxa"/>
            <w:vAlign w:val="bottom"/>
            <w:shd w:val="clear" w:color="auto" w:fill="CFF0FC"/>
          </w:tcPr>
          <w:p>
            <w:pPr>
              <w:spacing w:after="0"/>
              <w:rPr>
                <w:sz w:val="17"/>
                <w:szCs w:val="17"/>
                <w:color w:val="auto"/>
              </w:rPr>
            </w:pPr>
          </w:p>
        </w:tc>
      </w:tr>
      <w:tr>
        <w:trPr>
          <w:trHeight w:val="196"/>
        </w:trPr>
        <w:tc>
          <w:tcPr>
            <w:tcW w:w="7880" w:type="dxa"/>
            <w:vAlign w:val="bottom"/>
          </w:tcPr>
          <w:p>
            <w:pPr>
              <w:ind w:left="300"/>
              <w:spacing w:after="0"/>
              <w:rPr>
                <w:sz w:val="20"/>
                <w:szCs w:val="20"/>
                <w:color w:val="auto"/>
              </w:rPr>
            </w:pPr>
            <w:r>
              <w:rPr>
                <w:rFonts w:ascii="Arial" w:cs="Arial" w:eastAsia="Arial" w:hAnsi="Arial"/>
                <w:sz w:val="16"/>
                <w:szCs w:val="16"/>
                <w:color w:val="auto"/>
              </w:rPr>
              <w:t>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377,836</w:t>
            </w:r>
          </w:p>
        </w:tc>
        <w:tc>
          <w:tcPr>
            <w:tcW w:w="30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130,469</w:t>
            </w:r>
          </w:p>
        </w:tc>
        <w:tc>
          <w:tcPr>
            <w:tcW w:w="120" w:type="dxa"/>
            <w:vAlign w:val="bottom"/>
          </w:tcPr>
          <w:p>
            <w:pPr>
              <w:spacing w:after="0"/>
              <w:rPr>
                <w:sz w:val="17"/>
                <w:szCs w:val="17"/>
                <w:color w:val="auto"/>
              </w:rPr>
            </w:pP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jc w:val="center"/>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9"/>
              </w:rPr>
              <w:t>Redeemable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9"/>
              </w:rPr>
              <w:t>Common</w:t>
            </w: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Treasury</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4"/>
              </w:rPr>
              <w:t>Retained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Parsons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5"/>
              </w:rPr>
              <w:t>Noncontrolling</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6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rPr>
              <w:t>Stock</w:t>
            </w:r>
          </w:p>
        </w:tc>
        <w:tc>
          <w:tcPr>
            <w:tcW w:w="24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Stock</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3"/>
              </w:rPr>
              <w:t>Earnings</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7"/>
              </w:rPr>
              <w:t>Income (Loss)</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rPr>
              <w:t>Deficit</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Interests</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December 31, 2018</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1,876,309</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 (957,025)</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12,445</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(22,957)</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(967,537)</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46,461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(921,076)</w:t>
            </w:r>
          </w:p>
        </w:tc>
        <w:tc>
          <w:tcPr>
            <w:tcW w:w="0" w:type="dxa"/>
            <w:vAlign w:val="bottom"/>
          </w:tcPr>
          <w:p>
            <w:pPr>
              <w:spacing w:after="0"/>
              <w:rPr>
                <w:sz w:val="1"/>
                <w:szCs w:val="1"/>
                <w:color w:val="auto"/>
              </w:rPr>
            </w:pPr>
          </w:p>
        </w:tc>
      </w:tr>
      <w:tr>
        <w:trPr>
          <w:trHeight w:val="169"/>
        </w:trPr>
        <w:tc>
          <w:tcPr>
            <w:tcW w:w="3640" w:type="dxa"/>
            <w:vAlign w:val="bottom"/>
          </w:tcPr>
          <w:p>
            <w:pPr>
              <w:spacing w:after="0"/>
              <w:rPr>
                <w:sz w:val="20"/>
                <w:szCs w:val="20"/>
                <w:color w:val="auto"/>
              </w:rPr>
            </w:pPr>
            <w:r>
              <w:rPr>
                <w:rFonts w:ascii="Arial" w:cs="Arial" w:eastAsia="Arial" w:hAnsi="Arial"/>
                <w:sz w:val="14"/>
                <w:szCs w:val="14"/>
                <w:color w:val="auto"/>
              </w:rPr>
              <w:t>Comprehensive income</w:t>
            </w: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9,741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9,741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3,645</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13,386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260"/>
              <w:spacing w:after="0"/>
              <w:rPr>
                <w:sz w:val="20"/>
                <w:szCs w:val="20"/>
                <w:color w:val="auto"/>
              </w:rPr>
            </w:pPr>
            <w:r>
              <w:rPr>
                <w:rFonts w:ascii="Arial" w:cs="Arial" w:eastAsia="Arial" w:hAnsi="Arial"/>
                <w:sz w:val="14"/>
                <w:szCs w:val="14"/>
                <w:color w:val="auto"/>
              </w:rPr>
              <w:t>Foreign currency translation gain</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2,547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2,547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2,547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Pension adjustments</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20"/>
                <w:szCs w:val="20"/>
                <w:color w:val="auto"/>
              </w:rPr>
            </w:pPr>
            <w:r>
              <w:rPr>
                <w:rFonts w:ascii="Arial" w:cs="Arial" w:eastAsia="Arial" w:hAnsi="Arial"/>
                <w:sz w:val="14"/>
                <w:szCs w:val="14"/>
                <w:color w:val="auto"/>
              </w:rPr>
              <w:t>ASC 842 transition adjustment</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52,608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52,608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52,608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Purchase of treasury stock</w:t>
            </w: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(813)</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(813)</w:t>
            </w: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20"/>
                <w:szCs w:val="20"/>
                <w:color w:val="auto"/>
              </w:rPr>
            </w:pPr>
            <w:r>
              <w:rPr>
                <w:rFonts w:ascii="Arial" w:cs="Arial" w:eastAsia="Arial" w:hAnsi="Arial"/>
                <w:sz w:val="14"/>
                <w:szCs w:val="14"/>
                <w:color w:val="auto"/>
              </w:rPr>
              <w:t>Distributions, net of contributions</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(18,278)</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(18,278)</w:t>
            </w:r>
          </w:p>
        </w:tc>
        <w:tc>
          <w:tcPr>
            <w:tcW w:w="0" w:type="dxa"/>
            <w:vAlign w:val="bottom"/>
          </w:tcPr>
          <w:p>
            <w:pPr>
              <w:spacing w:after="0"/>
              <w:rPr>
                <w:sz w:val="1"/>
                <w:szCs w:val="1"/>
                <w:color w:val="auto"/>
              </w:rPr>
            </w:pPr>
          </w:p>
        </w:tc>
      </w:tr>
      <w:tr>
        <w:trPr>
          <w:trHeight w:val="176"/>
        </w:trPr>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ESOP shares at redemption value</w:t>
            </w: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(164)</w:t>
            </w:r>
          </w:p>
        </w:tc>
        <w:tc>
          <w:tcPr>
            <w:tcW w:w="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Balance at March 31, 2019</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1,875,332</w:t>
            </w: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 (957,838)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75,771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(20,401)</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(902,468)</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31,828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(870,640)</w:t>
            </w:r>
          </w:p>
        </w:tc>
        <w:tc>
          <w:tcPr>
            <w:tcW w:w="0" w:type="dxa"/>
            <w:vAlign w:val="bottom"/>
          </w:tcPr>
          <w:p>
            <w:pPr>
              <w:spacing w:after="0"/>
              <w:rPr>
                <w:sz w:val="1"/>
                <w:szCs w:val="1"/>
                <w:color w:val="auto"/>
              </w:rPr>
            </w:pPr>
          </w:p>
        </w:tc>
      </w:tr>
      <w:tr>
        <w:trPr>
          <w:trHeight w:val="210"/>
        </w:trPr>
        <w:tc>
          <w:tcPr>
            <w:tcW w:w="36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4"/>
                <w:szCs w:val="14"/>
                <w:b w:val="1"/>
                <w:bCs w:val="1"/>
                <w:color w:val="auto"/>
              </w:rPr>
              <w:t>Balance at December 29, 2017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1,855,305</w:t>
            </w:r>
          </w:p>
        </w:tc>
        <w:tc>
          <w:tcPr>
            <w:tcW w:w="2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 (876,372)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(186,035)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(15,003)</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(1,077,410)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27,494</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(1,049,916)</w:t>
            </w:r>
          </w:p>
        </w:tc>
        <w:tc>
          <w:tcPr>
            <w:tcW w:w="0" w:type="dxa"/>
            <w:vAlign w:val="bottom"/>
          </w:tcPr>
          <w:p>
            <w:pPr>
              <w:spacing w:after="0"/>
              <w:rPr>
                <w:sz w:val="1"/>
                <w:szCs w:val="1"/>
                <w:color w:val="auto"/>
              </w:rPr>
            </w:pPr>
          </w:p>
        </w:tc>
      </w:tr>
      <w:tr>
        <w:trPr>
          <w:trHeight w:val="203"/>
        </w:trPr>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Comprehensive income</w:t>
            </w: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4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25,287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25,287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3,815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29,102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Foreign currency translation gain (loss)</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(2,781)</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(2,781)</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(2,784)</w:t>
            </w:r>
          </w:p>
        </w:tc>
        <w:tc>
          <w:tcPr>
            <w:tcW w:w="0" w:type="dxa"/>
            <w:vAlign w:val="bottom"/>
          </w:tcPr>
          <w:p>
            <w:pPr>
              <w:spacing w:after="0"/>
              <w:rPr>
                <w:sz w:val="1"/>
                <w:szCs w:val="1"/>
                <w:color w:val="auto"/>
              </w:rPr>
            </w:pPr>
          </w:p>
        </w:tc>
      </w:tr>
      <w:tr>
        <w:trPr>
          <w:trHeight w:val="191"/>
        </w:trPr>
        <w:tc>
          <w:tcPr>
            <w:tcW w:w="3640" w:type="dxa"/>
            <w:vAlign w:val="bottom"/>
          </w:tcPr>
          <w:p>
            <w:pPr>
              <w:ind w:left="260"/>
              <w:spacing w:after="0"/>
              <w:rPr>
                <w:sz w:val="20"/>
                <w:szCs w:val="20"/>
                <w:color w:val="auto"/>
              </w:rPr>
            </w:pPr>
            <w:r>
              <w:rPr>
                <w:rFonts w:ascii="Arial" w:cs="Arial" w:eastAsia="Arial" w:hAnsi="Arial"/>
                <w:sz w:val="14"/>
                <w:szCs w:val="14"/>
                <w:color w:val="auto"/>
              </w:rPr>
              <w:t>Pension adjustments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39"/>
        </w:trPr>
        <w:tc>
          <w:tcPr>
            <w:tcW w:w="3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Adoption of ASC 606</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(4,735)</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(4,735)</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(4,632)</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20"/>
                <w:szCs w:val="20"/>
                <w:color w:val="auto"/>
              </w:rPr>
            </w:pPr>
            <w:r>
              <w:rPr>
                <w:rFonts w:ascii="Arial" w:cs="Arial" w:eastAsia="Arial" w:hAnsi="Arial"/>
                <w:sz w:val="14"/>
                <w:szCs w:val="14"/>
                <w:color w:val="auto"/>
              </w:rPr>
              <w:t>Purchase of treasury stock</w:t>
            </w:r>
          </w:p>
        </w:tc>
        <w:tc>
          <w:tcPr>
            <w:tcW w:w="12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(367)</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(367)</w:t>
            </w:r>
          </w:p>
        </w:tc>
        <w:tc>
          <w:tcPr>
            <w:tcW w:w="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367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Contributions, net of distributions</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6,497</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6,497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Balance at March 30, 2018</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640" w:type="dxa"/>
            <w:vAlign w:val="bottom"/>
            <w:vMerge w:val="continue"/>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1,854,938</w:t>
            </w:r>
          </w:p>
        </w:tc>
        <w:tc>
          <w:tcPr>
            <w:tcW w:w="240" w:type="dxa"/>
            <w:vAlign w:val="bottom"/>
          </w:tcPr>
          <w:p>
            <w:pPr>
              <w:spacing w:after="0"/>
              <w:rPr>
                <w:sz w:val="14"/>
                <w:szCs w:val="1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 (876,738)</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(165,116)</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(17,803)</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(1,059,658)</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37,906</w:t>
            </w:r>
          </w:p>
        </w:tc>
        <w:tc>
          <w:tcPr>
            <w:tcW w:w="24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(1,021,752)</w:t>
            </w:r>
          </w:p>
        </w:tc>
        <w:tc>
          <w:tcPr>
            <w:tcW w:w="0" w:type="dxa"/>
            <w:vAlign w:val="bottom"/>
          </w:tcPr>
          <w:p>
            <w:pPr>
              <w:spacing w:after="0"/>
              <w:rPr>
                <w:sz w:val="1"/>
                <w:szCs w:val="1"/>
                <w:color w:val="auto"/>
              </w:rPr>
            </w:pPr>
          </w:p>
        </w:tc>
      </w:tr>
      <w:tr>
        <w:trPr>
          <w:trHeight w:val="39"/>
        </w:trPr>
        <w:tc>
          <w:tcPr>
            <w:tcW w:w="36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ind w:left="660" w:right="8500" w:hanging="652"/>
        <w:spacing w:after="0" w:line="560" w:lineRule="auto"/>
        <w:tabs>
          <w:tab w:leader="none" w:pos="64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spacing w:after="0" w:line="1" w:lineRule="exact"/>
        <w:rPr>
          <w:sz w:val="20"/>
          <w:szCs w:val="20"/>
          <w:color w:val="auto"/>
        </w:rPr>
      </w:pPr>
    </w:p>
    <w:p>
      <w:pPr>
        <w:ind w:firstLine="647"/>
        <w:spacing w:after="0" w:line="239" w:lineRule="auto"/>
        <w:rPr>
          <w:sz w:val="20"/>
          <w:szCs w:val="20"/>
          <w:color w:val="auto"/>
        </w:rPr>
      </w:pPr>
      <w:r>
        <w:rPr>
          <w:rFonts w:ascii="Arial" w:cs="Arial" w:eastAsia="Arial" w:hAnsi="Arial"/>
          <w:sz w:val="18"/>
          <w:szCs w:val="18"/>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 maintained to carry out specific projects. Parsons Employee Stock Ownership Plan (“ESOP”) is the sole shareholder of the Company.</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Initial Public Offering</w:t>
      </w:r>
    </w:p>
    <w:p>
      <w:pPr>
        <w:spacing w:after="0" w:line="234" w:lineRule="exact"/>
        <w:rPr>
          <w:sz w:val="20"/>
          <w:szCs w:val="20"/>
          <w:color w:val="auto"/>
        </w:rPr>
      </w:pPr>
    </w:p>
    <w:p>
      <w:pPr>
        <w:ind w:firstLine="647"/>
        <w:spacing w:after="0" w:line="237" w:lineRule="auto"/>
        <w:rPr>
          <w:sz w:val="20"/>
          <w:szCs w:val="20"/>
          <w:color w:val="auto"/>
        </w:rPr>
      </w:pPr>
      <w:r>
        <w:rPr>
          <w:rFonts w:ascii="Arial" w:cs="Arial" w:eastAsia="Arial" w:hAnsi="Arial"/>
          <w:sz w:val="18"/>
          <w:szCs w:val="18"/>
          <w:color w:val="auto"/>
        </w:rPr>
        <w:t>Effective May 8, 2019, the Company consummated its initial public offering (“IPO”) whereby the Company sold 18,518,500 shares of common stock for $ 27.00 per share. The underwriters exercised their share option effective May 14, 2019 to purchase an additional 2,777,775 shares at the share price of $25.515 which is the initial public offering share price of $27.00 less the underwriting discount of $1.485 per share. The net proceeds of the initial public offering and the underwriters’ share option was approximately $533.8 million, after deducting underwriting discounts and other fees, were used to fund an IPO dividend of $52.1 million, repay the outstanding balance of $150.0 million under our Term Loan, and repay outstanding indebtedness under our Revolving Credit Facility.</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Dividend</w:t>
      </w:r>
    </w:p>
    <w:p>
      <w:pPr>
        <w:spacing w:after="0" w:line="234" w:lineRule="exact"/>
        <w:rPr>
          <w:sz w:val="20"/>
          <w:szCs w:val="20"/>
          <w:color w:val="auto"/>
        </w:rPr>
      </w:pPr>
    </w:p>
    <w:p>
      <w:pPr>
        <w:ind w:right="80" w:firstLine="647"/>
        <w:spacing w:after="0" w:line="237" w:lineRule="auto"/>
        <w:rPr>
          <w:sz w:val="20"/>
          <w:szCs w:val="20"/>
          <w:color w:val="auto"/>
        </w:rPr>
      </w:pPr>
      <w:r>
        <w:rPr>
          <w:rFonts w:ascii="Arial" w:cs="Arial" w:eastAsia="Arial" w:hAnsi="Arial"/>
          <w:sz w:val="18"/>
          <w:szCs w:val="18"/>
          <w:color w:val="auto"/>
        </w:rPr>
        <w:t>On April 15, 2019, the board of directors of the Company declared a common stock dividend in a ratio of two shares of common stock for every one share of common stock presently held by the Company’s stockholder (the “Stock Dividend”). The record date of this common Stock Dividend, which the Company refers to as the Stock Dividend was May 7, 2019, the day immediately prior to the consummation of the Company’s initial public offering on May 8, 2019, and the payment date of the Stock Dividend was May 8, 2019. Purchasers of the Company’s common stock in the Company’s public offering were not entitled to receive any portion of the Stock Dividend. The Company’s consolidated financial statements include the effects of this Stock Dividend.</w:t>
      </w:r>
    </w:p>
    <w:p>
      <w:pPr>
        <w:spacing w:after="0" w:line="183"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34" w:lineRule="exact"/>
        <w:rPr>
          <w:sz w:val="20"/>
          <w:szCs w:val="20"/>
          <w:color w:val="auto"/>
        </w:rPr>
      </w:pPr>
    </w:p>
    <w:p>
      <w:pPr>
        <w:ind w:right="40" w:firstLine="647"/>
        <w:spacing w:after="0" w:line="238"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Form S-1/A filed on April 29, 2019.</w:t>
      </w:r>
    </w:p>
    <w:p>
      <w:pPr>
        <w:spacing w:after="0" w:line="203" w:lineRule="exact"/>
        <w:rPr>
          <w:sz w:val="20"/>
          <w:szCs w:val="20"/>
          <w:color w:val="auto"/>
        </w:rPr>
      </w:pPr>
    </w:p>
    <w:p>
      <w:pPr>
        <w:ind w:right="160" w:firstLine="647"/>
        <w:spacing w:after="0"/>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203" w:lineRule="exact"/>
        <w:rPr>
          <w:sz w:val="20"/>
          <w:szCs w:val="20"/>
          <w:color w:val="auto"/>
        </w:rPr>
      </w:pPr>
    </w:p>
    <w:p>
      <w:pPr>
        <w:ind w:right="260" w:firstLine="647"/>
        <w:spacing w:after="0"/>
        <w:rPr>
          <w:sz w:val="20"/>
          <w:szCs w:val="20"/>
          <w:color w:val="auto"/>
        </w:rPr>
      </w:pPr>
      <w:r>
        <w:rPr>
          <w:rFonts w:ascii="Arial" w:cs="Arial" w:eastAsia="Arial" w:hAnsi="Arial"/>
          <w:sz w:val="18"/>
          <w:szCs w:val="18"/>
          <w:color w:val="auto"/>
        </w:rPr>
        <w:t>This Quarterly Report on Form 10-Q includes the accounts of our wholly-owned subsidiaries, and joint ventures of which we are the primary beneficiary. The equity method of accounting is applied for the joint ventures in which the Company does not have a controlling interest, but exerts a significant influence (see “Note 16 – Investments in and Advances to Joint Ventures" for further discussion).</w:t>
      </w:r>
    </w:p>
    <w:p>
      <w:pPr>
        <w:spacing w:after="0" w:line="203" w:lineRule="exact"/>
        <w:rPr>
          <w:sz w:val="20"/>
          <w:szCs w:val="20"/>
          <w:color w:val="auto"/>
        </w:rPr>
      </w:pPr>
    </w:p>
    <w:p>
      <w:pPr>
        <w:ind w:right="100" w:firstLine="647"/>
        <w:spacing w:after="0" w:line="239" w:lineRule="auto"/>
        <w:rPr>
          <w:sz w:val="20"/>
          <w:szCs w:val="20"/>
          <w:color w:val="auto"/>
        </w:rPr>
      </w:pPr>
      <w:r>
        <w:rPr>
          <w:rFonts w:ascii="Arial" w:cs="Arial" w:eastAsia="Arial" w:hAnsi="Arial"/>
          <w:sz w:val="18"/>
          <w:szCs w:val="18"/>
          <w:color w:val="auto"/>
        </w:rPr>
        <w:t>In the first quarter of 2019 the Company adopted Accounting Standards Update (‘ASU”) 2016-02, “Leases” (“Topic 842”), using the modified retrospective method. The new guidance was applied to leases that existed or were entered into on or after January 1. 2019. The Company’s results for the reporting period beginning January 1, 2019 have been presented under Topic 842, while prior period amounts have not been adjusted and continue to be reported in accordance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with previous guidance. See “Note 6 – Leases” for further discussion of the adoption and the impact on the Company’s financial statements.</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Periods</w:t>
      </w:r>
    </w:p>
    <w:p>
      <w:pPr>
        <w:spacing w:after="0" w:line="234" w:lineRule="exact"/>
        <w:rPr>
          <w:sz w:val="20"/>
          <w:szCs w:val="20"/>
          <w:color w:val="auto"/>
        </w:rPr>
      </w:pPr>
    </w:p>
    <w:p>
      <w:pPr>
        <w:ind w:right="80" w:firstLine="647"/>
        <w:spacing w:after="0" w:line="239" w:lineRule="auto"/>
        <w:rPr>
          <w:sz w:val="20"/>
          <w:szCs w:val="20"/>
          <w:color w:val="auto"/>
        </w:rPr>
      </w:pPr>
      <w:r>
        <w:rPr>
          <w:rFonts w:ascii="Arial" w:cs="Arial" w:eastAsia="Arial" w:hAnsi="Arial"/>
          <w:sz w:val="18"/>
          <w:szCs w:val="18"/>
          <w:color w:val="auto"/>
        </w:rPr>
        <w:t>In October 2018, our board of directors approved a change in our annual and quarterly fiscal period ends from the last Friday on or before the calendar year or quarterly month-end to the last day of the calendar year or quarterly month-end. Accordingly, the period end for the first quarters of fiscal 2018 and fiscal 2019 are March 30, 2018 and March 31, 2019, respectively. The number of days in the quarters ended March 30, 2018 and March 31, 2019 were 91 and 90, respectively.</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Use of Estimates</w:t>
      </w:r>
    </w:p>
    <w:p>
      <w:pPr>
        <w:spacing w:after="0" w:line="126" w:lineRule="exact"/>
        <w:rPr>
          <w:sz w:val="20"/>
          <w:szCs w:val="20"/>
          <w:color w:val="auto"/>
        </w:rPr>
      </w:pPr>
    </w:p>
    <w:p>
      <w:pPr>
        <w:ind w:right="20" w:firstLine="647"/>
        <w:spacing w:after="0" w:line="236"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valuation of the Company’s fair value of common stock; useful lives of property and equipment and intangible assets; calculation of allowance for doubtful accounts; valuation of deferred income tax assets and uncertain tax positions, among others. Please refer to “Note 2 – Summary of Significant Accounting Policies” of Notes to Consolidated Financial Statements included in the Company’s Form S-1/A filed April 29, 2019,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 contract profit, the Company records a positive or negative adjustment to the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311"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Adopted Accounting Pronouncements</w:t>
      </w:r>
    </w:p>
    <w:p>
      <w:pPr>
        <w:spacing w:after="0" w:line="126" w:lineRule="exact"/>
        <w:rPr>
          <w:sz w:val="20"/>
          <w:szCs w:val="20"/>
          <w:color w:val="auto"/>
        </w:rPr>
      </w:pPr>
    </w:p>
    <w:p>
      <w:pPr>
        <w:ind w:right="440" w:firstLine="647"/>
        <w:spacing w:after="0" w:line="246" w:lineRule="auto"/>
        <w:rPr>
          <w:sz w:val="20"/>
          <w:szCs w:val="20"/>
          <w:color w:val="auto"/>
        </w:rPr>
      </w:pPr>
      <w:r>
        <w:rPr>
          <w:rFonts w:ascii="Arial" w:cs="Arial" w:eastAsia="Arial" w:hAnsi="Arial"/>
          <w:sz w:val="18"/>
          <w:szCs w:val="18"/>
          <w:color w:val="auto"/>
        </w:rPr>
        <w:t>In the first quarter of 2019, the Company adopted Topic 842. See “Note 6 – Leases” for further discussion of the adoption and the impact on the Company’s financial statements.</w:t>
      </w:r>
    </w:p>
    <w:p>
      <w:pPr>
        <w:spacing w:after="0" w:line="89" w:lineRule="exact"/>
        <w:rPr>
          <w:sz w:val="20"/>
          <w:szCs w:val="20"/>
          <w:color w:val="auto"/>
        </w:rPr>
      </w:pPr>
    </w:p>
    <w:p>
      <w:pPr>
        <w:ind w:right="360" w:firstLine="647"/>
        <w:spacing w:after="0" w:line="239" w:lineRule="auto"/>
        <w:rPr>
          <w:sz w:val="20"/>
          <w:szCs w:val="20"/>
          <w:color w:val="auto"/>
        </w:rPr>
      </w:pPr>
      <w:r>
        <w:rPr>
          <w:rFonts w:ascii="Arial" w:cs="Arial" w:eastAsia="Arial" w:hAnsi="Arial"/>
          <w:sz w:val="18"/>
          <w:szCs w:val="18"/>
          <w:color w:val="auto"/>
        </w:rPr>
        <w:t>In the first quarter of 2019, the Company adopted ASU 2018-02, “Reclassification of Certain Tax Effects from Accumulated Other Comprehensive Income” under which the Company did not elect to reclassify the income tax effects stranded in accumulated other comprehensive income to retained earnings as a result of the enactment of comprehensive tax legislation, commonly referred to as the Tax Cuts and Jobs Act. As a result, there was no impact on the Company’s financial position, results of operations or cash flows.</w:t>
      </w:r>
    </w:p>
    <w:p>
      <w:pPr>
        <w:spacing w:after="0" w:line="94" w:lineRule="exact"/>
        <w:rPr>
          <w:sz w:val="20"/>
          <w:szCs w:val="20"/>
          <w:color w:val="auto"/>
        </w:rPr>
      </w:pPr>
    </w:p>
    <w:p>
      <w:pPr>
        <w:ind w:right="140" w:firstLine="647"/>
        <w:spacing w:after="0" w:line="238" w:lineRule="auto"/>
        <w:rPr>
          <w:sz w:val="20"/>
          <w:szCs w:val="20"/>
          <w:color w:val="auto"/>
        </w:rPr>
      </w:pPr>
      <w:r>
        <w:rPr>
          <w:rFonts w:ascii="Arial" w:cs="Arial" w:eastAsia="Arial" w:hAnsi="Arial"/>
          <w:sz w:val="18"/>
          <w:szCs w:val="18"/>
          <w:color w:val="auto"/>
        </w:rPr>
        <w:t>On December 30, 2017, the Company adopted ASC 606, “Revenue from Contracts with Customers”, using the modified retrospective method, which provides for a cumulative effect adjustment to retained earnings beginning in fiscal 2018 for those uncompleted contracts impacted by the adoption of the new standard. The difference between the recognition criteria under ASC 606 and our previous recognition practices under ASC 605-35 was recognized through a cumulative adjustment of $4.7 million that was made to the opening balance of accumulated deficit as of December 30, 2017.</w:t>
      </w:r>
    </w:p>
    <w:p>
      <w:pPr>
        <w:spacing w:after="0" w:line="95" w:lineRule="exact"/>
        <w:rPr>
          <w:sz w:val="20"/>
          <w:szCs w:val="20"/>
          <w:color w:val="auto"/>
        </w:rPr>
      </w:pPr>
    </w:p>
    <w:p>
      <w:pPr>
        <w:ind w:right="280" w:firstLine="647"/>
        <w:spacing w:after="0" w:line="237" w:lineRule="auto"/>
        <w:rPr>
          <w:sz w:val="20"/>
          <w:szCs w:val="20"/>
          <w:color w:val="auto"/>
        </w:rPr>
      </w:pPr>
      <w:r>
        <w:rPr>
          <w:rFonts w:ascii="Arial" w:cs="Arial" w:eastAsia="Arial" w:hAnsi="Arial"/>
          <w:sz w:val="18"/>
          <w:szCs w:val="18"/>
          <w:color w:val="auto"/>
        </w:rPr>
        <w:t>In January 2017, the Financial Accounting Standards Board (“FASB”) issued ASU 2017-04, Simplifying the Test for Goodwill Impairment. ASU 2017-04 simplifies the test for goodwill impairment by removing the second step of the goodwill impairment test, which requires a hypothetical purchase price allocation. A goodwill impairment will now be the amount by which a reporting unit’s carrying value exceeds its fair value, not to exceed the carrying amount of goodwill. The guidance is effective for interim and annual reporting periods beginning after December 15, 2019 and should be applied prospectively with early adoption permitted. The Company early adopted the new standard as of the beginning of fiscal 2018 and its adoption did not have a material impact on the consolidated financial statements.</w:t>
      </w:r>
    </w:p>
    <w:p>
      <w:pPr>
        <w:spacing w:after="0" w:line="291" w:lineRule="exact"/>
        <w:rPr>
          <w:sz w:val="20"/>
          <w:szCs w:val="20"/>
          <w:color w:val="auto"/>
        </w:rPr>
      </w:pPr>
    </w:p>
    <w:p>
      <w:pPr>
        <w:ind w:left="660" w:right="9620" w:hanging="652"/>
        <w:spacing w:after="0" w:line="394" w:lineRule="auto"/>
        <w:tabs>
          <w:tab w:leader="none" w:pos="648"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Polaris Alpha</w:t>
      </w:r>
    </w:p>
    <w:p>
      <w:pPr>
        <w:spacing w:after="0" w:line="1" w:lineRule="exact"/>
        <w:rPr>
          <w:sz w:val="20"/>
          <w:szCs w:val="20"/>
          <w:color w:val="auto"/>
        </w:rPr>
      </w:pPr>
    </w:p>
    <w:p>
      <w:pPr>
        <w:ind w:firstLine="647"/>
        <w:spacing w:after="0" w:line="239" w:lineRule="auto"/>
        <w:rPr>
          <w:sz w:val="20"/>
          <w:szCs w:val="20"/>
          <w:color w:val="auto"/>
        </w:rPr>
      </w:pPr>
      <w:r>
        <w:rPr>
          <w:rFonts w:ascii="Arial" w:cs="Arial" w:eastAsia="Arial" w:hAnsi="Arial"/>
          <w:sz w:val="18"/>
          <w:szCs w:val="18"/>
          <w:color w:val="auto"/>
        </w:rPr>
        <w:t>On May 31, 2018, the Company acquired a 100% ownership interest in Polaris Alpha, a privately owned, advanced technology-focused provider of innovative mission solutions for complex defense, intelligence, and security customers, as well as other U.S. federal government customers, for $489.1 million paid in cash. The Company borrowed $260 million under the credit agreement, as described in “Note 12 – Debt and Credit Facilities,” to partially fund the acquisition. In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9" w:name="page10"/>
    <w:bookmarkEnd w:id="9"/>
    <w:p>
      <w:pPr>
        <w:ind w:right="120"/>
        <w:spacing w:after="0" w:line="238" w:lineRule="auto"/>
        <w:rPr>
          <w:sz w:val="20"/>
          <w:szCs w:val="20"/>
          <w:color w:val="auto"/>
        </w:rPr>
      </w:pPr>
      <w:r>
        <w:rPr>
          <w:rFonts w:ascii="Arial" w:cs="Arial" w:eastAsia="Arial" w:hAnsi="Arial"/>
          <w:sz w:val="18"/>
          <w:szCs w:val="18"/>
          <w:color w:val="auto"/>
        </w:rPr>
        <w:t>connection with this acquisition, the Company recognized $6.2 million of acquisition-related expenses in “Indirect, general and administrative expense” in the consolidated statements of income for the fiscal year ended December 31, 2018, including legal fees, consulting fees, and other miscellaneous direct expenses associated with the acquisition. Polaris Alpha enhances the Company’s artificial intelligence and data analytics expertise with new technologies and solutions. Customers of both companies will benefit from existing, complementary technologies and increased scale, enabling end-to-end solutions under the shared vision of rapid prototyping and agile development.</w:t>
      </w:r>
    </w:p>
    <w:p>
      <w:pPr>
        <w:spacing w:after="0" w:line="203" w:lineRule="exact"/>
        <w:rPr>
          <w:sz w:val="20"/>
          <w:szCs w:val="20"/>
          <w:color w:val="auto"/>
        </w:rPr>
      </w:pPr>
    </w:p>
    <w:p>
      <w:pPr>
        <w:ind w:right="20" w:firstLine="647"/>
        <w:spacing w:after="0" w:line="246"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preliminary purchase price allocation as of the date of acquisition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8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8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29,688</w:t>
            </w:r>
          </w:p>
        </w:tc>
        <w:tc>
          <w:tcPr>
            <w:tcW w:w="120" w:type="dxa"/>
            <w:vAlign w:val="bottom"/>
          </w:tcPr>
          <w:p>
            <w:pPr>
              <w:spacing w:after="0"/>
              <w:rPr>
                <w:sz w:val="18"/>
                <w:szCs w:val="18"/>
                <w:color w:val="auto"/>
              </w:rPr>
            </w:pPr>
          </w:p>
        </w:tc>
      </w:tr>
      <w:tr>
        <w:trPr>
          <w:trHeight w:val="216"/>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35,229</w:t>
            </w:r>
          </w:p>
        </w:tc>
        <w:tc>
          <w:tcPr>
            <w:tcW w:w="120" w:type="dxa"/>
            <w:vAlign w:val="bottom"/>
            <w:shd w:val="clear" w:color="auto" w:fill="CFF0FC"/>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9,295</w:t>
            </w:r>
          </w:p>
        </w:tc>
        <w:tc>
          <w:tcPr>
            <w:tcW w:w="120" w:type="dxa"/>
            <w:vAlign w:val="bottom"/>
          </w:tcPr>
          <w:p>
            <w:pPr>
              <w:spacing w:after="0"/>
              <w:rPr>
                <w:sz w:val="18"/>
                <w:szCs w:val="18"/>
                <w:color w:val="auto"/>
              </w:rPr>
            </w:pPr>
          </w:p>
        </w:tc>
      </w:tr>
      <w:tr>
        <w:trPr>
          <w:trHeight w:val="216"/>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9,024</w:t>
            </w:r>
          </w:p>
        </w:tc>
        <w:tc>
          <w:tcPr>
            <w:tcW w:w="120" w:type="dxa"/>
            <w:vAlign w:val="bottom"/>
            <w:shd w:val="clear" w:color="auto" w:fill="CFF0FC"/>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243,471</w:t>
            </w:r>
          </w:p>
        </w:tc>
        <w:tc>
          <w:tcPr>
            <w:tcW w:w="120" w:type="dxa"/>
            <w:vAlign w:val="bottom"/>
          </w:tcPr>
          <w:p>
            <w:pPr>
              <w:spacing w:after="0"/>
              <w:rPr>
                <w:sz w:val="18"/>
                <w:szCs w:val="18"/>
                <w:color w:val="auto"/>
              </w:rPr>
            </w:pPr>
          </w:p>
        </w:tc>
      </w:tr>
      <w:tr>
        <w:trPr>
          <w:trHeight w:val="216"/>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199,520</w:t>
            </w:r>
          </w:p>
        </w:tc>
        <w:tc>
          <w:tcPr>
            <w:tcW w:w="120" w:type="dxa"/>
            <w:vAlign w:val="bottom"/>
            <w:shd w:val="clear" w:color="auto" w:fill="CFF0FC"/>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2,203</w:t>
            </w:r>
          </w:p>
        </w:tc>
        <w:tc>
          <w:tcPr>
            <w:tcW w:w="120" w:type="dxa"/>
            <w:vAlign w:val="bottom"/>
          </w:tcPr>
          <w:p>
            <w:pPr>
              <w:spacing w:after="0"/>
              <w:rPr>
                <w:sz w:val="18"/>
                <w:szCs w:val="18"/>
                <w:color w:val="auto"/>
              </w:rPr>
            </w:pPr>
          </w:p>
        </w:tc>
      </w:tr>
      <w:tr>
        <w:trPr>
          <w:trHeight w:val="216"/>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(13,942)</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(26,419)</w:t>
            </w:r>
          </w:p>
        </w:tc>
      </w:tr>
      <w:tr>
        <w:trPr>
          <w:trHeight w:val="216"/>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(3,529)</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(2,231)</w:t>
            </w:r>
          </w:p>
        </w:tc>
      </w:tr>
      <w:tr>
        <w:trPr>
          <w:trHeight w:val="216"/>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(1,146)</w:t>
            </w:r>
          </w:p>
        </w:tc>
      </w:tr>
      <w:tr>
        <w:trPr>
          <w:trHeight w:val="210"/>
        </w:trPr>
        <w:tc>
          <w:tcPr>
            <w:tcW w:w="8440" w:type="dxa"/>
            <w:vAlign w:val="bottom"/>
          </w:tcPr>
          <w:p>
            <w:pPr>
              <w:ind w:left="240"/>
              <w:spacing w:after="0"/>
              <w:rPr>
                <w:sz w:val="20"/>
                <w:szCs w:val="20"/>
                <w:color w:val="auto"/>
              </w:rPr>
            </w:pPr>
            <w:r>
              <w:rPr>
                <w:rFonts w:ascii="Arial" w:cs="Arial" w:eastAsia="Arial" w:hAnsi="Arial"/>
                <w:sz w:val="18"/>
                <w:szCs w:val="18"/>
                <w:color w:val="auto"/>
              </w:rPr>
              <w:t>Net assets acquired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489,077</w:t>
            </w:r>
          </w:p>
        </w:tc>
        <w:tc>
          <w:tcPr>
            <w:tcW w:w="120" w:type="dxa"/>
            <w:vAlign w:val="bottom"/>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Gross</w:t>
            </w:r>
          </w:p>
        </w:tc>
        <w:tc>
          <w:tcPr>
            <w:tcW w:w="1540" w:type="dxa"/>
            <w:vAlign w:val="bottom"/>
          </w:tcPr>
          <w:p>
            <w:pPr>
              <w:spacing w:after="0"/>
              <w:rPr>
                <w:sz w:val="14"/>
                <w:szCs w:val="14"/>
                <w:color w:val="auto"/>
              </w:rPr>
            </w:pPr>
          </w:p>
        </w:tc>
      </w:tr>
      <w:tr>
        <w:trPr>
          <w:trHeight w:val="162"/>
        </w:trPr>
        <w:tc>
          <w:tcPr>
            <w:tcW w:w="4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Carrying</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44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Amount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10"/>
        </w:trPr>
        <w:tc>
          <w:tcPr>
            <w:tcW w:w="4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(in years)</w:t>
            </w: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84,900</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76,000</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Backlog</w:t>
            </w:r>
          </w:p>
        </w:tc>
        <w:tc>
          <w:tcPr>
            <w:tcW w:w="2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34,900</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Trade name</w:t>
            </w:r>
          </w:p>
        </w:tc>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3,600</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Leases</w:t>
            </w:r>
          </w:p>
        </w:tc>
        <w:tc>
          <w:tcPr>
            <w:tcW w:w="2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pacing w:after="0" w:line="258" w:lineRule="exact"/>
        <w:rPr>
          <w:sz w:val="20"/>
          <w:szCs w:val="20"/>
          <w:color w:val="auto"/>
        </w:rPr>
      </w:pPr>
    </w:p>
    <w:p>
      <w:pPr>
        <w:ind w:firstLine="647"/>
        <w:spacing w:after="0" w:line="246" w:lineRule="auto"/>
        <w:rPr>
          <w:sz w:val="20"/>
          <w:szCs w:val="20"/>
          <w:color w:val="auto"/>
        </w:rPr>
      </w:pPr>
      <w:r>
        <w:rPr>
          <w:rFonts w:ascii="Arial" w:cs="Arial" w:eastAsia="Arial" w:hAnsi="Arial"/>
          <w:sz w:val="18"/>
          <w:szCs w:val="18"/>
          <w:color w:val="auto"/>
        </w:rPr>
        <w:t>Amortization expense of $13.7 million related to these intangible assets was recorded for the three months ended March 31, 2019. The entire value of goodwill of $243.5 million was assigned to the Parsons Federal reporting unit and represents synergies expected to be realized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from this business combination. A portion of goodwill is deductible for tax purposes. The Company is in the process of finalizing the amount.</w:t>
      </w:r>
    </w:p>
    <w:p>
      <w:pPr>
        <w:spacing w:after="0" w:line="225" w:lineRule="exact"/>
        <w:rPr>
          <w:sz w:val="20"/>
          <w:szCs w:val="20"/>
          <w:color w:val="auto"/>
        </w:rPr>
      </w:pPr>
    </w:p>
    <w:p>
      <w:pPr>
        <w:ind w:right="40" w:firstLine="647"/>
        <w:spacing w:after="0"/>
        <w:rPr>
          <w:sz w:val="20"/>
          <w:szCs w:val="20"/>
          <w:color w:val="auto"/>
        </w:rPr>
      </w:pPr>
      <w:r>
        <w:rPr>
          <w:rFonts w:ascii="Arial" w:cs="Arial" w:eastAsia="Arial" w:hAnsi="Arial"/>
          <w:sz w:val="18"/>
          <w:szCs w:val="18"/>
          <w:color w:val="auto"/>
        </w:rPr>
        <w:t>The amount of revenue generated by Polaris Alpha and included within consolidated revenues for the three months ended March 31, 2019 is $93.4 million. The Company has determined that the presentation of net income from the date of acquisition is impracticable due to the integration of general corporate functions upon acquisition.</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26" w:lineRule="exact"/>
        <w:rPr>
          <w:sz w:val="20"/>
          <w:szCs w:val="20"/>
          <w:color w:val="auto"/>
        </w:rPr>
      </w:pPr>
    </w:p>
    <w:p>
      <w:pPr>
        <w:ind w:right="80" w:firstLine="647"/>
        <w:spacing w:after="0" w:line="246" w:lineRule="auto"/>
        <w:rPr>
          <w:sz w:val="20"/>
          <w:szCs w:val="20"/>
          <w:color w:val="auto"/>
        </w:rPr>
      </w:pPr>
      <w:r>
        <w:rPr>
          <w:rFonts w:ascii="Arial" w:cs="Arial" w:eastAsia="Arial" w:hAnsi="Arial"/>
          <w:sz w:val="18"/>
          <w:szCs w:val="18"/>
          <w:color w:val="auto"/>
        </w:rPr>
        <w:t>Supplemental information on an unaudited pro forma operating results assuming the Polaris Alpha acquisition had been consummated as of the beginning of fiscal year 2018 (December 31, 2017) (in thousands) is as follows:</w:t>
      </w:r>
    </w:p>
    <w:p>
      <w:pPr>
        <w:spacing w:after="0" w:line="279"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8890</wp:posOffset>
            </wp:positionV>
            <wp:extent cx="1089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9"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March 30, 2018</w:t>
      </w:r>
    </w:p>
    <w:p>
      <w:pPr>
        <w:spacing w:after="0" w:line="13"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 forma revenue</w:t>
            </w:r>
          </w:p>
        </w:tc>
        <w:tc>
          <w:tcPr>
            <w:tcW w:w="336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840,487</w:t>
            </w: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Pro forma net income</w:t>
            </w:r>
          </w:p>
        </w:tc>
        <w:tc>
          <w:tcPr>
            <w:tcW w:w="39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10,532</w:t>
            </w:r>
          </w:p>
        </w:tc>
        <w:tc>
          <w:tcPr>
            <w:tcW w:w="120" w:type="dxa"/>
            <w:vAlign w:val="bottom"/>
          </w:tcPr>
          <w:p>
            <w:pPr>
              <w:spacing w:after="0"/>
              <w:rPr>
                <w:sz w:val="19"/>
                <w:szCs w:val="19"/>
                <w:color w:val="auto"/>
              </w:rPr>
            </w:pPr>
          </w:p>
        </w:tc>
      </w:tr>
    </w:tbl>
    <w:p>
      <w:pPr>
        <w:spacing w:after="0" w:line="229" w:lineRule="exact"/>
        <w:rPr>
          <w:sz w:val="20"/>
          <w:szCs w:val="20"/>
          <w:color w:val="auto"/>
        </w:rPr>
      </w:pPr>
    </w:p>
    <w:p>
      <w:pPr>
        <w:ind w:right="20" w:firstLine="647"/>
        <w:spacing w:after="0" w:line="237"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pro forma impact of reflecting acquisition costs, which consisted of legal, advisory and due diligence fees and expenses and the additional pro forma interest expense related to the borrowings under the credit agreement as of the assumed acquisition date.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OGSystems</w:t>
      </w:r>
    </w:p>
    <w:p>
      <w:pPr>
        <w:spacing w:after="0" w:line="126" w:lineRule="exact"/>
        <w:rPr>
          <w:sz w:val="20"/>
          <w:szCs w:val="20"/>
          <w:color w:val="auto"/>
        </w:rPr>
      </w:pPr>
    </w:p>
    <w:p>
      <w:pPr>
        <w:ind w:right="100" w:firstLine="647"/>
        <w:spacing w:after="0" w:line="236" w:lineRule="auto"/>
        <w:rPr>
          <w:sz w:val="20"/>
          <w:szCs w:val="20"/>
          <w:color w:val="auto"/>
        </w:rPr>
      </w:pPr>
      <w:r>
        <w:rPr>
          <w:rFonts w:ascii="Arial" w:cs="Arial" w:eastAsia="Arial" w:hAnsi="Arial"/>
          <w:sz w:val="18"/>
          <w:szCs w:val="18"/>
          <w:color w:val="auto"/>
        </w:rPr>
        <w:t>On January 7, 2019, the Company acquired a 100% ownership interest in OGSystems, a privately owned, advanced technology-focused provider of innovative mission solutions for complex defense, intelligence, and security customers, as well as other U.S. federal government customers, for $292.4 million paid in cash. The Company borrowed $ 110 million under the credit agreement and $150 million on a short-term loan, as described in “Note 12 – Debt and Credit Facilities,” to partially fund the acquisition. In connection with this acquisition, the Company recognized $4.1 million of acquisition-related expenses in “Indirect, general and administrative expense” in the consolidated statements of income for the period ended March 31, 2019, including legal fees, consulting fees, and other miscellaneous direct expenses associated with the acquisition. OGSystems enhances the Company’s artificial intelligence and data analytics expertise with new technologies and solutions. Customers of both companies will benefit from existing, complementary technologies and increased scale, enabling end-to-end solutions under the shared vision of rapid prototyping and agile development.</w:t>
      </w:r>
    </w:p>
    <w:p>
      <w:pPr>
        <w:spacing w:after="0" w:line="207" w:lineRule="exact"/>
        <w:rPr>
          <w:sz w:val="20"/>
          <w:szCs w:val="20"/>
          <w:color w:val="auto"/>
        </w:rPr>
      </w:pPr>
    </w:p>
    <w:p>
      <w:pPr>
        <w:ind w:right="80" w:firstLine="647"/>
        <w:spacing w:after="0" w:line="246"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preliminary purchase price allocation as of the date of acquisition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360" w:type="dxa"/>
            <w:vAlign w:val="bottom"/>
            <w:tcBorders>
              <w:bottom w:val="single" w:sz="8" w:color="CFF0FC"/>
            </w:tcBorders>
          </w:tcPr>
          <w:p>
            <w:pPr>
              <w:spacing w:after="0"/>
              <w:rPr>
                <w:sz w:val="15"/>
                <w:szCs w:val="15"/>
                <w:color w:val="auto"/>
              </w:rPr>
            </w:pPr>
          </w:p>
        </w:tc>
        <w:tc>
          <w:tcPr>
            <w:tcW w:w="408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FF0FC"/>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4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5,772</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Accounts receivable</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9,904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4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9,747</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Prepaid expenses and other current assets</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4,307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4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Right of use assets, operating leases</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8,826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4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183,567</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Intangible assets</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92,300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4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Accounts payable</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(5,450)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4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(7,147)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Contract liabilities</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(1,300)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liabilities, operating leases</w:t>
            </w:r>
          </w:p>
        </w:tc>
        <w:tc>
          <w:tcPr>
            <w:tcW w:w="4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Income tax payable</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(1,469)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4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Long-term lease liabilities, operating leases</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(8,021)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4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Net assets acquired</w:t>
            </w:r>
          </w:p>
        </w:tc>
        <w:tc>
          <w:tcPr>
            <w:tcW w:w="40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292,380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080" w:type="dxa"/>
            <w:vAlign w:val="bottom"/>
            <w:vMerge w:val="restart"/>
          </w:tcPr>
          <w:p>
            <w:pPr>
              <w:jc w:val="right"/>
              <w:ind w:right="3170"/>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360" w:type="dxa"/>
            <w:vAlign w:val="bottom"/>
            <w:tcBorders>
              <w:bottom w:val="single" w:sz="8" w:color="9A9A9A"/>
            </w:tcBorders>
          </w:tcPr>
          <w:p>
            <w:pPr>
              <w:spacing w:after="0"/>
              <w:rPr>
                <w:sz w:val="8"/>
                <w:szCs w:val="8"/>
                <w:color w:val="auto"/>
              </w:rPr>
            </w:pPr>
          </w:p>
        </w:tc>
        <w:tc>
          <w:tcPr>
            <w:tcW w:w="40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Gross</w:t>
            </w:r>
          </w:p>
        </w:tc>
        <w:tc>
          <w:tcPr>
            <w:tcW w:w="1540" w:type="dxa"/>
            <w:vAlign w:val="bottom"/>
          </w:tcPr>
          <w:p>
            <w:pPr>
              <w:spacing w:after="0"/>
              <w:rPr>
                <w:sz w:val="14"/>
                <w:szCs w:val="14"/>
                <w:color w:val="auto"/>
              </w:rPr>
            </w:pPr>
          </w:p>
        </w:tc>
      </w:tr>
      <w:tr>
        <w:trPr>
          <w:trHeight w:val="162"/>
        </w:trPr>
        <w:tc>
          <w:tcPr>
            <w:tcW w:w="45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Carrying</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45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Amount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10"/>
        </w:trPr>
        <w:tc>
          <w:tcPr>
            <w:tcW w:w="4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(in years)</w:t>
            </w: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2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57,100</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Backlog</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27,700</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2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Non compete agreements</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2,400</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technologies</w:t>
            </w:r>
          </w:p>
        </w:tc>
        <w:tc>
          <w:tcPr>
            <w:tcW w:w="2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still in the process of finalizing its valuation of developed technology acquired.</w:t>
      </w:r>
    </w:p>
    <w:p>
      <w:pPr>
        <w:spacing w:after="0" w:line="212" w:lineRule="exact"/>
        <w:rPr>
          <w:sz w:val="20"/>
          <w:szCs w:val="20"/>
          <w:color w:val="auto"/>
        </w:rPr>
      </w:pPr>
    </w:p>
    <w:p>
      <w:pPr>
        <w:jc w:val="both"/>
        <w:ind w:right="120" w:firstLine="647"/>
        <w:spacing w:after="0"/>
        <w:rPr>
          <w:sz w:val="20"/>
          <w:szCs w:val="20"/>
          <w:color w:val="auto"/>
        </w:rPr>
      </w:pPr>
      <w:r>
        <w:rPr>
          <w:rFonts w:ascii="Arial" w:cs="Arial" w:eastAsia="Arial" w:hAnsi="Arial"/>
          <w:sz w:val="18"/>
          <w:szCs w:val="18"/>
          <w:color w:val="auto"/>
        </w:rPr>
        <w:t>Amortization expense of $5.9 million related to these intangible assets was recorded for the three months ended March 31, 2019. The entire value of goodwill of $183.6 million was assigned to the Parsons Federal reporting unit and represents synergies expected to be realized from this business combination. Goodwill of $16.0 million is deductible for tax purposes.</w:t>
      </w:r>
    </w:p>
    <w:p>
      <w:pPr>
        <w:spacing w:after="0" w:line="95" w:lineRule="exact"/>
        <w:rPr>
          <w:sz w:val="20"/>
          <w:szCs w:val="20"/>
          <w:color w:val="auto"/>
        </w:rPr>
      </w:pPr>
    </w:p>
    <w:p>
      <w:pPr>
        <w:ind w:right="20" w:firstLine="647"/>
        <w:spacing w:after="0" w:line="246" w:lineRule="auto"/>
        <w:rPr>
          <w:sz w:val="20"/>
          <w:szCs w:val="20"/>
          <w:color w:val="auto"/>
        </w:rPr>
      </w:pPr>
      <w:r>
        <w:rPr>
          <w:rFonts w:ascii="Arial" w:cs="Arial" w:eastAsia="Arial" w:hAnsi="Arial"/>
          <w:sz w:val="18"/>
          <w:szCs w:val="18"/>
          <w:color w:val="auto"/>
        </w:rPr>
        <w:t>The amount of revenue generated by OGSystems since the acquisition and included within consolidated revenues for the three months ended March 31, 2019 is $29.0 million. The Company has determined that the presentation of net income from the date of acquisition is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impracticable due to the integration of general corporate functions upon acquisition.</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26" w:lineRule="exact"/>
        <w:rPr>
          <w:sz w:val="20"/>
          <w:szCs w:val="20"/>
          <w:color w:val="auto"/>
        </w:rPr>
      </w:pPr>
    </w:p>
    <w:p>
      <w:pPr>
        <w:ind w:right="160" w:firstLine="647"/>
        <w:spacing w:after="0" w:line="246" w:lineRule="auto"/>
        <w:rPr>
          <w:sz w:val="20"/>
          <w:szCs w:val="20"/>
          <w:color w:val="auto"/>
        </w:rPr>
      </w:pPr>
      <w:r>
        <w:rPr>
          <w:rFonts w:ascii="Arial" w:cs="Arial" w:eastAsia="Arial" w:hAnsi="Arial"/>
          <w:sz w:val="18"/>
          <w:szCs w:val="18"/>
          <w:color w:val="auto"/>
        </w:rPr>
        <w:t>Supplemental information on an unaudited pro forma operating results assuming the OGSystems acquisition had been consummated as of the beginning of fiscal year 2018 (December 31, 2017) (in thousands)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4"/>
          </w:tcPr>
          <w:p>
            <w:pPr>
              <w:jc w:val="right"/>
              <w:ind w:right="93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4820" w:type="dxa"/>
            <w:vAlign w:val="bottom"/>
            <w:tcBorders>
              <w:bottom w:val="single" w:sz="8" w:color="CFF0FC"/>
            </w:tcBorders>
          </w:tcPr>
          <w:p>
            <w:pPr>
              <w:spacing w:after="0"/>
              <w:rPr>
                <w:sz w:val="14"/>
                <w:szCs w:val="14"/>
                <w:color w:val="auto"/>
              </w:rPr>
            </w:pPr>
          </w:p>
        </w:tc>
        <w:tc>
          <w:tcPr>
            <w:tcW w:w="30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March 30, 2018</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FF0FC"/>
            </w:tcBorders>
          </w:tcPr>
          <w:p>
            <w:pPr>
              <w:spacing w:after="0"/>
              <w:rPr>
                <w:sz w:val="14"/>
                <w:szCs w:val="14"/>
                <w:color w:val="auto"/>
              </w:rPr>
            </w:pPr>
          </w:p>
        </w:tc>
      </w:tr>
      <w:tr>
        <w:trPr>
          <w:trHeight w:val="21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Pro forma revenue</w:t>
            </w:r>
          </w:p>
        </w:tc>
        <w:tc>
          <w:tcPr>
            <w:tcW w:w="3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782,218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906,360</w:t>
            </w:r>
          </w:p>
        </w:tc>
        <w:tc>
          <w:tcPr>
            <w:tcW w:w="100" w:type="dxa"/>
            <w:vAlign w:val="bottom"/>
            <w:shd w:val="clear" w:color="auto" w:fill="CFF0FC"/>
          </w:tcPr>
          <w:p>
            <w:pPr>
              <w:spacing w:after="0"/>
              <w:rPr>
                <w:sz w:val="18"/>
                <w:szCs w:val="18"/>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Pro forma net income</w:t>
            </w:r>
          </w:p>
        </w:tc>
        <w:tc>
          <w:tcPr>
            <w:tcW w:w="3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15,739</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17,458</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ind w:firstLine="647"/>
        <w:spacing w:after="0" w:line="237"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pro forma impact of reflecting acquisition costs, which consisted of legal, advisory and due diligence fees and expenses and the additional pro forma interest expense related to the borrowings under the credit agreement as of the assumed acquisition date.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291" w:lineRule="exact"/>
        <w:rPr>
          <w:sz w:val="20"/>
          <w:szCs w:val="20"/>
          <w:color w:val="auto"/>
        </w:rPr>
      </w:pPr>
    </w:p>
    <w:p>
      <w:pPr>
        <w:ind w:left="660" w:right="8440" w:hanging="652"/>
        <w:spacing w:after="0" w:line="394" w:lineRule="auto"/>
        <w:tabs>
          <w:tab w:leader="none" w:pos="648"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Contracts with Customers </w:t>
      </w:r>
      <w:r>
        <w:rPr>
          <w:rFonts w:ascii="Arial" w:cs="Arial" w:eastAsia="Arial" w:hAnsi="Arial"/>
          <w:sz w:val="17"/>
          <w:szCs w:val="17"/>
          <w:b w:val="1"/>
          <w:bCs w:val="1"/>
          <w:i w:val="1"/>
          <w:iCs w:val="1"/>
          <w:color w:val="auto"/>
        </w:rPr>
        <w:t>Disaggregation of Revenue</w:t>
      </w:r>
    </w:p>
    <w:p>
      <w:pPr>
        <w:spacing w:after="0" w:line="1" w:lineRule="exact"/>
        <w:rPr>
          <w:sz w:val="20"/>
          <w:szCs w:val="20"/>
          <w:color w:val="auto"/>
        </w:rPr>
      </w:pPr>
    </w:p>
    <w:p>
      <w:pPr>
        <w:ind w:right="20" w:firstLine="647"/>
        <w:spacing w:after="0" w:line="246" w:lineRule="auto"/>
        <w:rPr>
          <w:sz w:val="20"/>
          <w:szCs w:val="20"/>
          <w:color w:val="auto"/>
        </w:rPr>
      </w:pPr>
      <w:r>
        <w:rPr>
          <w:rFonts w:ascii="Arial" w:cs="Arial" w:eastAsia="Arial" w:hAnsi="Arial"/>
          <w:sz w:val="18"/>
          <w:szCs w:val="18"/>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9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4"/>
          </w:tcPr>
          <w:p>
            <w:pPr>
              <w:jc w:val="right"/>
              <w:ind w:right="113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169"/>
        </w:trPr>
        <w:tc>
          <w:tcPr>
            <w:tcW w:w="3920" w:type="dxa"/>
            <w:vAlign w:val="bottom"/>
            <w:tcBorders>
              <w:bottom w:val="single" w:sz="8" w:color="CFF0FC"/>
            </w:tcBorders>
          </w:tcPr>
          <w:p>
            <w:pPr>
              <w:spacing w:after="0"/>
              <w:rPr>
                <w:sz w:val="14"/>
                <w:szCs w:val="14"/>
                <w:color w:val="auto"/>
              </w:rPr>
            </w:pPr>
          </w:p>
        </w:tc>
        <w:tc>
          <w:tcPr>
            <w:tcW w:w="24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March 30, 2018</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4"/>
                <w:szCs w:val="14"/>
                <w:color w:val="auto"/>
              </w:rPr>
            </w:pP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Fixed-Price</w:t>
            </w:r>
          </w:p>
        </w:tc>
        <w:tc>
          <w:tcPr>
            <w:tcW w:w="2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265,408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257,695</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Time-and-Materials</w:t>
            </w: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227,741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255,706</w:t>
            </w: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24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261,530</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391,004</w:t>
            </w:r>
          </w:p>
        </w:tc>
        <w:tc>
          <w:tcPr>
            <w:tcW w:w="120" w:type="dxa"/>
            <w:vAlign w:val="bottom"/>
            <w:shd w:val="clear" w:color="auto" w:fill="CFF0FC"/>
          </w:tcPr>
          <w:p>
            <w:pPr>
              <w:spacing w:after="0"/>
              <w:rPr>
                <w:sz w:val="18"/>
                <w:szCs w:val="18"/>
                <w:color w:val="auto"/>
              </w:rPr>
            </w:pPr>
          </w:p>
        </w:tc>
      </w:tr>
      <w:tr>
        <w:trPr>
          <w:trHeight w:val="210"/>
        </w:trPr>
        <w:tc>
          <w:tcPr>
            <w:tcW w:w="3920" w:type="dxa"/>
            <w:vAlign w:val="bottom"/>
          </w:tcPr>
          <w:p>
            <w:pPr>
              <w:ind w:left="240"/>
              <w:spacing w:after="0"/>
              <w:rPr>
                <w:sz w:val="20"/>
                <w:szCs w:val="20"/>
                <w:color w:val="auto"/>
              </w:rPr>
            </w:pPr>
            <w:r>
              <w:rPr>
                <w:rFonts w:ascii="Arial" w:cs="Arial" w:eastAsia="Arial" w:hAnsi="Arial"/>
                <w:sz w:val="18"/>
                <w:szCs w:val="18"/>
                <w:color w:val="auto"/>
              </w:rPr>
              <w:t>Total</w:t>
            </w:r>
          </w:p>
        </w:tc>
        <w:tc>
          <w:tcPr>
            <w:tcW w:w="2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754,679</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904,405</w:t>
            </w:r>
          </w:p>
        </w:tc>
        <w:tc>
          <w:tcPr>
            <w:tcW w:w="12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20 – Segments Information” for the Company’s revenues by business lines.</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assets and contract liabilities balances at December 31, 2018 and March 31, 2019 were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40" w:type="dxa"/>
            <w:vAlign w:val="bottom"/>
            <w:tcBorders>
              <w:bottom w:val="single" w:sz="8" w:color="CFF0FC"/>
            </w:tcBorders>
          </w:tcPr>
          <w:p>
            <w:pPr>
              <w:spacing w:after="0"/>
              <w:rPr>
                <w:sz w:val="15"/>
                <w:szCs w:val="15"/>
                <w:color w:val="auto"/>
              </w:rPr>
            </w:pPr>
          </w:p>
        </w:tc>
        <w:tc>
          <w:tcPr>
            <w:tcW w:w="1180" w:type="dxa"/>
            <w:vAlign w:val="bottom"/>
            <w:tcBorders>
              <w:bottom w:val="single" w:sz="8" w:color="CFF0FC"/>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1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158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515,319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571,755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56,436</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Contract liabilities</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208,576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225,017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16,441</w:t>
            </w:r>
          </w:p>
        </w:tc>
        <w:tc>
          <w:tcPr>
            <w:tcW w:w="24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0"/>
        </w:trPr>
        <w:tc>
          <w:tcPr>
            <w:tcW w:w="384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Net contract assets (liabilities) (1)</w:t>
            </w:r>
          </w:p>
        </w:tc>
        <w:tc>
          <w:tcPr>
            <w:tcW w:w="158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306,743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346,738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39,995</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w:t>
            </w: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640" w:right="20" w:hanging="632"/>
        <w:spacing w:after="0" w:line="23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$89.6 million as of December 31, 2018. Total contract retentions included in net contract assets (liabilities) were $90.0 million as of March 31, 2019, of which $34.8 million are not expected to be paid in the next 12 months. Contract assets at December 31, 2018 and March 31, 2019 include approximately $47.1 million and $49.4 million, respectively, related to unapproved change orders, claims, and requests for equitable adjustment. For the three months ended March 30, 2018 and March 31, 2019, there were no material losses recognized related to the collectability of claims, unapproved change orders, and requests for equitable adjustment.</w:t>
      </w:r>
    </w:p>
    <w:p>
      <w:pPr>
        <w:spacing w:after="0" w:line="205" w:lineRule="exact"/>
        <w:rPr>
          <w:sz w:val="20"/>
          <w:szCs w:val="20"/>
          <w:color w:val="auto"/>
        </w:rPr>
      </w:pPr>
    </w:p>
    <w:p>
      <w:pPr>
        <w:ind w:right="60" w:firstLine="647"/>
        <w:spacing w:after="0" w:line="239" w:lineRule="auto"/>
        <w:rPr>
          <w:sz w:val="20"/>
          <w:szCs w:val="20"/>
          <w:color w:val="auto"/>
        </w:rPr>
      </w:pPr>
      <w:r>
        <w:rPr>
          <w:rFonts w:ascii="Arial" w:cs="Arial" w:eastAsia="Arial" w:hAnsi="Arial"/>
          <w:sz w:val="18"/>
          <w:szCs w:val="18"/>
          <w:color w:val="auto"/>
        </w:rPr>
        <w:t>During the three months ended March 30, 2018 and March 31, 2019, the Company recognized revenue of approximately $26.3 million and $85.7 million, respectively that was included in the corresponding contract liability balance at December 30, 2017 and December 31, 2018, respectively. The change in contract assets and contract liabilities was the result of normal business activity and not significantly impacted by other factors, except as follows: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880" w:type="dxa"/>
            <w:vAlign w:val="bottom"/>
            <w:tcBorders>
              <w:bottom w:val="single" w:sz="8" w:color="CFF0FC"/>
            </w:tcBorders>
          </w:tcPr>
          <w:p>
            <w:pPr>
              <w:spacing w:after="0"/>
              <w:rPr>
                <w:sz w:val="17"/>
                <w:szCs w:val="17"/>
                <w:color w:val="auto"/>
              </w:rPr>
            </w:pPr>
          </w:p>
        </w:tc>
        <w:tc>
          <w:tcPr>
            <w:tcW w:w="14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7"/>
                <w:szCs w:val="17"/>
                <w:color w:val="auto"/>
              </w:rPr>
            </w:pPr>
          </w:p>
        </w:tc>
      </w:tr>
      <w:tr>
        <w:trPr>
          <w:trHeight w:val="216"/>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Acquired contract assets</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35,229</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9,747</w:t>
            </w: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Acquired contract liabilities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Reversal of provision for contract losses (1)</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133,180</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ind w:left="640" w:right="500" w:hanging="632"/>
        <w:spacing w:after="0" w:line="246"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Reversal of provision for contract losses of $133.2 million, of which $55.1 million was recorded as an increase in revenue with the remainder recorded as other income.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significant impairment of contract assets recognized during the three months ended March 30, 2018 and March 31,</w:t>
      </w:r>
    </w:p>
    <w:p>
      <w:pPr>
        <w:spacing w:after="0"/>
        <w:rPr>
          <w:sz w:val="20"/>
          <w:szCs w:val="20"/>
          <w:color w:val="auto"/>
        </w:rPr>
      </w:pPr>
      <w:r>
        <w:rPr>
          <w:rFonts w:ascii="Arial" w:cs="Arial" w:eastAsia="Arial" w:hAnsi="Arial"/>
          <w:sz w:val="18"/>
          <w:szCs w:val="18"/>
          <w:color w:val="auto"/>
        </w:rPr>
        <w:t>2019.</w:t>
      </w:r>
    </w:p>
    <w:p>
      <w:pPr>
        <w:spacing w:after="0" w:line="23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During the three months ended March 30, 2018 and March 31, 2019, the Company recognized revenues of $18.7 million and</w:t>
      </w:r>
    </w:p>
    <w:p>
      <w:pPr>
        <w:spacing w:after="0" w:line="36"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$4.5 million, respectively, of unapproved change orders and claims from changes in transaction price associated with performance obligations that were satisfied or partially satisfied. These amounts represent management’s estimates of additional contract revenues that had been earned and were probable of collection. The amount ultimately realized by the Company cannot currently be determined but could be significantly higher or lower than the estimated amount.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22" w:lineRule="exact"/>
        <w:rPr>
          <w:sz w:val="20"/>
          <w:szCs w:val="20"/>
          <w:color w:val="auto"/>
        </w:rPr>
      </w:pPr>
    </w:p>
    <w:p>
      <w:pPr>
        <w:ind w:right="140" w:firstLine="647"/>
        <w:spacing w:after="0" w:line="246" w:lineRule="auto"/>
        <w:rPr>
          <w:sz w:val="20"/>
          <w:szCs w:val="20"/>
          <w:color w:val="auto"/>
        </w:rPr>
      </w:pPr>
      <w:r>
        <w:rPr>
          <w:rFonts w:ascii="Arial" w:cs="Arial" w:eastAsia="Arial" w:hAnsi="Arial"/>
          <w:sz w:val="18"/>
          <w:szCs w:val="18"/>
          <w:color w:val="auto"/>
        </w:rPr>
        <w:t>The Company’s remaining unsatisfied performance obligations (“RUPO”) as of March 31, 2019 represent a measure of the total dollar value of work to be performed on contracts awarded and in progress. The Company had $5.3 billion in RUPO as of March 31, 2019.</w:t>
      </w:r>
    </w:p>
    <w:p>
      <w:pPr>
        <w:spacing w:after="0" w:line="197" w:lineRule="exact"/>
        <w:rPr>
          <w:sz w:val="20"/>
          <w:szCs w:val="20"/>
          <w:color w:val="auto"/>
        </w:rPr>
      </w:pPr>
    </w:p>
    <w:p>
      <w:pPr>
        <w:ind w:right="280" w:firstLine="647"/>
        <w:spacing w:after="0" w:line="238"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 for the Federal Solutions segment.</w:t>
      </w:r>
    </w:p>
    <w:p>
      <w:pPr>
        <w:spacing w:after="0" w:line="203" w:lineRule="exact"/>
        <w:rPr>
          <w:sz w:val="20"/>
          <w:szCs w:val="20"/>
          <w:color w:val="auto"/>
        </w:rPr>
      </w:pPr>
    </w:p>
    <w:p>
      <w:pPr>
        <w:jc w:val="both"/>
        <w:ind w:right="140" w:firstLine="647"/>
        <w:spacing w:after="0"/>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3" w:name="page14"/>
    <w:bookmarkEnd w:id="13"/>
    <w:p>
      <w:pPr>
        <w:ind w:right="80"/>
        <w:spacing w:after="0" w:line="246" w:lineRule="auto"/>
        <w:rPr>
          <w:sz w:val="20"/>
          <w:szCs w:val="20"/>
          <w:color w:val="auto"/>
        </w:rPr>
      </w:pPr>
      <w:r>
        <w:rPr>
          <w:rFonts w:ascii="Arial" w:cs="Arial" w:eastAsia="Arial" w:hAnsi="Arial"/>
          <w:sz w:val="18"/>
          <w:szCs w:val="18"/>
          <w:color w:val="auto"/>
        </w:rPr>
        <w:t>determined that it has a legal basis under existing contractual arrangements and a significant reversal of revenue is not probable, less revenue recognized to-date.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expects to satisfy its RUPO as of March 31, 2019 over the following periods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Within One to</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39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Period RUPO Will Be Satisfied</w:t>
            </w:r>
          </w:p>
        </w:tc>
        <w:tc>
          <w:tcPr>
            <w:tcW w:w="19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Within One Year</w:t>
            </w:r>
          </w:p>
        </w:tc>
        <w:tc>
          <w:tcPr>
            <w:tcW w:w="2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Two Years</w:t>
            </w:r>
          </w:p>
        </w:tc>
        <w:tc>
          <w:tcPr>
            <w:tcW w:w="26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Thereafter</w:t>
            </w:r>
          </w:p>
        </w:tc>
        <w:tc>
          <w:tcPr>
            <w:tcW w:w="120" w:type="dxa"/>
            <w:vAlign w:val="bottom"/>
            <w:tcBorders>
              <w:bottom w:val="single" w:sz="8" w:color="CFF0FC"/>
            </w:tcBorders>
          </w:tcPr>
          <w:p>
            <w:pPr>
              <w:spacing w:after="0"/>
              <w:rPr>
                <w:sz w:val="15"/>
                <w:szCs w:val="15"/>
                <w:color w:val="auto"/>
              </w:rPr>
            </w:pPr>
          </w:p>
        </w:tc>
      </w:tr>
      <w:tr>
        <w:trPr>
          <w:trHeight w:val="21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982,972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577,405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324,510</w:t>
            </w:r>
          </w:p>
        </w:tc>
        <w:tc>
          <w:tcPr>
            <w:tcW w:w="120" w:type="dxa"/>
            <w:vAlign w:val="bottom"/>
            <w:shd w:val="clear" w:color="auto" w:fill="CFF0FC"/>
          </w:tcPr>
          <w:p>
            <w:pPr>
              <w:spacing w:after="0"/>
              <w:rPr>
                <w:sz w:val="18"/>
                <w:szCs w:val="18"/>
                <w:color w:val="auto"/>
              </w:rPr>
            </w:pPr>
          </w:p>
        </w:tc>
      </w:tr>
      <w:tr>
        <w:trPr>
          <w:trHeight w:val="216"/>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9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1,560,074</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783,585</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1,098,715</w:t>
            </w:r>
          </w:p>
        </w:tc>
        <w:tc>
          <w:tcPr>
            <w:tcW w:w="120" w:type="dxa"/>
            <w:vAlign w:val="bottom"/>
            <w:tcBorders>
              <w:bottom w:val="single" w:sz="8" w:color="CFF0FC"/>
            </w:tcBorders>
          </w:tcPr>
          <w:p>
            <w:pPr>
              <w:spacing w:after="0"/>
              <w:rPr>
                <w:sz w:val="18"/>
                <w:szCs w:val="18"/>
                <w:color w:val="auto"/>
              </w:rPr>
            </w:pPr>
          </w:p>
        </w:tc>
      </w:tr>
      <w:tr>
        <w:trPr>
          <w:trHeight w:val="21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2,543,046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1,360,990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1,423,225</w:t>
            </w:r>
          </w:p>
        </w:tc>
        <w:tc>
          <w:tcPr>
            <w:tcW w:w="120" w:type="dxa"/>
            <w:vAlign w:val="bottom"/>
            <w:shd w:val="clear" w:color="auto" w:fill="CFF0FC"/>
          </w:tcPr>
          <w:p>
            <w:pPr>
              <w:spacing w:after="0"/>
              <w:rPr>
                <w:sz w:val="18"/>
                <w:szCs w:val="18"/>
                <w:color w:val="auto"/>
              </w:rPr>
            </w:pPr>
          </w:p>
        </w:tc>
      </w:tr>
      <w:tr>
        <w:trPr>
          <w:trHeight w:val="20"/>
        </w:trPr>
        <w:tc>
          <w:tcPr>
            <w:tcW w:w="396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ind w:right="40" w:firstLine="647"/>
        <w:spacing w:after="0" w:line="238" w:lineRule="auto"/>
        <w:rPr>
          <w:sz w:val="20"/>
          <w:szCs w:val="20"/>
          <w:color w:val="auto"/>
        </w:rPr>
      </w:pPr>
      <w:r>
        <w:rPr>
          <w:rFonts w:ascii="Arial" w:cs="Arial" w:eastAsia="Arial" w:hAnsi="Arial"/>
          <w:sz w:val="18"/>
          <w:szCs w:val="18"/>
          <w:color w:val="auto"/>
        </w:rPr>
        <w:t>In February 2016, the FASB issued ASU 2016-02 “Leases (Topic 842)”, which is a new standard related to leases to increase transparency and comparability among organizations by requiring the recognition of right-of-use (“ROU”) assets obtained in exchange for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w:t>
      </w:r>
    </w:p>
    <w:p>
      <w:pPr>
        <w:spacing w:after="0" w:line="203" w:lineRule="exact"/>
        <w:rPr>
          <w:sz w:val="20"/>
          <w:szCs w:val="20"/>
          <w:color w:val="auto"/>
        </w:rPr>
      </w:pPr>
    </w:p>
    <w:p>
      <w:pPr>
        <w:ind w:firstLine="647"/>
        <w:spacing w:after="0" w:line="238" w:lineRule="auto"/>
        <w:rPr>
          <w:sz w:val="20"/>
          <w:szCs w:val="20"/>
          <w:color w:val="auto"/>
        </w:rPr>
      </w:pPr>
      <w:r>
        <w:rPr>
          <w:rFonts w:ascii="Arial" w:cs="Arial" w:eastAsia="Arial" w:hAnsi="Arial"/>
          <w:sz w:val="18"/>
          <w:szCs w:val="18"/>
          <w:color w:val="auto"/>
        </w:rPr>
        <w:t>The Company elected to adopt the standard, and available practical expedients, effective January 1, 2019. These practical expedients allowed the Company to keep the lease classification assessed under the previous lease accounting standard (ASC 840) without reassessment under the new standard, and allowed all separate lease components, including non-lease components, to be accounted for as a single lease component for all existing leases prior to adoption of the new standard. Furthermore, the Company made an accounting policy election to not recognize a lease liability and ROU asset for leases with lease terms of twelve months or less.</w:t>
      </w:r>
    </w:p>
    <w:p>
      <w:pPr>
        <w:spacing w:after="0" w:line="203" w:lineRule="exact"/>
        <w:rPr>
          <w:sz w:val="20"/>
          <w:szCs w:val="20"/>
          <w:color w:val="auto"/>
        </w:rPr>
      </w:pPr>
    </w:p>
    <w:p>
      <w:pPr>
        <w:jc w:val="both"/>
        <w:ind w:right="20" w:firstLine="647"/>
        <w:spacing w:after="0"/>
        <w:rPr>
          <w:sz w:val="20"/>
          <w:szCs w:val="20"/>
          <w:color w:val="auto"/>
        </w:rPr>
      </w:pPr>
      <w:r>
        <w:rPr>
          <w:rFonts w:ascii="Arial" w:cs="Arial" w:eastAsia="Arial" w:hAnsi="Arial"/>
          <w:sz w:val="18"/>
          <w:szCs w:val="18"/>
          <w:color w:val="auto"/>
        </w:rPr>
        <w:t>The Company adopted this new standard under the modified retrospective transition approach without adjusting comparative periods in the financial statements, as allowed under Topic 842, and implemented internal controls and key system functionality to enable the preparation of financial information on adoption.</w:t>
      </w:r>
    </w:p>
    <w:p>
      <w:pPr>
        <w:spacing w:after="0" w:line="203" w:lineRule="exact"/>
        <w:rPr>
          <w:sz w:val="20"/>
          <w:szCs w:val="20"/>
          <w:color w:val="auto"/>
        </w:rPr>
      </w:pPr>
    </w:p>
    <w:p>
      <w:pPr>
        <w:ind w:right="180" w:firstLine="647"/>
        <w:spacing w:after="0"/>
        <w:rPr>
          <w:sz w:val="20"/>
          <w:szCs w:val="20"/>
          <w:color w:val="auto"/>
        </w:rPr>
      </w:pPr>
      <w:r>
        <w:rPr>
          <w:rFonts w:ascii="Arial" w:cs="Arial" w:eastAsia="Arial" w:hAnsi="Arial"/>
          <w:sz w:val="18"/>
          <w:szCs w:val="18"/>
          <w:color w:val="auto"/>
        </w:rPr>
        <w:t>The standard had a material impact on the Company’s consolidated balance sheets but did not have an impact on the consolidated income statements. The most significant impact was the recognition of ROU assets and lease liabilities for operating leases, while accounting for finance leases remained substantially unchanged.</w:t>
      </w:r>
    </w:p>
    <w:p>
      <w:pPr>
        <w:spacing w:after="0" w:line="203" w:lineRule="exact"/>
        <w:rPr>
          <w:sz w:val="20"/>
          <w:szCs w:val="20"/>
          <w:color w:val="auto"/>
        </w:rPr>
      </w:pPr>
    </w:p>
    <w:p>
      <w:pPr>
        <w:ind w:firstLine="647"/>
        <w:spacing w:after="0" w:line="238" w:lineRule="auto"/>
        <w:rPr>
          <w:sz w:val="20"/>
          <w:szCs w:val="20"/>
          <w:color w:val="auto"/>
        </w:rPr>
      </w:pPr>
      <w:r>
        <w:rPr>
          <w:rFonts w:ascii="Arial" w:cs="Arial" w:eastAsia="Arial" w:hAnsi="Arial"/>
          <w:sz w:val="18"/>
          <w:szCs w:val="18"/>
          <w:color w:val="auto"/>
        </w:rPr>
        <w:t>As a result of the adoption, the Company recorded a cumulative-effect adjustment to retained earnings of $52.6 million net of deferred tax asset adjustment of $0.7 million, representing the unamortized portion of a deferred gain previously recorded as a sale-leaseback transaction associated with the sale of an office building in 2011. The Company concluded the transaction resulted in the transfer of control of the office building to the buyer-lessor at market terms and would have qualified as a sale under Topic 842 with gain recognition in the period the sale was recognized.</w:t>
      </w:r>
    </w:p>
    <w:p>
      <w:pPr>
        <w:spacing w:after="0" w:line="203" w:lineRule="exact"/>
        <w:rPr>
          <w:sz w:val="20"/>
          <w:szCs w:val="20"/>
          <w:color w:val="auto"/>
        </w:rPr>
      </w:pPr>
    </w:p>
    <w:p>
      <w:pPr>
        <w:ind w:right="120" w:firstLine="647"/>
        <w:spacing w:after="0"/>
        <w:rPr>
          <w:sz w:val="20"/>
          <w:szCs w:val="20"/>
          <w:color w:val="auto"/>
        </w:rPr>
      </w:pPr>
      <w:r>
        <w:rPr>
          <w:rFonts w:ascii="Arial" w:cs="Arial" w:eastAsia="Arial" w:hAnsi="Arial"/>
          <w:sz w:val="18"/>
          <w:szCs w:val="18"/>
          <w:color w:val="auto"/>
        </w:rPr>
        <w:t>The Company determines if an arrangement is a lease at inception. Operating leases are included in operating lease ROU assets and current and long-term operating lease liabilities in the consolidated balance sheets. Finance leases are included in other noncurrent assets, accrued expenses and other current liabilities and other long-term liabilities in the consolidated balance sheets.</w:t>
      </w:r>
    </w:p>
    <w:p>
      <w:pPr>
        <w:spacing w:after="0" w:line="203" w:lineRule="exact"/>
        <w:rPr>
          <w:sz w:val="20"/>
          <w:szCs w:val="20"/>
          <w:color w:val="auto"/>
        </w:rPr>
      </w:pPr>
    </w:p>
    <w:p>
      <w:pPr>
        <w:ind w:right="40" w:firstLine="647"/>
        <w:spacing w:after="0" w:line="237" w:lineRule="auto"/>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the Company’s leases do not provide an implicit rate, incremental borrowing rates are used based on the information available at commencement date in determining the present value of lease payments. The operating lease ROU asset also includes any lease payments made and excludes lease incentives. Lease terms may include options to extend or terminate the lease when it is reasonably certain that we will exercise that option. Lease expense for operating lease payments is recognized on a straight-line basis over the lease term.</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4" w:name="page15"/>
    <w:bookmarkEnd w:id="14"/>
    <w:p>
      <w:pPr>
        <w:ind w:right="80" w:firstLine="647"/>
        <w:spacing w:after="0"/>
        <w:rPr>
          <w:sz w:val="20"/>
          <w:szCs w:val="20"/>
          <w:color w:val="auto"/>
        </w:rPr>
      </w:pPr>
      <w:r>
        <w:rPr>
          <w:rFonts w:ascii="Arial" w:cs="Arial" w:eastAsia="Arial" w:hAnsi="Arial"/>
          <w:sz w:val="18"/>
          <w:szCs w:val="18"/>
          <w:color w:val="auto"/>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95" w:lineRule="exact"/>
        <w:rPr>
          <w:sz w:val="20"/>
          <w:szCs w:val="20"/>
          <w:color w:val="auto"/>
        </w:rPr>
      </w:pPr>
    </w:p>
    <w:p>
      <w:pPr>
        <w:ind w:right="20" w:firstLine="647"/>
        <w:spacing w:after="0"/>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11 years, some of which may include options to extend the leases for up to five years, and some of which may include options to terminate the leases up to the seventh year. As of March 31, 2019, assets recorded under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finance leases were $1.3 million and accumulated depreciation associated with finance leases was $0.2 million.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costs for the three months ended March 31, 2019 are as follows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8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84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FF0FC"/>
            </w:tcBorders>
          </w:tcPr>
          <w:p>
            <w:pPr>
              <w:spacing w:after="0"/>
              <w:rPr>
                <w:sz w:val="14"/>
                <w:szCs w:val="14"/>
                <w:color w:val="auto"/>
              </w:rPr>
            </w:pPr>
          </w:p>
        </w:tc>
      </w:tr>
      <w:tr>
        <w:trPr>
          <w:trHeight w:val="210"/>
        </w:trPr>
        <w:tc>
          <w:tcPr>
            <w:tcW w:w="8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cost</w:t>
            </w: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18,285</w:t>
            </w:r>
          </w:p>
        </w:tc>
        <w:tc>
          <w:tcPr>
            <w:tcW w:w="100" w:type="dxa"/>
            <w:vAlign w:val="bottom"/>
            <w:shd w:val="clear" w:color="auto" w:fill="CFF0FC"/>
          </w:tcPr>
          <w:p>
            <w:pPr>
              <w:spacing w:after="0"/>
              <w:rPr>
                <w:sz w:val="18"/>
                <w:szCs w:val="18"/>
                <w:color w:val="auto"/>
              </w:rPr>
            </w:pPr>
          </w:p>
        </w:tc>
      </w:tr>
      <w:tr>
        <w:trPr>
          <w:trHeight w:val="216"/>
        </w:trPr>
        <w:tc>
          <w:tcPr>
            <w:tcW w:w="8420" w:type="dxa"/>
            <w:vAlign w:val="bottom"/>
          </w:tcPr>
          <w:p>
            <w:pPr>
              <w:ind w:left="240"/>
              <w:spacing w:after="0"/>
              <w:rPr>
                <w:sz w:val="20"/>
                <w:szCs w:val="20"/>
                <w:color w:val="auto"/>
              </w:rPr>
            </w:pPr>
            <w:r>
              <w:rPr>
                <w:rFonts w:ascii="Arial" w:cs="Arial" w:eastAsia="Arial" w:hAnsi="Arial"/>
                <w:sz w:val="18"/>
                <w:szCs w:val="18"/>
                <w:color w:val="auto"/>
              </w:rPr>
              <w:t>Short-term lease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r>
      <w:tr>
        <w:trPr>
          <w:trHeight w:val="216"/>
        </w:trPr>
        <w:tc>
          <w:tcPr>
            <w:tcW w:w="8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right-of-use assets</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8"/>
                <w:szCs w:val="18"/>
                <w:color w:val="auto"/>
              </w:rPr>
            </w:pPr>
          </w:p>
        </w:tc>
      </w:tr>
      <w:tr>
        <w:trPr>
          <w:trHeight w:val="216"/>
        </w:trPr>
        <w:tc>
          <w:tcPr>
            <w:tcW w:w="842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8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Sublease income</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(930)</w:t>
            </w: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20" w:type="dxa"/>
            <w:vAlign w:val="bottom"/>
          </w:tcPr>
          <w:p>
            <w:pPr>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19,600</w:t>
            </w:r>
          </w:p>
        </w:tc>
        <w:tc>
          <w:tcPr>
            <w:tcW w:w="100" w:type="dxa"/>
            <w:vAlign w:val="bottom"/>
          </w:tcPr>
          <w:p>
            <w:pPr>
              <w:spacing w:after="0"/>
              <w:rPr>
                <w:sz w:val="18"/>
                <w:szCs w:val="18"/>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for the three months ended March 31, 2019 is as follows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9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5940" w:type="dxa"/>
            <w:vAlign w:val="bottom"/>
            <w:tcBorders>
              <w:bottom w:val="single" w:sz="8" w:color="CFF0FC"/>
            </w:tcBorders>
          </w:tcPr>
          <w:p>
            <w:pPr>
              <w:spacing w:after="0"/>
              <w:rPr>
                <w:sz w:val="14"/>
                <w:szCs w:val="14"/>
                <w:color w:val="auto"/>
              </w:rPr>
            </w:pPr>
          </w:p>
        </w:tc>
        <w:tc>
          <w:tcPr>
            <w:tcW w:w="25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FF0FC"/>
            </w:tcBorders>
          </w:tcPr>
          <w:p>
            <w:pPr>
              <w:spacing w:after="0"/>
              <w:rPr>
                <w:sz w:val="14"/>
                <w:szCs w:val="14"/>
                <w:color w:val="auto"/>
              </w:rPr>
            </w:pPr>
          </w:p>
        </w:tc>
      </w:tr>
      <w:tr>
        <w:trPr>
          <w:trHeight w:val="21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for operating leases</w:t>
            </w:r>
          </w:p>
        </w:tc>
        <w:tc>
          <w:tcPr>
            <w:tcW w:w="2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18,333</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Operating cash flows for financing activities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flows for finance leases</w:t>
            </w: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Right-of-use assets operating leases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249,848</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financing leases</w:t>
            </w:r>
          </w:p>
        </w:tc>
        <w:tc>
          <w:tcPr>
            <w:tcW w:w="2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and other information related to leases as of March 31, 2019 is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Three Months</w:t>
            </w:r>
          </w:p>
        </w:tc>
        <w:tc>
          <w:tcPr>
            <w:tcW w:w="580" w:type="dxa"/>
            <w:vAlign w:val="bottom"/>
          </w:tcPr>
          <w:p>
            <w:pPr>
              <w:spacing w:after="0"/>
              <w:rPr>
                <w:sz w:val="14"/>
                <w:szCs w:val="14"/>
                <w:color w:val="auto"/>
              </w:rPr>
            </w:pPr>
          </w:p>
        </w:tc>
      </w:tr>
      <w:tr>
        <w:trPr>
          <w:trHeight w:val="175"/>
        </w:trPr>
        <w:tc>
          <w:tcPr>
            <w:tcW w:w="5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69"/>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March 31, 2019</w:t>
            </w:r>
          </w:p>
        </w:tc>
        <w:tc>
          <w:tcPr>
            <w:tcW w:w="58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40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920" w:type="dxa"/>
            <w:vAlign w:val="bottom"/>
            <w:gridSpan w:val="2"/>
          </w:tcPr>
          <w:p>
            <w:pPr>
              <w:ind w:left="580"/>
              <w:spacing w:after="0"/>
              <w:rPr>
                <w:sz w:val="20"/>
                <w:szCs w:val="20"/>
                <w:color w:val="auto"/>
              </w:rPr>
            </w:pPr>
            <w:r>
              <w:rPr>
                <w:rFonts w:ascii="Arial" w:cs="Arial" w:eastAsia="Arial" w:hAnsi="Arial"/>
                <w:sz w:val="18"/>
                <w:szCs w:val="18"/>
                <w:color w:val="auto"/>
              </w:rPr>
              <w:t>Right-of-use assets</w:t>
            </w:r>
          </w:p>
        </w:tc>
        <w:tc>
          <w:tcPr>
            <w:tcW w:w="4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216,484</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4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Current</w:t>
            </w:r>
          </w:p>
        </w:tc>
        <w:tc>
          <w:tcPr>
            <w:tcW w:w="4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53,029</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w:t>
            </w:r>
          </w:p>
        </w:tc>
        <w:tc>
          <w:tcPr>
            <w:tcW w:w="40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181,274</w:t>
            </w:r>
          </w:p>
        </w:tc>
        <w:tc>
          <w:tcPr>
            <w:tcW w:w="1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4920" w:type="dxa"/>
            <w:vAlign w:val="bottom"/>
            <w:gridSpan w:val="2"/>
          </w:tcPr>
          <w:p>
            <w:pPr>
              <w:ind w:left="580"/>
              <w:spacing w:after="0"/>
              <w:rPr>
                <w:sz w:val="20"/>
                <w:szCs w:val="20"/>
                <w:color w:val="auto"/>
              </w:rPr>
            </w:pPr>
            <w:r>
              <w:rPr>
                <w:rFonts w:ascii="Arial" w:cs="Arial" w:eastAsia="Arial" w:hAnsi="Arial"/>
                <w:sz w:val="18"/>
                <w:szCs w:val="18"/>
                <w:color w:val="auto"/>
              </w:rPr>
              <w:t>Total operating lease liabilities</w:t>
            </w:r>
          </w:p>
        </w:tc>
        <w:tc>
          <w:tcPr>
            <w:tcW w:w="4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234,303</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40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920" w:type="dxa"/>
            <w:vAlign w:val="bottom"/>
            <w:gridSpan w:val="2"/>
          </w:tcPr>
          <w:p>
            <w:pPr>
              <w:ind w:left="580"/>
              <w:spacing w:after="0"/>
              <w:rPr>
                <w:sz w:val="20"/>
                <w:szCs w:val="20"/>
                <w:color w:val="auto"/>
              </w:rPr>
            </w:pPr>
            <w:r>
              <w:rPr>
                <w:rFonts w:ascii="Arial" w:cs="Arial" w:eastAsia="Arial" w:hAnsi="Arial"/>
                <w:sz w:val="18"/>
                <w:szCs w:val="18"/>
                <w:color w:val="auto"/>
              </w:rPr>
              <w:t>Other noncurrent assets</w:t>
            </w:r>
          </w:p>
        </w:tc>
        <w:tc>
          <w:tcPr>
            <w:tcW w:w="4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1,341</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4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920" w:type="dxa"/>
            <w:vAlign w:val="bottom"/>
            <w:gridSpan w:val="2"/>
          </w:tcPr>
          <w:p>
            <w:pPr>
              <w:ind w:left="580"/>
              <w:spacing w:after="0"/>
              <w:rPr>
                <w:sz w:val="20"/>
                <w:szCs w:val="20"/>
                <w:color w:val="auto"/>
              </w:rPr>
            </w:pPr>
            <w:r>
              <w:rPr>
                <w:rFonts w:ascii="Arial" w:cs="Arial" w:eastAsia="Arial" w:hAnsi="Arial"/>
                <w:sz w:val="18"/>
                <w:szCs w:val="18"/>
                <w:color w:val="auto"/>
              </w:rPr>
              <w:t>Other long-term liabilities</w:t>
            </w:r>
          </w:p>
        </w:tc>
        <w:tc>
          <w:tcPr>
            <w:tcW w:w="4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FF0FC"/>
          </w:tcPr>
          <w:p>
            <w:pPr>
              <w:spacing w:after="0"/>
              <w:rPr>
                <w:sz w:val="18"/>
                <w:szCs w:val="18"/>
                <w:color w:val="auto"/>
              </w:rPr>
            </w:pPr>
          </w:p>
        </w:tc>
        <w:tc>
          <w:tcPr>
            <w:tcW w:w="4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920" w:type="dxa"/>
            <w:vAlign w:val="bottom"/>
            <w:gridSpan w:val="2"/>
          </w:tcPr>
          <w:p>
            <w:pPr>
              <w:ind w:left="580"/>
              <w:spacing w:after="0"/>
              <w:rPr>
                <w:sz w:val="20"/>
                <w:szCs w:val="20"/>
                <w:color w:val="auto"/>
              </w:rPr>
            </w:pPr>
            <w:r>
              <w:rPr>
                <w:rFonts w:ascii="Arial" w:cs="Arial" w:eastAsia="Arial" w:hAnsi="Arial"/>
                <w:sz w:val="18"/>
                <w:szCs w:val="18"/>
                <w:color w:val="auto"/>
              </w:rPr>
              <w:t>Weighted Average Remaining Lease Term:</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4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 years</w:t>
            </w:r>
          </w:p>
        </w:tc>
        <w:tc>
          <w:tcPr>
            <w:tcW w:w="580" w:type="dxa"/>
            <w:vAlign w:val="bottom"/>
          </w:tcPr>
          <w:p>
            <w:pPr>
              <w:spacing w:after="0"/>
              <w:rPr>
                <w:sz w:val="18"/>
                <w:szCs w:val="18"/>
                <w:color w:val="auto"/>
              </w:rPr>
            </w:pPr>
          </w:p>
        </w:tc>
      </w:tr>
      <w:tr>
        <w:trPr>
          <w:trHeight w:val="216"/>
        </w:trPr>
        <w:tc>
          <w:tcPr>
            <w:tcW w:w="4920" w:type="dxa"/>
            <w:vAlign w:val="bottom"/>
            <w:gridSpan w:val="2"/>
          </w:tcPr>
          <w:p>
            <w:pPr>
              <w:ind w:left="580"/>
              <w:spacing w:after="0"/>
              <w:rPr>
                <w:sz w:val="20"/>
                <w:szCs w:val="20"/>
                <w:color w:val="auto"/>
              </w:rPr>
            </w:pPr>
            <w:r>
              <w:rPr>
                <w:rFonts w:ascii="Arial" w:cs="Arial" w:eastAsia="Arial" w:hAnsi="Arial"/>
                <w:sz w:val="18"/>
                <w:szCs w:val="18"/>
                <w:color w:val="auto"/>
              </w:rPr>
              <w:t>Finance leases</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 years</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4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920" w:type="dxa"/>
            <w:vAlign w:val="bottom"/>
            <w:gridSpan w:val="2"/>
          </w:tcPr>
          <w:p>
            <w:pPr>
              <w:ind w:left="580"/>
              <w:spacing w:after="0"/>
              <w:rPr>
                <w:sz w:val="20"/>
                <w:szCs w:val="20"/>
                <w:color w:val="auto"/>
              </w:rPr>
            </w:pPr>
            <w:r>
              <w:rPr>
                <w:rFonts w:ascii="Arial" w:cs="Arial" w:eastAsia="Arial" w:hAnsi="Arial"/>
                <w:sz w:val="18"/>
                <w:szCs w:val="18"/>
                <w:color w:val="auto"/>
              </w:rPr>
              <w:t>Operating leases</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4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18"/>
                <w:szCs w:val="18"/>
                <w:color w:val="auto"/>
              </w:rPr>
            </w:pPr>
          </w:p>
        </w:tc>
      </w:tr>
      <w:tr>
        <w:trPr>
          <w:trHeight w:val="675"/>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20" w:type="dxa"/>
            <w:vAlign w:val="bottom"/>
          </w:tcPr>
          <w:p>
            <w:pPr>
              <w:jc w:val="right"/>
              <w:ind w:right="303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340" w:type="dxa"/>
            <w:vAlign w:val="bottom"/>
            <w:tcBorders>
              <w:bottom w:val="single" w:sz="8" w:color="9A9A9A"/>
            </w:tcBorders>
          </w:tcPr>
          <w:p>
            <w:pPr>
              <w:spacing w:after="0"/>
              <w:rPr>
                <w:sz w:val="8"/>
                <w:szCs w:val="8"/>
                <w:color w:val="auto"/>
              </w:rPr>
            </w:pPr>
          </w:p>
        </w:tc>
        <w:tc>
          <w:tcPr>
            <w:tcW w:w="40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15" w:name="page16"/>
    <w:bookmarkEnd w:id="15"/>
    <w:p>
      <w:pPr>
        <w:ind w:right="100" w:firstLine="647"/>
        <w:spacing w:after="0" w:line="246" w:lineRule="auto"/>
        <w:rPr>
          <w:sz w:val="20"/>
          <w:szCs w:val="20"/>
          <w:color w:val="auto"/>
        </w:rPr>
      </w:pPr>
      <w:r>
        <w:rPr>
          <w:rFonts w:ascii="Arial" w:cs="Arial" w:eastAsia="Arial" w:hAnsi="Arial"/>
          <w:sz w:val="18"/>
          <w:szCs w:val="18"/>
          <w:color w:val="auto"/>
        </w:rPr>
        <w:t>As of March 31, 2019, the Company has additional operating leases, primarily for office spaces, that have not yet commenced of $6.2 million. These operating leases will commence in 2019 with lease terms of 4 years to 6 years.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rPr>
          <w:sz w:val="20"/>
          <w:szCs w:val="20"/>
          <w:color w:val="auto"/>
        </w:rPr>
      </w:pPr>
      <w:r>
        <w:rPr>
          <w:rFonts w:ascii="Arial" w:cs="Arial" w:eastAsia="Arial" w:hAnsi="Arial"/>
          <w:sz w:val="18"/>
          <w:szCs w:val="18"/>
          <w:color w:val="auto"/>
        </w:rPr>
        <w:t>March 31, 2019 is as follows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80" w:type="dxa"/>
            <w:vAlign w:val="bottom"/>
            <w:tcBorders>
              <w:bottom w:val="single" w:sz="8" w:color="CFF0FC"/>
            </w:tcBorders>
          </w:tcPr>
          <w:p>
            <w:pPr>
              <w:spacing w:after="0"/>
              <w:rPr>
                <w:sz w:val="15"/>
                <w:szCs w:val="15"/>
                <w:color w:val="auto"/>
              </w:rPr>
            </w:pPr>
          </w:p>
        </w:tc>
        <w:tc>
          <w:tcPr>
            <w:tcW w:w="20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Finance Leases</w:t>
            </w:r>
          </w:p>
        </w:tc>
        <w:tc>
          <w:tcPr>
            <w:tcW w:w="120" w:type="dxa"/>
            <w:vAlign w:val="bottom"/>
            <w:tcBorders>
              <w:bottom w:val="single" w:sz="8" w:color="CFF0FC"/>
            </w:tcBorders>
          </w:tcPr>
          <w:p>
            <w:pPr>
              <w:spacing w:after="0"/>
              <w:rPr>
                <w:sz w:val="15"/>
                <w:szCs w:val="15"/>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47,084</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2020</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51,139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8"/>
                <w:szCs w:val="18"/>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44,062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2022</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37,987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30,997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53,870</w:t>
            </w: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265,139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Less: imputed interest</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(30,836)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0"/>
        </w:trPr>
        <w:tc>
          <w:tcPr>
            <w:tcW w:w="4980" w:type="dxa"/>
            <w:vAlign w:val="bottom"/>
            <w:shd w:val="clear" w:color="auto" w:fill="CFF0FC"/>
          </w:tcPr>
          <w:p>
            <w:pPr>
              <w:spacing w:after="0" w:line="20" w:lineRule="exact"/>
              <w:rPr>
                <w:sz w:val="1"/>
                <w:szCs w:val="1"/>
                <w:color w:val="auto"/>
              </w:rPr>
            </w:pPr>
          </w:p>
        </w:tc>
        <w:tc>
          <w:tcPr>
            <w:tcW w:w="20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Total present value of lease liabilities</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234,303</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120" w:type="dxa"/>
            <w:vAlign w:val="bottom"/>
            <w:shd w:val="clear" w:color="auto" w:fill="CFF0FC"/>
          </w:tcPr>
          <w:p>
            <w:pPr>
              <w:spacing w:after="0"/>
              <w:rPr>
                <w:sz w:val="18"/>
                <w:szCs w:val="18"/>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both"/>
        <w:ind w:right="40" w:firstLine="647"/>
        <w:spacing w:after="0"/>
        <w:rPr>
          <w:sz w:val="20"/>
          <w:szCs w:val="20"/>
          <w:color w:val="auto"/>
        </w:rPr>
      </w:pPr>
      <w:r>
        <w:rPr>
          <w:rFonts w:ascii="Arial" w:cs="Arial" w:eastAsia="Arial" w:hAnsi="Arial"/>
          <w:sz w:val="18"/>
          <w:szCs w:val="18"/>
          <w:color w:val="auto"/>
        </w:rPr>
        <w:t>As of December 31, 2018, $276.7 million of minimum rental commitments on operating leases was payable as follows: $67.9 million in 2019, $51.0 million in 2020, $42.5 million in 2021, $ 35.9 million in 2022, $29.4 million in 2023, and $50.0 million thereafter. Rental expense for the three months ended March 30, 2018 was $18.2 million.</w:t>
      </w:r>
    </w:p>
    <w:p>
      <w:pPr>
        <w:spacing w:after="0" w:line="200" w:lineRule="exact"/>
        <w:rPr>
          <w:sz w:val="20"/>
          <w:szCs w:val="20"/>
          <w:color w:val="auto"/>
        </w:rPr>
      </w:pPr>
    </w:p>
    <w:p>
      <w:pPr>
        <w:spacing w:after="0" w:line="33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3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net consisted of the following as of December 31, 2018 and March 31, 2019 (in thousands):</w:t>
      </w: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780" w:type="dxa"/>
            <w:vAlign w:val="bottom"/>
            <w:tcBorders>
              <w:bottom w:val="single" w:sz="8" w:color="CFF0FC"/>
            </w:tcBorders>
          </w:tcPr>
          <w:p>
            <w:pPr>
              <w:spacing w:after="0"/>
              <w:rPr>
                <w:sz w:val="17"/>
                <w:szCs w:val="17"/>
                <w:color w:val="auto"/>
              </w:rPr>
            </w:pPr>
          </w:p>
        </w:tc>
        <w:tc>
          <w:tcPr>
            <w:tcW w:w="20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7"/>
                <w:szCs w:val="17"/>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Billed</w:t>
            </w:r>
          </w:p>
        </w:tc>
        <w:tc>
          <w:tcPr>
            <w:tcW w:w="2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538,808</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534,288</w:t>
            </w:r>
          </w:p>
        </w:tc>
        <w:tc>
          <w:tcPr>
            <w:tcW w:w="120" w:type="dxa"/>
            <w:vAlign w:val="bottom"/>
            <w:shd w:val="clear" w:color="auto" w:fill="CFF0FC"/>
          </w:tcPr>
          <w:p>
            <w:pPr>
              <w:spacing w:after="0"/>
              <w:rPr>
                <w:sz w:val="18"/>
                <w:szCs w:val="18"/>
                <w:color w:val="auto"/>
              </w:rPr>
            </w:pPr>
          </w:p>
        </w:tc>
      </w:tr>
      <w:tr>
        <w:trPr>
          <w:trHeight w:val="216"/>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Unbilled</w:t>
            </w:r>
          </w:p>
        </w:tc>
        <w:tc>
          <w:tcPr>
            <w:tcW w:w="20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135,180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164,034</w:t>
            </w:r>
          </w:p>
        </w:tc>
        <w:tc>
          <w:tcPr>
            <w:tcW w:w="120" w:type="dxa"/>
            <w:vAlign w:val="bottom"/>
            <w:tcBorders>
              <w:bottom w:val="single" w:sz="8" w:color="CFF0FC"/>
            </w:tcBorders>
          </w:tcPr>
          <w:p>
            <w:pPr>
              <w:spacing w:after="0"/>
              <w:rPr>
                <w:sz w:val="18"/>
                <w:szCs w:val="18"/>
                <w:color w:val="auto"/>
              </w:rPr>
            </w:pPr>
          </w:p>
        </w:tc>
      </w:tr>
      <w:tr>
        <w:trPr>
          <w:trHeight w:val="210"/>
        </w:trPr>
        <w:tc>
          <w:tcPr>
            <w:tcW w:w="47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gross</w:t>
            </w:r>
          </w:p>
        </w:tc>
        <w:tc>
          <w:tcPr>
            <w:tcW w:w="2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673,988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698,322</w:t>
            </w:r>
          </w:p>
        </w:tc>
        <w:tc>
          <w:tcPr>
            <w:tcW w:w="12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(50,702)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(46,398)</w:t>
            </w:r>
          </w:p>
        </w:tc>
      </w:tr>
      <w:tr>
        <w:trPr>
          <w:trHeight w:val="20"/>
        </w:trPr>
        <w:tc>
          <w:tcPr>
            <w:tcW w:w="4780" w:type="dxa"/>
            <w:vAlign w:val="bottom"/>
            <w:shd w:val="clear" w:color="auto" w:fill="CFF0FC"/>
          </w:tcPr>
          <w:p>
            <w:pPr>
              <w:spacing w:after="0" w:line="20" w:lineRule="exact"/>
              <w:rPr>
                <w:sz w:val="1"/>
                <w:szCs w:val="1"/>
                <w:color w:val="auto"/>
              </w:rPr>
            </w:pPr>
          </w:p>
        </w:tc>
        <w:tc>
          <w:tcPr>
            <w:tcW w:w="20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7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net</w:t>
            </w:r>
          </w:p>
        </w:tc>
        <w:tc>
          <w:tcPr>
            <w:tcW w:w="2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623,286</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651,924</w:t>
            </w:r>
          </w:p>
        </w:tc>
        <w:tc>
          <w:tcPr>
            <w:tcW w:w="120" w:type="dxa"/>
            <w:vAlign w:val="bottom"/>
            <w:shd w:val="clear" w:color="auto" w:fill="CFF0FC"/>
          </w:tcPr>
          <w:p>
            <w:pPr>
              <w:spacing w:after="0"/>
              <w:rPr>
                <w:sz w:val="18"/>
                <w:szCs w:val="18"/>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140" w:firstLine="647"/>
        <w:spacing w:after="0" w:line="237" w:lineRule="auto"/>
        <w:rPr>
          <w:sz w:val="20"/>
          <w:szCs w:val="20"/>
          <w:color w:val="auto"/>
        </w:rPr>
      </w:pPr>
      <w:r>
        <w:rPr>
          <w:rFonts w:ascii="Arial" w:cs="Arial" w:eastAsia="Arial" w:hAnsi="Arial"/>
          <w:sz w:val="18"/>
          <w:szCs w:val="18"/>
          <w:color w:val="auto"/>
        </w:rPr>
        <w:t>Billed accounts receivable represent amounts billed to clients that have not been collected. Unbilled accounts receivable represent revenue recognized but not yet billed pursuant to contract terms or billed after the period-end date. Substantially all unbilled receivables as of March 31, 2019 are expected to be billed and collected within 12 months. Unbilled accounts receivable at December 31, 2018 and March 31, 2019 include approximately $47.1 million and $49.4 million, respectively, related to unapproved change orders, claims, and requests for equitable adjustment. The Company regularly evaluates these amounts and records adjustments to operating income when recoverability is deemed to have changed. For the periods ended December 31, 2018 and March 31, 2019, no material losses were recognized related to the collectability of claims, unapproved change orders, and requests for equitable adjustment.</w:t>
      </w:r>
    </w:p>
    <w:p>
      <w:pPr>
        <w:spacing w:after="0" w:line="203" w:lineRule="exact"/>
        <w:rPr>
          <w:sz w:val="20"/>
          <w:szCs w:val="20"/>
          <w:color w:val="auto"/>
        </w:rPr>
      </w:pPr>
    </w:p>
    <w:p>
      <w:pPr>
        <w:ind w:firstLine="647"/>
        <w:spacing w:after="0"/>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16" w:name="page17"/>
    <w:bookmarkEnd w:id="16"/>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the carrying value of goodwill by reporting segment at December 31, 2018 and</w:t>
      </w:r>
    </w:p>
    <w:p>
      <w:pPr>
        <w:spacing w:after="0"/>
        <w:rPr>
          <w:sz w:val="20"/>
          <w:szCs w:val="20"/>
          <w:color w:val="auto"/>
        </w:rPr>
      </w:pPr>
      <w:r>
        <w:rPr>
          <w:rFonts w:ascii="Arial" w:cs="Arial" w:eastAsia="Arial" w:hAnsi="Arial"/>
          <w:sz w:val="18"/>
          <w:szCs w:val="18"/>
          <w:color w:val="auto"/>
        </w:rPr>
        <w:t>March 31, 2019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Foreign</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800" w:type="dxa"/>
            <w:vAlign w:val="bottom"/>
            <w:tcBorders>
              <w:bottom w:val="single" w:sz="8" w:color="CFF0FC"/>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Acquisitions</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Exchange</w:t>
            </w:r>
          </w:p>
        </w:tc>
        <w:tc>
          <w:tcPr>
            <w:tcW w:w="22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FF0FC"/>
            </w:tcBorders>
          </w:tcPr>
          <w:p>
            <w:pPr>
              <w:spacing w:after="0"/>
              <w:rPr>
                <w:sz w:val="15"/>
                <w:szCs w:val="15"/>
                <w:color w:val="auto"/>
              </w:rPr>
            </w:pPr>
          </w:p>
        </w:tc>
      </w:tr>
      <w:tr>
        <w:trPr>
          <w:trHeight w:val="21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666,841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183,500</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850,341</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70,097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70,756</w:t>
            </w:r>
          </w:p>
        </w:tc>
        <w:tc>
          <w:tcPr>
            <w:tcW w:w="100" w:type="dxa"/>
            <w:vAlign w:val="bottom"/>
            <w:tcBorders>
              <w:bottom w:val="single" w:sz="8" w:color="CFF0FC"/>
            </w:tcBorders>
          </w:tcPr>
          <w:p>
            <w:pPr>
              <w:spacing w:after="0"/>
              <w:rPr>
                <w:sz w:val="18"/>
                <w:szCs w:val="18"/>
                <w:color w:val="auto"/>
              </w:rPr>
            </w:pPr>
          </w:p>
        </w:tc>
      </w:tr>
      <w:tr>
        <w:trPr>
          <w:trHeight w:val="210"/>
        </w:trPr>
        <w:tc>
          <w:tcPr>
            <w:tcW w:w="5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736,938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183,500</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921,097</w:t>
            </w:r>
          </w:p>
        </w:tc>
        <w:tc>
          <w:tcPr>
            <w:tcW w:w="100" w:type="dxa"/>
            <w:vAlign w:val="bottom"/>
            <w:shd w:val="clear" w:color="auto" w:fill="CFF0FC"/>
          </w:tcPr>
          <w:p>
            <w:pPr>
              <w:spacing w:after="0"/>
              <w:rPr>
                <w:sz w:val="18"/>
                <w:szCs w:val="18"/>
                <w:color w:val="auto"/>
              </w:rPr>
            </w:pPr>
          </w:p>
        </w:tc>
      </w:tr>
      <w:tr>
        <w:trPr>
          <w:trHeight w:val="20"/>
        </w:trPr>
        <w:tc>
          <w:tcPr>
            <w:tcW w:w="58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28"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6" w:lineRule="exact"/>
        <w:rPr>
          <w:sz w:val="20"/>
          <w:szCs w:val="20"/>
          <w:color w:val="auto"/>
        </w:rPr>
      </w:pPr>
    </w:p>
    <w:p>
      <w:pPr>
        <w:ind w:right="220" w:firstLine="647"/>
        <w:spacing w:after="0" w:line="246"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were as follows (in thousands except for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r>
      <w:tr>
        <w:trPr>
          <w:trHeight w:val="175"/>
        </w:trPr>
        <w:tc>
          <w:tcPr>
            <w:tcW w:w="3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r>
      <w:tr>
        <w:trPr>
          <w:trHeight w:val="156"/>
        </w:trPr>
        <w:tc>
          <w:tcPr>
            <w:tcW w:w="3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w w:val="97"/>
              </w:rPr>
              <w:t>Net</w:t>
            </w:r>
          </w:p>
        </w:tc>
        <w:tc>
          <w:tcPr>
            <w:tcW w:w="8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54"/>
              <w:spacing w:after="0" w:line="156" w:lineRule="exact"/>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3"/>
                <w:szCs w:val="13"/>
                <w:color w:val="auto"/>
              </w:rPr>
            </w:pPr>
          </w:p>
        </w:tc>
        <w:tc>
          <w:tcPr>
            <w:tcW w:w="100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rPr>
              <w:t>Amortization</w:t>
            </w:r>
          </w:p>
        </w:tc>
      </w:tr>
      <w:tr>
        <w:trPr>
          <w:trHeight w:val="162"/>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Carrying</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Period</w:t>
            </w:r>
          </w:p>
        </w:tc>
      </w:tr>
      <w:tr>
        <w:trPr>
          <w:trHeight w:val="175"/>
        </w:trPr>
        <w:tc>
          <w:tcPr>
            <w:tcW w:w="39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(in years)</w:t>
            </w:r>
          </w:p>
        </w:tc>
        <w:tc>
          <w:tcPr>
            <w:tcW w:w="100" w:type="dxa"/>
            <w:vAlign w:val="bottom"/>
            <w:tcBorders>
              <w:bottom w:val="single" w:sz="8" w:color="CFF0FC"/>
            </w:tcBorders>
          </w:tcPr>
          <w:p>
            <w:pPr>
              <w:spacing w:after="0"/>
              <w:rPr>
                <w:sz w:val="15"/>
                <w:szCs w:val="15"/>
                <w:color w:val="auto"/>
              </w:rPr>
            </w:pPr>
          </w:p>
        </w:tc>
      </w:tr>
      <w:tr>
        <w:trPr>
          <w:trHeight w:val="21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Backlog</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80,754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(58,295)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22,459</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$ 108,454</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(65,636)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42,818</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121,629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(38,974)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82,655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178,729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(45,839)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132,890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Leases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87,839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(15,174)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72,665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89,139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(20,736)</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68,403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(2,992)</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Non compete agreements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980" w:type="dxa"/>
            <w:vAlign w:val="bottom"/>
          </w:tcPr>
          <w:p>
            <w:pPr>
              <w:ind w:left="260"/>
              <w:spacing w:after="0"/>
              <w:rPr>
                <w:sz w:val="20"/>
                <w:szCs w:val="20"/>
                <w:color w:val="auto"/>
              </w:rPr>
            </w:pPr>
            <w:r>
              <w:rPr>
                <w:rFonts w:ascii="Arial" w:cs="Arial" w:eastAsia="Arial" w:hAnsi="Arial"/>
                <w:sz w:val="18"/>
                <w:szCs w:val="18"/>
                <w:color w:val="auto"/>
              </w:rPr>
              <w:t>Total intangible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294,767</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(115,249)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179,518</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$ 387,067</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(136,119)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250,948</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460" w:firstLine="647"/>
        <w:spacing w:after="0" w:line="246" w:lineRule="auto"/>
        <w:rPr>
          <w:sz w:val="20"/>
          <w:szCs w:val="20"/>
          <w:color w:val="auto"/>
        </w:rPr>
      </w:pPr>
      <w:r>
        <w:rPr>
          <w:rFonts w:ascii="Arial" w:cs="Arial" w:eastAsia="Arial" w:hAnsi="Arial"/>
          <w:sz w:val="18"/>
          <w:szCs w:val="18"/>
          <w:color w:val="auto"/>
        </w:rPr>
        <w:t>The aggregate amortization expense of intangible assets was $1.8 million and $20.9 million for the three months ended March 30, 2018 and March 31, 2019, respectively.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amortization expense in each of the next five years and beyond is as follows (in thousands):</w:t>
      </w: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700" w:type="dxa"/>
            <w:vAlign w:val="bottom"/>
            <w:tcBorders>
              <w:bottom w:val="single" w:sz="8" w:color="CFF0FC"/>
            </w:tcBorders>
          </w:tcPr>
          <w:p>
            <w:pPr>
              <w:spacing w:after="0"/>
              <w:rPr>
                <w:sz w:val="17"/>
                <w:szCs w:val="17"/>
                <w:color w:val="auto"/>
              </w:rPr>
            </w:pPr>
          </w:p>
        </w:tc>
        <w:tc>
          <w:tcPr>
            <w:tcW w:w="334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7"/>
                <w:szCs w:val="17"/>
                <w:color w:val="auto"/>
              </w:rPr>
            </w:pP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2019 (remaining)</w:t>
            </w:r>
          </w:p>
        </w:tc>
        <w:tc>
          <w:tcPr>
            <w:tcW w:w="3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61,883</w:t>
            </w: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2020</w:t>
            </w: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72,542</w:t>
            </w:r>
          </w:p>
        </w:tc>
        <w:tc>
          <w:tcPr>
            <w:tcW w:w="120" w:type="dxa"/>
            <w:vAlign w:val="bottom"/>
          </w:tcPr>
          <w:p>
            <w:pPr>
              <w:spacing w:after="0"/>
              <w:rPr>
                <w:sz w:val="18"/>
                <w:szCs w:val="18"/>
                <w:color w:val="auto"/>
              </w:rPr>
            </w:pP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68,401</w:t>
            </w: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2022</w:t>
            </w: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25,808</w:t>
            </w:r>
          </w:p>
        </w:tc>
        <w:tc>
          <w:tcPr>
            <w:tcW w:w="120" w:type="dxa"/>
            <w:vAlign w:val="bottom"/>
          </w:tcPr>
          <w:p>
            <w:pPr>
              <w:spacing w:after="0"/>
              <w:rPr>
                <w:sz w:val="18"/>
                <w:szCs w:val="18"/>
                <w:color w:val="auto"/>
              </w:rPr>
            </w:pP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15,999</w:t>
            </w: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3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6,315</w:t>
            </w:r>
          </w:p>
        </w:tc>
        <w:tc>
          <w:tcPr>
            <w:tcW w:w="120" w:type="dxa"/>
            <w:vAlign w:val="bottom"/>
            <w:tcBorders>
              <w:bottom w:val="single" w:sz="8" w:color="CFF0FC"/>
            </w:tcBorders>
          </w:tcPr>
          <w:p>
            <w:pPr>
              <w:spacing w:after="0"/>
              <w:rPr>
                <w:sz w:val="18"/>
                <w:szCs w:val="18"/>
                <w:color w:val="auto"/>
              </w:rPr>
            </w:pPr>
          </w:p>
        </w:tc>
      </w:tr>
      <w:tr>
        <w:trPr>
          <w:trHeight w:val="21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3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250,948</w:t>
            </w:r>
          </w:p>
        </w:tc>
        <w:tc>
          <w:tcPr>
            <w:tcW w:w="120" w:type="dxa"/>
            <w:vAlign w:val="bottom"/>
            <w:shd w:val="clear" w:color="auto" w:fill="CFF0FC"/>
          </w:tcPr>
          <w:p>
            <w:pPr>
              <w:spacing w:after="0"/>
              <w:rPr>
                <w:sz w:val="18"/>
                <w:szCs w:val="18"/>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33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28"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December 31, 2018 and March 31, 2019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right"/>
              <w:ind w:right="376"/>
              <w:spacing w:after="0"/>
              <w:rPr>
                <w:sz w:val="20"/>
                <w:szCs w:val="20"/>
                <w:color w:val="auto"/>
              </w:rPr>
            </w:pPr>
            <w:r>
              <w:rPr>
                <w:rFonts w:ascii="Arial" w:cs="Arial" w:eastAsia="Arial" w:hAnsi="Arial"/>
                <w:sz w:val="14"/>
                <w:szCs w:val="14"/>
                <w:b w:val="1"/>
                <w:bCs w:val="1"/>
                <w:color w:val="auto"/>
              </w:rPr>
              <w:t>Useful lives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tcBorders>
              <w:bottom w:val="single" w:sz="8" w:color="CFF0FC"/>
            </w:tcBorders>
          </w:tcPr>
          <w:p>
            <w:pPr>
              <w:spacing w:after="0"/>
              <w:rPr>
                <w:sz w:val="15"/>
                <w:szCs w:val="15"/>
                <w:color w:val="auto"/>
              </w:rPr>
            </w:pPr>
          </w:p>
        </w:tc>
        <w:tc>
          <w:tcPr>
            <w:tcW w:w="17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Borders>
              <w:bottom w:val="single" w:sz="8" w:color="CFF0FC"/>
            </w:tcBorders>
          </w:tcPr>
          <w:p>
            <w:pPr>
              <w:spacing w:after="0"/>
              <w:rPr>
                <w:sz w:val="15"/>
                <w:szCs w:val="15"/>
                <w:color w:val="auto"/>
              </w:rPr>
            </w:pPr>
          </w:p>
        </w:tc>
        <w:tc>
          <w:tcPr>
            <w:tcW w:w="16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Buildings and leasehold improvements</w:t>
            </w:r>
          </w:p>
        </w:tc>
        <w:tc>
          <w:tcPr>
            <w:tcW w:w="1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54,348</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61,631</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81,705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86,174</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Computer systems and equipment</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148,255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152,558</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Construction equipment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11,832</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(204,533)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(214,896)</w:t>
            </w:r>
          </w:p>
        </w:tc>
        <w:tc>
          <w:tcPr>
            <w:tcW w:w="16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91,849</w:t>
            </w:r>
          </w:p>
        </w:tc>
        <w:tc>
          <w:tcPr>
            <w:tcW w:w="1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97,298</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780" w:type="dxa"/>
            <w:vAlign w:val="bottom"/>
            <w:vMerge w:val="restart"/>
          </w:tcPr>
          <w:p>
            <w:pPr>
              <w:jc w:val="right"/>
              <w:ind w:right="23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36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17" w:name="page18"/>
    <w:bookmarkEnd w:id="17"/>
    <w:p>
      <w:pPr>
        <w:ind w:right="220" w:firstLine="647"/>
        <w:spacing w:after="0" w:line="262" w:lineRule="auto"/>
        <w:rPr>
          <w:sz w:val="20"/>
          <w:szCs w:val="20"/>
          <w:color w:val="auto"/>
        </w:rPr>
      </w:pPr>
      <w:r>
        <w:rPr>
          <w:rFonts w:ascii="Arial" w:cs="Arial" w:eastAsia="Arial" w:hAnsi="Arial"/>
          <w:sz w:val="18"/>
          <w:szCs w:val="18"/>
          <w:color w:val="auto"/>
        </w:rPr>
        <w:t>Depreciation expense of $7.2 million and $9.7 million was recorded for the three months ended March 30, 2018 and March 31, 2019, respectively.</w:t>
      </w:r>
    </w:p>
    <w:p>
      <w:pPr>
        <w:spacing w:after="0" w:line="269"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Sale-Leasebacks</w:t>
      </w:r>
    </w:p>
    <w:p>
      <w:pPr>
        <w:spacing w:after="0" w:line="126" w:lineRule="exact"/>
        <w:rPr>
          <w:sz w:val="20"/>
          <w:szCs w:val="20"/>
          <w:color w:val="auto"/>
        </w:rPr>
      </w:pPr>
    </w:p>
    <w:p>
      <w:pPr>
        <w:ind w:right="40" w:firstLine="647"/>
        <w:spacing w:after="0" w:line="236" w:lineRule="auto"/>
        <w:rPr>
          <w:sz w:val="20"/>
          <w:szCs w:val="20"/>
          <w:color w:val="auto"/>
        </w:rPr>
      </w:pPr>
      <w:r>
        <w:rPr>
          <w:rFonts w:ascii="Arial" w:cs="Arial" w:eastAsia="Arial" w:hAnsi="Arial"/>
          <w:sz w:val="18"/>
          <w:szCs w:val="18"/>
          <w:color w:val="auto"/>
        </w:rPr>
        <w:t>During fiscal 2011, the Company consummated two sale-leaseback transactions associated with the sale of two office buildings from which the Company recognized a total gain in the consolidated statements of income (loss) of approximately $106.7 million and a total deferred gain of approximately $107.8 million. The current and long-term portion of the deferred gain had been recorded in “Accrued expenses and other current liabilities” and “Deferred gain resulting from sale-leaseback transactions” on the consolidated balance sheet at December 31, 2018, respectively, and was being recognized ratably over the minimum lease terms to which they relate, as an offset to rental expense in “Indirect, general and administrative expenses” in the consolidated statements of income. Amortization of the deferred gain was $1.8 million and $0 for the three months ended March 30, 2018 and March 31, 2019, respectively. The deferred gain balance of $53.3 million as of December 31, 2018 was recognized as an adjustment to beginning retained earnings net of a deferred tax asset adjustment of $0.7 million during January 2019 in connection with the adoption of the new leasing standard. Refer to “Note 6 – Leases”.</w:t>
      </w:r>
    </w:p>
    <w:p>
      <w:pPr>
        <w:spacing w:after="0" w:line="29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4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w:t>
            </w:r>
          </w:p>
        </w:tc>
        <w:tc>
          <w:tcPr>
            <w:tcW w:w="2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FF0FC"/>
            </w:tcBorders>
          </w:tcPr>
          <w:p>
            <w:pPr>
              <w:spacing w:after="0"/>
              <w:rPr>
                <w:sz w:val="17"/>
                <w:szCs w:val="17"/>
                <w:color w:val="auto"/>
              </w:rPr>
            </w:pPr>
          </w:p>
        </w:tc>
      </w:tr>
      <w:tr>
        <w:trPr>
          <w:trHeight w:val="210"/>
        </w:trPr>
        <w:tc>
          <w:tcPr>
            <w:tcW w:w="4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Revolving credit facility</w:t>
            </w:r>
          </w:p>
        </w:tc>
        <w:tc>
          <w:tcPr>
            <w:tcW w:w="2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Senior notes</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Debt issuance costs</w:t>
            </w:r>
          </w:p>
        </w:tc>
        <w:tc>
          <w:tcPr>
            <w:tcW w:w="2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(789)</w:t>
            </w:r>
          </w:p>
        </w:tc>
      </w:tr>
      <w:tr>
        <w:trPr>
          <w:trHeight w:val="210"/>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w:t>
            </w:r>
          </w:p>
        </w:tc>
        <w:tc>
          <w:tcPr>
            <w:tcW w:w="2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429,164</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509,211</w:t>
            </w:r>
          </w:p>
        </w:tc>
        <w:tc>
          <w:tcPr>
            <w:tcW w:w="100" w:type="dxa"/>
            <w:vAlign w:val="bottom"/>
            <w:tcBorders>
              <w:bottom w:val="single" w:sz="8" w:color="CFF0FC"/>
            </w:tcBorders>
          </w:tcPr>
          <w:p>
            <w:pPr>
              <w:spacing w:after="0"/>
              <w:rPr>
                <w:sz w:val="18"/>
                <w:szCs w:val="18"/>
                <w:color w:val="auto"/>
              </w:rPr>
            </w:pPr>
          </w:p>
        </w:tc>
      </w:tr>
      <w:tr>
        <w:trPr>
          <w:trHeight w:val="237"/>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Short-Term:</w:t>
            </w:r>
          </w:p>
        </w:tc>
        <w:tc>
          <w:tcPr>
            <w:tcW w:w="2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200" w:type="dxa"/>
            <w:vAlign w:val="bottom"/>
          </w:tcPr>
          <w:p>
            <w:pPr>
              <w:ind w:left="120"/>
              <w:spacing w:after="0"/>
              <w:rPr>
                <w:sz w:val="20"/>
                <w:szCs w:val="20"/>
                <w:color w:val="auto"/>
              </w:rPr>
            </w:pPr>
            <w:r>
              <w:rPr>
                <w:rFonts w:ascii="Arial" w:cs="Arial" w:eastAsia="Arial" w:hAnsi="Arial"/>
                <w:sz w:val="18"/>
                <w:szCs w:val="18"/>
                <w:color w:val="auto"/>
              </w:rPr>
              <w:t>Term Loan</w:t>
            </w:r>
          </w:p>
        </w:tc>
        <w:tc>
          <w:tcPr>
            <w:tcW w:w="2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r>
      <w:tr>
        <w:trPr>
          <w:trHeight w:val="243"/>
        </w:trPr>
        <w:tc>
          <w:tcPr>
            <w:tcW w:w="4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Debt issuance costs</w:t>
            </w:r>
          </w:p>
        </w:tc>
        <w:tc>
          <w:tcPr>
            <w:tcW w:w="2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w:t>
            </w:r>
          </w:p>
        </w:tc>
      </w:tr>
      <w:tr>
        <w:trPr>
          <w:trHeight w:val="237"/>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Short-Term</w:t>
            </w:r>
          </w:p>
        </w:tc>
        <w:tc>
          <w:tcPr>
            <w:tcW w:w="226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149,786</w:t>
            </w:r>
          </w:p>
        </w:tc>
        <w:tc>
          <w:tcPr>
            <w:tcW w:w="100" w:type="dxa"/>
            <w:vAlign w:val="bottom"/>
            <w:tcBorders>
              <w:bottom w:val="single" w:sz="8" w:color="CFF0FC"/>
            </w:tcBorders>
          </w:tcPr>
          <w:p>
            <w:pPr>
              <w:spacing w:after="0"/>
              <w:rPr>
                <w:sz w:val="20"/>
                <w:szCs w:val="20"/>
                <w:color w:val="auto"/>
              </w:rPr>
            </w:pPr>
          </w:p>
        </w:tc>
      </w:tr>
      <w:tr>
        <w:trPr>
          <w:trHeight w:val="237"/>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2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429,164</w:t>
            </w:r>
          </w:p>
        </w:tc>
        <w:tc>
          <w:tcPr>
            <w:tcW w:w="1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658,997</w:t>
            </w:r>
          </w:p>
        </w:tc>
        <w:tc>
          <w:tcPr>
            <w:tcW w:w="100" w:type="dxa"/>
            <w:vAlign w:val="bottom"/>
            <w:shd w:val="clear" w:color="auto" w:fill="CFF0FC"/>
          </w:tcPr>
          <w:p>
            <w:pPr>
              <w:spacing w:after="0"/>
              <w:rPr>
                <w:sz w:val="20"/>
                <w:szCs w:val="20"/>
                <w:color w:val="auto"/>
              </w:rPr>
            </w:pP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2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60" w:firstLine="647"/>
        <w:spacing w:after="0" w:line="236" w:lineRule="auto"/>
        <w:rPr>
          <w:sz w:val="20"/>
          <w:szCs w:val="20"/>
          <w:color w:val="auto"/>
        </w:rPr>
      </w:pPr>
      <w:r>
        <w:rPr>
          <w:rFonts w:ascii="Arial" w:cs="Arial" w:eastAsia="Arial" w:hAnsi="Arial"/>
          <w:sz w:val="18"/>
          <w:szCs w:val="18"/>
          <w:color w:val="auto"/>
        </w:rPr>
        <w:t>In November 2017, the Company entered into an amended and restated Credit Agreement. The Company incurred approximately $2.0 million of costs in connection with this amendment. Under the agreement, the Company’s revolving credit facility was increased from $500 million to $ 550 million and the term of the agreement was extended through November 2022. The borrowings under the Credit Agreement bear interest, at the Company’s option, at either the Base Rate (as defined in the Credit Agreement), plus an applicable margin, or LIBOR plus an applicable margin. The applicable margin for Base Rate loans is a range of 0.125% to 1.00% and the applicable margin for LIBOR loans is a range of 1.125% to 2.00%, both based on the leverage ratio of the Company at the end of each fiscal quarter. The rates at December 31, 2018 and March 31, 2019 were 4.253% and 4.267%, respectively. Borrowings under this Credit Agreement are guaranteed by certain of the Company’s operating subsidiaries. Letters of credit commitments outstanding under this agreement aggregated approximately $49.8 million and $48.8 million at December 31, 2018 and March 31, 2019, respectively, which reduced borrowing limits available to the Company. Interest expense related to the credit agreement was $3.4 million for the three months ended March 31, 2019. There were no amounts outstanding during the three months ended March 30, 2018.</w:t>
      </w:r>
    </w:p>
    <w:p>
      <w:pPr>
        <w:spacing w:after="0" w:line="206" w:lineRule="exact"/>
        <w:rPr>
          <w:sz w:val="20"/>
          <w:szCs w:val="20"/>
          <w:color w:val="auto"/>
        </w:rPr>
      </w:pPr>
    </w:p>
    <w:p>
      <w:pPr>
        <w:ind w:right="320" w:firstLine="647"/>
        <w:spacing w:after="0" w:line="246" w:lineRule="auto"/>
        <w:rPr>
          <w:sz w:val="20"/>
          <w:szCs w:val="20"/>
          <w:color w:val="auto"/>
        </w:rPr>
      </w:pPr>
      <w:r>
        <w:rPr>
          <w:rFonts w:ascii="Arial" w:cs="Arial" w:eastAsia="Arial" w:hAnsi="Arial"/>
          <w:sz w:val="18"/>
          <w:szCs w:val="18"/>
          <w:color w:val="auto"/>
        </w:rPr>
        <w:t>On July 1, 2014, the Company finalized a private placement whereby the Company raised an aggregate amount of $250.0 million in debt repayable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Tranche</w:t>
            </w:r>
          </w:p>
        </w:tc>
        <w:tc>
          <w:tcPr>
            <w:tcW w:w="3120" w:type="dxa"/>
            <w:vAlign w:val="bottom"/>
            <w:tcBorders>
              <w:bottom w:val="single" w:sz="8" w:color="CFF0FC"/>
            </w:tcBorders>
          </w:tcPr>
          <w:p>
            <w:pPr>
              <w:spacing w:after="0"/>
              <w:rPr>
                <w:sz w:val="14"/>
                <w:szCs w:val="14"/>
                <w:color w:val="auto"/>
              </w:rPr>
            </w:pPr>
          </w:p>
        </w:tc>
        <w:tc>
          <w:tcPr>
            <w:tcW w:w="24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Debt Amount</w:t>
            </w:r>
          </w:p>
        </w:tc>
        <w:tc>
          <w:tcPr>
            <w:tcW w:w="260" w:type="dxa"/>
            <w:vAlign w:val="bottom"/>
            <w:tcBorders>
              <w:bottom w:val="single" w:sz="8" w:color="CFF0FC"/>
            </w:tcBorders>
          </w:tcPr>
          <w:p>
            <w:pPr>
              <w:spacing w:after="0"/>
              <w:rPr>
                <w:sz w:val="14"/>
                <w:szCs w:val="14"/>
                <w:color w:val="auto"/>
              </w:rPr>
            </w:pPr>
          </w:p>
        </w:tc>
        <w:tc>
          <w:tcPr>
            <w:tcW w:w="17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Interest Rates</w:t>
            </w:r>
          </w:p>
        </w:tc>
        <w:tc>
          <w:tcPr>
            <w:tcW w:w="1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 Series A</w:t>
            </w:r>
          </w:p>
        </w:tc>
        <w:tc>
          <w:tcPr>
            <w:tcW w:w="2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July 15, 2021</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Senior Note, Series B</w:t>
            </w: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880" w:type="dxa"/>
            <w:vAlign w:val="bottom"/>
            <w:gridSpan w:val="2"/>
          </w:tcPr>
          <w:p>
            <w:pPr>
              <w:ind w:left="640"/>
              <w:spacing w:after="0"/>
              <w:rPr>
                <w:sz w:val="20"/>
                <w:szCs w:val="20"/>
                <w:color w:val="auto"/>
              </w:rPr>
            </w:pPr>
            <w:r>
              <w:rPr>
                <w:rFonts w:ascii="Arial" w:cs="Arial" w:eastAsia="Arial" w:hAnsi="Arial"/>
                <w:sz w:val="18"/>
                <w:szCs w:val="18"/>
                <w:color w:val="auto"/>
              </w:rPr>
              <w:t>July 15, 2024</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8"/>
                <w:szCs w:val="18"/>
                <w:color w:val="auto"/>
              </w:rPr>
            </w:pPr>
          </w:p>
        </w:tc>
      </w:tr>
      <w:tr>
        <w:trPr>
          <w:trHeight w:val="216"/>
        </w:trPr>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 Series C</w:t>
            </w:r>
          </w:p>
        </w:tc>
        <w:tc>
          <w:tcPr>
            <w:tcW w:w="2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July 15, 2026</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Senior Note, Series D</w:t>
            </w:r>
          </w:p>
        </w:tc>
        <w:tc>
          <w:tcPr>
            <w:tcW w:w="2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19"/>
                <w:szCs w:val="19"/>
                <w:color w:val="auto"/>
              </w:rPr>
            </w:pPr>
          </w:p>
        </w:tc>
        <w:tc>
          <w:tcPr>
            <w:tcW w:w="1880" w:type="dxa"/>
            <w:vAlign w:val="bottom"/>
            <w:gridSpan w:val="2"/>
          </w:tcPr>
          <w:p>
            <w:pPr>
              <w:ind w:left="640"/>
              <w:spacing w:after="0"/>
              <w:rPr>
                <w:sz w:val="20"/>
                <w:szCs w:val="20"/>
                <w:color w:val="auto"/>
              </w:rPr>
            </w:pPr>
            <w:r>
              <w:rPr>
                <w:rFonts w:ascii="Arial" w:cs="Arial" w:eastAsia="Arial" w:hAnsi="Arial"/>
                <w:sz w:val="18"/>
                <w:szCs w:val="18"/>
                <w:color w:val="auto"/>
              </w:rPr>
              <w:t>July 15, 2029</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19"/>
                <w:szCs w:val="19"/>
                <w:color w:val="auto"/>
              </w:rPr>
            </w:pPr>
          </w:p>
        </w:tc>
      </w:tr>
      <w:tr>
        <w:trPr>
          <w:trHeight w:val="662"/>
        </w:trPr>
        <w:tc>
          <w:tcPr>
            <w:tcW w:w="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560" w:type="dxa"/>
            <w:vAlign w:val="bottom"/>
            <w:tcBorders>
              <w:bottom w:val="single" w:sz="8" w:color="9A9A9A"/>
            </w:tcBorders>
          </w:tcPr>
          <w:p>
            <w:pPr>
              <w:spacing w:after="0"/>
              <w:rPr>
                <w:sz w:val="8"/>
                <w:szCs w:val="8"/>
                <w:color w:val="auto"/>
              </w:rPr>
            </w:pPr>
          </w:p>
        </w:tc>
        <w:tc>
          <w:tcPr>
            <w:tcW w:w="312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25" w:right="219" w:bottom="1440" w:gutter="0" w:footer="0" w:header="0"/>
        </w:sectPr>
      </w:pPr>
    </w:p>
    <w:bookmarkStart w:id="18" w:name="page19"/>
    <w:bookmarkEnd w:id="18"/>
    <w:p>
      <w:pPr>
        <w:ind w:right="240" w:firstLine="647"/>
        <w:spacing w:after="0" w:line="234" w:lineRule="auto"/>
        <w:rPr>
          <w:sz w:val="20"/>
          <w:szCs w:val="20"/>
          <w:color w:val="auto"/>
        </w:rPr>
      </w:pPr>
      <w:r>
        <w:rPr>
          <w:rFonts w:ascii="Arial" w:cs="Arial" w:eastAsia="Arial" w:hAnsi="Arial"/>
          <w:sz w:val="18"/>
          <w:szCs w:val="18"/>
          <w:color w:val="auto"/>
        </w:rPr>
        <w:t>The Company incurred approximately $1.1 million of debt issuance costs in connection with the private placement. On August 10, 2018, the Company finalized an amended and restated intercreditor agreement related to this private placement to more closely align certain covenants and definitions with the terms under the 2017 amended and restated Credit Agreement and incurred approximately $0.5 million of additional issuance costs. These costs are presented as a direct deduction from the debt on the face of the consolidated balance</w:t>
      </w:r>
    </w:p>
    <w:p>
      <w:pPr>
        <w:spacing w:after="0" w:line="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sheets. Interest expense related to the Senior Notes approximated $3.1 million and $3.1 million for the periods ended March 30, 2018 and March 31, 2019, respectively. The amortization of debt issuance costs and interest expense are recorded in “Interest expense” on the consolidated statements of income. The Company made interest payments related to the Senior Notes of approximately $6.2 million and $6.2 million during the periods ended March 30, 2018 and March 31, 2019. Interest payable of approximately $5.7 million and $2.6 million is recorded in “Accrued expenses and other current liabilities” on the consolidated balance sheets at December 31, 2018 and March 31, 2019, respectively, related to the Senior Notes.</w:t>
      </w:r>
    </w:p>
    <w:p>
      <w:pPr>
        <w:spacing w:after="0" w:line="205" w:lineRule="exact"/>
        <w:rPr>
          <w:sz w:val="20"/>
          <w:szCs w:val="20"/>
          <w:color w:val="auto"/>
        </w:rPr>
      </w:pPr>
    </w:p>
    <w:p>
      <w:pPr>
        <w:ind w:right="60" w:firstLine="647"/>
        <w:spacing w:after="0"/>
        <w:rPr>
          <w:sz w:val="20"/>
          <w:szCs w:val="20"/>
          <w:color w:val="auto"/>
        </w:rPr>
      </w:pPr>
      <w:r>
        <w:rPr>
          <w:rFonts w:ascii="Arial" w:cs="Arial" w:eastAsia="Arial" w:hAnsi="Arial"/>
          <w:sz w:val="18"/>
          <w:szCs w:val="18"/>
          <w:color w:val="auto"/>
        </w:rPr>
        <w:t>The Credit Agreement and private placement includes various covenants, including restrictions on indebtedness, liens, acquisitions, investments or dispositions, payment of dividends and maintenance of certain financial ratios and conditions. The Company was in compliance with these covenants at December 31, 2018 and March 31, 2019.</w:t>
      </w:r>
    </w:p>
    <w:p>
      <w:pPr>
        <w:spacing w:after="0" w:line="203" w:lineRule="exact"/>
        <w:rPr>
          <w:sz w:val="20"/>
          <w:szCs w:val="20"/>
          <w:color w:val="auto"/>
        </w:rPr>
      </w:pPr>
    </w:p>
    <w:p>
      <w:pPr>
        <w:ind w:right="100" w:firstLine="647"/>
        <w:spacing w:after="0"/>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approximately $223.0 million and $227.7 million at December 31, 2018 and March 31, 2019, respectively.</w:t>
      </w:r>
    </w:p>
    <w:p>
      <w:pPr>
        <w:spacing w:after="0" w:line="203" w:lineRule="exact"/>
        <w:rPr>
          <w:sz w:val="20"/>
          <w:szCs w:val="20"/>
          <w:color w:val="auto"/>
        </w:rPr>
      </w:pPr>
    </w:p>
    <w:p>
      <w:pPr>
        <w:ind w:right="80" w:firstLine="647"/>
        <w:spacing w:after="0"/>
        <w:rPr>
          <w:sz w:val="20"/>
          <w:szCs w:val="20"/>
          <w:color w:val="auto"/>
        </w:rPr>
      </w:pPr>
      <w:r>
        <w:rPr>
          <w:rFonts w:ascii="Arial" w:cs="Arial" w:eastAsia="Arial" w:hAnsi="Arial"/>
          <w:sz w:val="18"/>
          <w:szCs w:val="18"/>
          <w:color w:val="auto"/>
        </w:rPr>
        <w:t>Using a discounted cash flow technique that incorporates a market interest yield curve with adjustments for duration, optionality, and risk profile, the Company has determined that the fair value (level 2) of its debt approximates the carrying value. Refer to “Note 18 – Fair Value of Financial Instruments” for the definition of level 2 of the fair value hierarchy.</w:t>
      </w:r>
    </w:p>
    <w:p>
      <w:pPr>
        <w:spacing w:after="0" w:line="203" w:lineRule="exact"/>
        <w:rPr>
          <w:sz w:val="20"/>
          <w:szCs w:val="20"/>
          <w:color w:val="auto"/>
        </w:rPr>
      </w:pPr>
    </w:p>
    <w:p>
      <w:pPr>
        <w:ind w:right="40" w:firstLine="647"/>
        <w:spacing w:after="0" w:line="234" w:lineRule="auto"/>
        <w:rPr>
          <w:sz w:val="20"/>
          <w:szCs w:val="20"/>
          <w:color w:val="auto"/>
        </w:rPr>
      </w:pPr>
      <w:r>
        <w:rPr>
          <w:rFonts w:ascii="Arial" w:cs="Arial" w:eastAsia="Arial" w:hAnsi="Arial"/>
          <w:sz w:val="18"/>
          <w:szCs w:val="18"/>
          <w:color w:val="auto"/>
        </w:rPr>
        <w:t>In January 2019, the Company borrowed $150.0 million under our Term Loan Agreement to partially finance the OGSystems Acquisition. The Term Loan is comprised of Offshore Rate Loans and Base Rate Loans (each as defined in the Term Loan Agreement), with an initial aggregate principal amount of $150.0 million. The Offshore Rate Loans bear interest at a rate per annum of LIBOR, divided by 1.00 minus the Eurodollar Reserve Percentage, plus 1.25%. The Base Rate Loans bear interest at a rate per annum of the sum of (a) the highest of</w:t>
      </w:r>
    </w:p>
    <w:p>
      <w:pPr>
        <w:spacing w:after="0" w:line="3" w:lineRule="exact"/>
        <w:rPr>
          <w:sz w:val="20"/>
          <w:szCs w:val="20"/>
          <w:color w:val="auto"/>
        </w:rPr>
      </w:pPr>
    </w:p>
    <w:p>
      <w:pPr>
        <w:ind w:right="200" w:firstLine="8"/>
        <w:spacing w:after="0" w:line="238"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administrative agent’s reference rate; (2) the rate equal to 1.50% per annum above the Offshore Rate; and (3) the rate equal to 0.50% per annum above the latest federal funds rate, plus (b) 0.25%. On May 10, 2019, the Company used proceeds from its May 8, 2019, initial public offering to repay the $150.0 million outstanding balance under the Term Loan. Upon payment of the outstanding balance the loan was closed. Interest expense related to the term loan was $1.4 million for the three months ended March 31, 2019. There were no amounts outstanding during the three months ended March 30, 2018.</w:t>
      </w:r>
    </w:p>
    <w:p>
      <w:pPr>
        <w:spacing w:after="0" w:line="203" w:lineRule="exact"/>
        <w:rPr>
          <w:sz w:val="20"/>
          <w:szCs w:val="20"/>
          <w:color w:val="auto"/>
        </w:rPr>
      </w:pPr>
    </w:p>
    <w:p>
      <w:pPr>
        <w:ind w:right="200" w:firstLine="647"/>
        <w:spacing w:after="0" w:line="246" w:lineRule="auto"/>
        <w:rPr>
          <w:sz w:val="20"/>
          <w:szCs w:val="20"/>
          <w:color w:val="auto"/>
        </w:rPr>
      </w:pPr>
      <w:r>
        <w:rPr>
          <w:rFonts w:ascii="Arial" w:cs="Arial" w:eastAsia="Arial" w:hAnsi="Arial"/>
          <w:sz w:val="18"/>
          <w:szCs w:val="18"/>
          <w:color w:val="auto"/>
        </w:rPr>
        <w:t>Amortization of debt issuance costs for all the Company’s debt and credit facilities was approximately $0.1 million and $0.2 million for the three months ended March 30, 2018 and March 31, 2019, respectively.</w:t>
      </w:r>
    </w:p>
    <w:p>
      <w:pPr>
        <w:spacing w:after="0" w:line="283"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ind w:right="140" w:firstLine="647"/>
        <w:spacing w:after="0" w:line="237" w:lineRule="auto"/>
        <w:rPr>
          <w:sz w:val="20"/>
          <w:szCs w:val="20"/>
          <w:color w:val="auto"/>
        </w:rPr>
      </w:pPr>
      <w:r>
        <w:rPr>
          <w:rFonts w:ascii="Arial" w:cs="Arial" w:eastAsia="Arial" w:hAnsi="Arial"/>
          <w:sz w:val="18"/>
          <w:szCs w:val="18"/>
          <w:color w:val="auto"/>
        </w:rPr>
        <w:t>Historically, the Company has elected to be taxed under the provisions of Subchapter ”S” of the Internal Revenue Code for federal tax purposes. As a result, income has not been subject to U.S. federal income taxes or state income taxes in those states where the ”S” Corporation status is recognized. No provision or liability for federal or state income tax has been provided in the consolidated financial statements except for those states where the ”S” Corporation status is not recognized and for the 1.5% California franchise tax to which the Company is also subject as a California “S” Corporation. The provision for income tax in the historical periods prior to the Company’s initial public offering consists of these taxes and certain foreign taxes where the Company is subject to tax.</w:t>
      </w:r>
    </w:p>
    <w:p>
      <w:pPr>
        <w:spacing w:after="0" w:line="97" w:lineRule="exact"/>
        <w:rPr>
          <w:sz w:val="20"/>
          <w:szCs w:val="20"/>
          <w:color w:val="auto"/>
        </w:rPr>
      </w:pPr>
    </w:p>
    <w:p>
      <w:pPr>
        <w:ind w:firstLine="647"/>
        <w:spacing w:after="0" w:line="239" w:lineRule="auto"/>
        <w:rPr>
          <w:sz w:val="20"/>
          <w:szCs w:val="20"/>
          <w:color w:val="auto"/>
        </w:rPr>
      </w:pPr>
      <w:r>
        <w:rPr>
          <w:rFonts w:ascii="Arial" w:cs="Arial" w:eastAsia="Arial" w:hAnsi="Arial"/>
          <w:sz w:val="18"/>
          <w:szCs w:val="18"/>
          <w:color w:val="auto"/>
        </w:rPr>
        <w:t>In connection with the initial public offering on May 8, 2019, the Company’s “S” Corporation status terminated and the Company will be treated as a “C” Corporation under Subchapter C of the Internal Revenue Code. The revocation of the Company’s “S” Corporation election will have a material impact on the Company’s results of operations, financial condition and cash flows. The Company’s effective income tax rate will increase and net income will decrease since the Company will be subject to both federal and state taxes on our earnings.</w:t>
      </w:r>
    </w:p>
    <w:p>
      <w:pPr>
        <w:spacing w:after="0" w:line="94" w:lineRule="exact"/>
        <w:rPr>
          <w:sz w:val="20"/>
          <w:szCs w:val="20"/>
          <w:color w:val="auto"/>
        </w:rPr>
      </w:pPr>
    </w:p>
    <w:p>
      <w:pPr>
        <w:ind w:right="60" w:firstLine="647"/>
        <w:spacing w:after="0"/>
        <w:rPr>
          <w:sz w:val="20"/>
          <w:szCs w:val="20"/>
          <w:color w:val="auto"/>
        </w:rPr>
      </w:pPr>
      <w:r>
        <w:rPr>
          <w:rFonts w:ascii="Arial" w:cs="Arial" w:eastAsia="Arial" w:hAnsi="Arial"/>
          <w:sz w:val="18"/>
          <w:szCs w:val="18"/>
          <w:color w:val="auto"/>
        </w:rPr>
        <w:t>The termination of the “S” Corporation status will be treated as a change in tax status under ASC 740, “Income Taxes”. These rules require that the deferred tax effects of a change in tax status be recorded to income from continuing operations on the date the “S” Corporation status terminates. The Company estimates the effects of the change in tax</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 w:name="page20"/>
    <w:bookmarkEnd w:id="19"/>
    <w:p>
      <w:pPr>
        <w:ind w:right="20"/>
        <w:spacing w:after="0" w:line="246" w:lineRule="auto"/>
        <w:rPr>
          <w:sz w:val="20"/>
          <w:szCs w:val="20"/>
          <w:color w:val="auto"/>
        </w:rPr>
      </w:pPr>
      <w:r>
        <w:rPr>
          <w:rFonts w:ascii="Arial" w:cs="Arial" w:eastAsia="Arial" w:hAnsi="Arial"/>
          <w:sz w:val="18"/>
          <w:szCs w:val="18"/>
          <w:color w:val="auto"/>
        </w:rPr>
        <w:t>status based upon forecasted temporary differences for the year to be approximately $55 million to $61 million. This range is subject to revision based upon actual results.</w:t>
      </w:r>
    </w:p>
    <w:p>
      <w:pPr>
        <w:spacing w:after="0" w:line="89" w:lineRule="exact"/>
        <w:rPr>
          <w:sz w:val="20"/>
          <w:szCs w:val="20"/>
          <w:color w:val="auto"/>
        </w:rPr>
      </w:pPr>
    </w:p>
    <w:p>
      <w:pPr>
        <w:ind w:right="200" w:firstLine="647"/>
        <w:spacing w:after="0" w:line="246" w:lineRule="auto"/>
        <w:rPr>
          <w:sz w:val="20"/>
          <w:szCs w:val="20"/>
          <w:color w:val="auto"/>
        </w:rPr>
      </w:pPr>
      <w:r>
        <w:rPr>
          <w:rFonts w:ascii="Arial" w:cs="Arial" w:eastAsia="Arial" w:hAnsi="Arial"/>
          <w:sz w:val="18"/>
          <w:szCs w:val="18"/>
          <w:color w:val="auto"/>
        </w:rPr>
        <w:t>As a Subchapter “S” corporation the effective tax rates for the quarters ended March 30, 2018 and March 31, 2019 were 15.54% and 12.35%, respectively. The decrease in the effective rate is principally the result of a change in the jurisdictional earnings.</w:t>
      </w:r>
    </w:p>
    <w:p>
      <w:pPr>
        <w:spacing w:after="0" w:line="89" w:lineRule="exact"/>
        <w:rPr>
          <w:sz w:val="20"/>
          <w:szCs w:val="20"/>
          <w:color w:val="auto"/>
        </w:rPr>
      </w:pPr>
    </w:p>
    <w:p>
      <w:pPr>
        <w:ind w:right="20" w:firstLine="647"/>
        <w:spacing w:after="0" w:line="236" w:lineRule="auto"/>
        <w:rPr>
          <w:sz w:val="20"/>
          <w:szCs w:val="20"/>
          <w:color w:val="auto"/>
        </w:rPr>
      </w:pPr>
      <w:r>
        <w:rPr>
          <w:rFonts w:ascii="Arial" w:cs="Arial" w:eastAsia="Arial" w:hAnsi="Arial"/>
          <w:sz w:val="18"/>
          <w:szCs w:val="18"/>
          <w:color w:val="auto"/>
        </w:rPr>
        <w:t>The US government enacted comprehensive tax legislation on December 22, 2017, which is commonly referred to as the Tax Cuts and Jobs Act ("TCJA"). The TCJA significantly revised the U.S. corporate income tax regime by, among other things, lowering the U.S. corporate tax rate from 35% to 21% effective January 1, 2018. The TCJA also repealed the deduction for domestic production activities, limited the deductibility of certain executive compensation, and implemented a modified territorial tax system with the introduction of the Global Intangible Low-Taxed Income (“GILTI”) tax rules. The TCJA also imposes a one-time transition tax on deemed repatriation of historical earnings of foreign subsidiaries. As a Subchapter “S” corporation, the TCJA has had limited effect on our effective tax rate. However, after the Company revokes the “S” Corporation election, the Company expects to be subject to the federal and state rates, the GILTI tax rules and other changes in the rules under the TCJA.</w:t>
      </w:r>
    </w:p>
    <w:p>
      <w:pPr>
        <w:spacing w:after="0" w:line="100" w:lineRule="exact"/>
        <w:rPr>
          <w:sz w:val="20"/>
          <w:szCs w:val="20"/>
          <w:color w:val="auto"/>
        </w:rPr>
      </w:pPr>
    </w:p>
    <w:p>
      <w:pPr>
        <w:ind w:right="160" w:firstLine="647"/>
        <w:spacing w:after="0" w:line="238" w:lineRule="auto"/>
        <w:rPr>
          <w:sz w:val="20"/>
          <w:szCs w:val="20"/>
          <w:color w:val="auto"/>
        </w:rPr>
      </w:pPr>
      <w:r>
        <w:rPr>
          <w:rFonts w:ascii="Arial" w:cs="Arial" w:eastAsia="Arial" w:hAnsi="Arial"/>
          <w:sz w:val="18"/>
          <w:szCs w:val="18"/>
          <w:color w:val="auto"/>
        </w:rPr>
        <w:t>Because of the complexity of the new GILTI tax rules, and the expected change in status, the Company will continue to evaluate the impact of this provision and the application of ASC 740, Income Taxes. Under GAAP, the Company is allowed to make an accounting policy election of either (i) treating taxes due on future U.S. inclusions in taxable income related to GILTI as a current-period expense when incurred (the "period cost method"), or (ii) factoring such amounts into a Company's measurement of its deferred taxes (the "deferred method"). The Company has elected the period cost method.</w:t>
      </w:r>
    </w:p>
    <w:p>
      <w:pPr>
        <w:spacing w:after="0" w:line="95" w:lineRule="exact"/>
        <w:rPr>
          <w:sz w:val="20"/>
          <w:szCs w:val="20"/>
          <w:color w:val="auto"/>
        </w:rPr>
      </w:pPr>
    </w:p>
    <w:p>
      <w:pPr>
        <w:ind w:right="20" w:firstLine="647"/>
        <w:spacing w:after="0" w:line="238" w:lineRule="auto"/>
        <w:rPr>
          <w:sz w:val="20"/>
          <w:szCs w:val="20"/>
          <w:color w:val="auto"/>
        </w:rPr>
      </w:pPr>
      <w:r>
        <w:rPr>
          <w:rFonts w:ascii="Arial" w:cs="Arial" w:eastAsia="Arial" w:hAnsi="Arial"/>
          <w:sz w:val="18"/>
          <w:szCs w:val="18"/>
          <w:color w:val="auto"/>
        </w:rPr>
        <w:t>As of March 31, 2019, the Company’s deferred tax assets included a valuation allowance of $ 6.7 million primarily related to foreign net operating loss carryforwards that the Company determined were not more likely than not to be realized. The factors used to assess the likelihood of realization were the past performance of the related entities, our forecast of future taxable income,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95" w:lineRule="exact"/>
        <w:rPr>
          <w:sz w:val="20"/>
          <w:szCs w:val="20"/>
          <w:color w:val="auto"/>
        </w:rPr>
      </w:pPr>
    </w:p>
    <w:p>
      <w:pPr>
        <w:ind w:right="160" w:firstLine="647"/>
        <w:spacing w:after="0" w:line="239" w:lineRule="auto"/>
        <w:rPr>
          <w:sz w:val="20"/>
          <w:szCs w:val="20"/>
          <w:color w:val="auto"/>
        </w:rPr>
      </w:pPr>
      <w:r>
        <w:rPr>
          <w:rFonts w:ascii="Arial" w:cs="Arial" w:eastAsia="Arial" w:hAnsi="Arial"/>
          <w:sz w:val="18"/>
          <w:szCs w:val="18"/>
          <w:color w:val="auto"/>
        </w:rPr>
        <w:t>As of December 31, 2018 and March 31, 2019, the liability for income taxes associated with uncertain tax positions was $9.9 million and $10.7 million, respectively. In the normal course of business, the Company is subject to tax audit by several jurisdictions and believes the outcomes which are reasonably possible within the next twelve months, including lapses in statutes of limitations, could result in adjustments, but will not result in a material change in the liability for uncertain tax positions.</w:t>
      </w:r>
    </w:p>
    <w:p>
      <w:pPr>
        <w:spacing w:after="0" w:line="72"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6" w:lineRule="exact"/>
        <w:rPr>
          <w:sz w:val="20"/>
          <w:szCs w:val="20"/>
          <w:color w:val="auto"/>
        </w:rPr>
      </w:pPr>
    </w:p>
    <w:p>
      <w:pPr>
        <w:ind w:right="20" w:firstLine="647"/>
        <w:spacing w:after="0" w:line="236" w:lineRule="auto"/>
        <w:rPr>
          <w:sz w:val="20"/>
          <w:szCs w:val="20"/>
          <w:color w:val="auto"/>
        </w:rPr>
      </w:pPr>
      <w:r>
        <w:rPr>
          <w:rFonts w:ascii="Arial" w:cs="Arial" w:eastAsia="Arial" w:hAnsi="Arial"/>
          <w:sz w:val="18"/>
          <w:szCs w:val="18"/>
          <w:color w:val="auto"/>
        </w:rPr>
        <w:t>We are subject to certain lawsuits, claims and assessments that arise in the ordinary course of business. Additionally, the Company has been named as a defendant in lawsuits alleging personal injuries as a result of contact with asbestos products at various project sites. We believe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We record a liability when we believe that it is both probable that a loss has been incurred and the amount of loss or range of loss can be reasonably estimated. When using a range of loss estimate, the Company records the liability using the low end of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our consolidated results of operations or our financial position.</w:t>
      </w:r>
    </w:p>
    <w:p>
      <w:pPr>
        <w:spacing w:after="0" w:line="234" w:lineRule="exact"/>
        <w:rPr>
          <w:sz w:val="20"/>
          <w:szCs w:val="20"/>
          <w:color w:val="auto"/>
        </w:rPr>
      </w:pPr>
    </w:p>
    <w:p>
      <w:pPr>
        <w:ind w:firstLine="1187"/>
        <w:spacing w:after="0" w:line="238" w:lineRule="auto"/>
        <w:rPr>
          <w:sz w:val="20"/>
          <w:szCs w:val="20"/>
          <w:color w:val="auto"/>
        </w:rPr>
      </w:pPr>
      <w:r>
        <w:rPr>
          <w:rFonts w:ascii="Arial" w:cs="Arial" w:eastAsia="Arial" w:hAnsi="Arial"/>
          <w:sz w:val="18"/>
          <w:szCs w:val="18"/>
          <w:color w:val="auto"/>
        </w:rPr>
        <w:t>On or about March 1, 2017, the Peninsula Corridor Joint Powers Board, or the JPB, filed a lawsuit against Parsons Transportation Group, Inc., or PTG, in the Superior Court of California, County of San Mateo, in connection with a positive train control project on which PTG was engaged prior to termination of its contract by the JPB. PTG had previously filed a lawsuit against the JPB for breach of contract and wrongful termination. The JPB seeks damages in excess of $100.0 million, which the Company is currently disputing. In addition to filing a complaint for breach of contract and wrongful termination, the Company has denied the allegations raised by the JPB and, accordingly, filed affirmative defenses. The Company is currently defending against the JPB’s claims and the parties are still engaged in discovery. The Company also has a professional liability insurance policy to the extent the JPB proves any errors or omissions occurred. At this time, it is too soon to determine the outcome of the litigation or assess the potential range of loss, if any. The Company has also filed a third party claim against a subcontractor for indemnification in connection with this matter.</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20" w:name="page21"/>
    <w:bookmarkEnd w:id="20"/>
    <w:p>
      <w:pPr>
        <w:ind w:firstLine="647"/>
        <w:spacing w:after="0" w:line="236"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United States government did not intervene in this matter as it is allowed to do so under the statute. The Company filed a motion to dismiss the lawsuit on the grounds that the Relator did not meet the applicable statute of limitations. The District Court granted the motion to dismiss. The Relator’s attorney appealed the decision to the United States Court of Appeals of the Eleventh Circuit, which ultimately ruled in favor of the Relator, and the Company petitioned the United States Supreme Court to review the decision. The Supreme Court reviewed the decision and accepted the position of the relator. The case was thus remanded to the United States District Court for the Northern District of Alabama. The defendants, including Parsons, will file appropriate pleadings opposing the allegations. At this time, it is too soon to determine the outcome of the litigation or assess the potential range of loss, if any.</w:t>
      </w:r>
    </w:p>
    <w:p>
      <w:pPr>
        <w:spacing w:after="0" w:line="207" w:lineRule="exact"/>
        <w:rPr>
          <w:sz w:val="20"/>
          <w:szCs w:val="20"/>
          <w:color w:val="auto"/>
        </w:rPr>
      </w:pPr>
    </w:p>
    <w:p>
      <w:pPr>
        <w:ind w:right="60" w:firstLine="647"/>
        <w:spacing w:after="0" w:line="236" w:lineRule="auto"/>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2009 have been closed, and years thereafter remain open.</w:t>
      </w:r>
    </w:p>
    <w:p>
      <w:pPr>
        <w:spacing w:after="0" w:line="208" w:lineRule="exact"/>
        <w:rPr>
          <w:sz w:val="20"/>
          <w:szCs w:val="20"/>
          <w:color w:val="auto"/>
        </w:rPr>
      </w:pPr>
    </w:p>
    <w:p>
      <w:pPr>
        <w:jc w:val="both"/>
        <w:ind w:right="160" w:firstLine="647"/>
        <w:spacing w:after="0" w:line="239"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 The Company accrues a liability when management believes it is both probable that a liability has been incurred and the amount of loss or range of loss can be reasonably estimated. The Company records a corresponding receivable for costs covered under the insurance policies.</w:t>
      </w:r>
    </w:p>
    <w:p>
      <w:pPr>
        <w:spacing w:after="0" w:line="288"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and Other Benefit Plans</w:t>
      </w:r>
    </w:p>
    <w:p>
      <w:pPr>
        <w:spacing w:after="0" w:line="126" w:lineRule="exact"/>
        <w:rPr>
          <w:sz w:val="20"/>
          <w:szCs w:val="20"/>
          <w:color w:val="auto"/>
        </w:rPr>
      </w:pPr>
    </w:p>
    <w:p>
      <w:pPr>
        <w:ind w:firstLine="647"/>
        <w:spacing w:after="0" w:line="255" w:lineRule="auto"/>
        <w:rPr>
          <w:sz w:val="20"/>
          <w:szCs w:val="20"/>
          <w:color w:val="auto"/>
        </w:rPr>
      </w:pPr>
      <w:r>
        <w:rPr>
          <w:rFonts w:ascii="Arial" w:cs="Arial" w:eastAsia="Arial" w:hAnsi="Arial"/>
          <w:sz w:val="17"/>
          <w:szCs w:val="17"/>
          <w:color w:val="auto"/>
        </w:rPr>
        <w:t>The Company’s principal retirement benefit plan is the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six years of credited service, or in the event(s) of reaching age 65, death or disability while an active employee of the Company. All of the Company’s common stock was acquired by the ESOP in conjunction with a reorganization in 1984, which was financed by the Company.</w:t>
      </w:r>
    </w:p>
    <w:p>
      <w:pPr>
        <w:spacing w:after="0" w:line="191" w:lineRule="exact"/>
        <w:rPr>
          <w:sz w:val="20"/>
          <w:szCs w:val="20"/>
          <w:color w:val="auto"/>
        </w:rPr>
      </w:pPr>
    </w:p>
    <w:p>
      <w:pPr>
        <w:ind w:firstLine="647"/>
        <w:spacing w:after="0" w:line="239" w:lineRule="auto"/>
        <w:rPr>
          <w:sz w:val="20"/>
          <w:szCs w:val="20"/>
          <w:color w:val="auto"/>
        </w:rPr>
      </w:pPr>
      <w:r>
        <w:rPr>
          <w:rFonts w:ascii="Arial" w:cs="Arial" w:eastAsia="Arial" w:hAnsi="Arial"/>
          <w:sz w:val="18"/>
          <w:szCs w:val="18"/>
          <w:color w:val="auto"/>
        </w:rPr>
        <w:t>Upon retirement, death, termination due to permanent disability, a severe financial hardship, or the exercise of diversification rights, participants’ interests in their ESOP accounts are redeemable at the current price per share of the stock. Such per share prices are established by the ESOP trustee, taking into account, among other things, the advice of a third-party valuation consultant for the ESOP trustee, as well as the ESOP trustee’s knowledge of the Company, as of the end of the plan year preceding distribution.</w:t>
      </w:r>
    </w:p>
    <w:p>
      <w:pPr>
        <w:spacing w:after="0" w:line="202" w:lineRule="exact"/>
        <w:rPr>
          <w:sz w:val="20"/>
          <w:szCs w:val="20"/>
          <w:color w:val="auto"/>
        </w:rPr>
      </w:pPr>
    </w:p>
    <w:p>
      <w:pPr>
        <w:ind w:right="180" w:firstLine="647"/>
        <w:spacing w:after="0" w:line="239" w:lineRule="auto"/>
        <w:rPr>
          <w:sz w:val="20"/>
          <w:szCs w:val="20"/>
          <w:color w:val="auto"/>
        </w:rPr>
      </w:pPr>
      <w:r>
        <w:rPr>
          <w:rFonts w:ascii="Arial" w:cs="Arial" w:eastAsia="Arial" w:hAnsi="Arial"/>
          <w:sz w:val="18"/>
          <w:szCs w:val="18"/>
          <w:color w:val="auto"/>
        </w:rPr>
        <w:t>Under the terms of the ESOP plan, when participants hold shares that are not readily tradeable, the Company is obligated to redeem eligible participants’ interests in their ESOP accounts for cash upon an employee’s election. All shares held by the ESOP are eventually redeemable in the future for cash at the option of the holder once vesting and eligibility requirements have been met. The Company presents all shares held by the ESOP as temporary equity on the consolidated balance sheets at their redemption value.</w:t>
      </w:r>
    </w:p>
    <w:p>
      <w:pPr>
        <w:spacing w:after="0" w:line="202" w:lineRule="exact"/>
        <w:rPr>
          <w:sz w:val="20"/>
          <w:szCs w:val="20"/>
          <w:color w:val="auto"/>
        </w:rPr>
      </w:pPr>
    </w:p>
    <w:p>
      <w:pPr>
        <w:ind w:right="200" w:firstLine="647"/>
        <w:spacing w:after="0" w:line="239" w:lineRule="auto"/>
        <w:rPr>
          <w:sz w:val="20"/>
          <w:szCs w:val="20"/>
          <w:color w:val="auto"/>
        </w:rPr>
      </w:pPr>
      <w:r>
        <w:rPr>
          <w:rFonts w:ascii="Arial" w:cs="Arial" w:eastAsia="Arial" w:hAnsi="Arial"/>
          <w:sz w:val="18"/>
          <w:szCs w:val="18"/>
          <w:color w:val="auto"/>
        </w:rPr>
        <w:t>Total ESOP contribution expense was approximately $11.2 million and $12.2 million for the three months ended March 30, 2018 and March 31, 2019, respectively, and is recorded in “Direct costs of contracts” and “Indirect, general and administrative expense” in the consolidated statements of income. The fiscal 2019 ESOP contribution has not yet been made. The amount is currently included in accrued liabilities.</w:t>
      </w:r>
    </w:p>
    <w:p>
      <w:pPr>
        <w:spacing w:after="0" w:line="202" w:lineRule="exact"/>
        <w:rPr>
          <w:sz w:val="20"/>
          <w:szCs w:val="20"/>
          <w:color w:val="auto"/>
        </w:rPr>
      </w:pPr>
    </w:p>
    <w:p>
      <w:pPr>
        <w:ind w:right="320" w:firstLine="647"/>
        <w:spacing w:after="0"/>
        <w:rPr>
          <w:sz w:val="20"/>
          <w:szCs w:val="20"/>
          <w:color w:val="auto"/>
        </w:rPr>
      </w:pPr>
      <w:r>
        <w:rPr>
          <w:rFonts w:ascii="Arial" w:cs="Arial" w:eastAsia="Arial" w:hAnsi="Arial"/>
          <w:sz w:val="18"/>
          <w:szCs w:val="18"/>
          <w:color w:val="auto"/>
        </w:rPr>
        <w:t>At December 31, 2018 and March 31, 2019, 78,172,809 shares and 78,138,831 shares of the Company’s stock were held by the ESOP which the Company recorded at their aggregate redemption value of $1.9 billion. During the year ended December 31, 2018 and the three months ended March 31, 2019, the Company did not declare any dividends.</w:t>
      </w:r>
    </w:p>
    <w:p>
      <w:pPr>
        <w:spacing w:after="0" w:line="203" w:lineRule="exact"/>
        <w:rPr>
          <w:sz w:val="20"/>
          <w:szCs w:val="20"/>
          <w:color w:val="auto"/>
        </w:rPr>
      </w:pPr>
    </w:p>
    <w:p>
      <w:pPr>
        <w:ind w:right="540" w:firstLine="647"/>
        <w:spacing w:after="0" w:line="246" w:lineRule="auto"/>
        <w:rPr>
          <w:sz w:val="20"/>
          <w:szCs w:val="20"/>
          <w:color w:val="auto"/>
        </w:rPr>
      </w:pPr>
      <w:r>
        <w:rPr>
          <w:rFonts w:ascii="Arial" w:cs="Arial" w:eastAsia="Arial" w:hAnsi="Arial"/>
          <w:sz w:val="18"/>
          <w:szCs w:val="18"/>
          <w:color w:val="auto"/>
        </w:rPr>
        <w:t>The Company also maintains a defined contribution plan (the “401(k) Plan”). Substantially all domestic employees are entitled to participate in the 401(k) Plan, subject to certain minimum requirements. The Company’s contribution to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401(k) Plan for the three months ended March 30, 2018 and March 31, 2019 amounted to $4.7 million and $9.2 million, respectively.</w:t>
      </w:r>
    </w:p>
    <w:p>
      <w:pPr>
        <w:spacing w:after="0" w:line="212" w:lineRule="exact"/>
        <w:rPr>
          <w:sz w:val="20"/>
          <w:szCs w:val="20"/>
          <w:color w:val="auto"/>
        </w:rPr>
      </w:pPr>
    </w:p>
    <w:p>
      <w:pPr>
        <w:ind w:right="120" w:firstLine="647"/>
        <w:spacing w:after="0" w:line="239" w:lineRule="auto"/>
        <w:rPr>
          <w:sz w:val="20"/>
          <w:szCs w:val="20"/>
          <w:color w:val="auto"/>
        </w:rPr>
      </w:pPr>
      <w:r>
        <w:rPr>
          <w:rFonts w:ascii="Arial" w:cs="Arial" w:eastAsia="Arial" w:hAnsi="Arial"/>
          <w:sz w:val="18"/>
          <w:szCs w:val="18"/>
          <w:color w:val="auto"/>
        </w:rPr>
        <w:t>As part of an acquisition in 2014, the Company acquired a defined contribution pension plan, a defined benefit pension plan, and supplemental retirement plan. For the defined contribution pension plan, the Company contributes a base amount plus an additional amount based upon a predetermined formula. At December 31, 2018 and March 31, 2019, the defined benefit pension plan was in a net asset position of $1.7 million and $1.7 million, respectively, which is recorded in “Other noncurrent assets” on the consolidated balance sheets.</w:t>
      </w:r>
    </w:p>
    <w:p>
      <w:pPr>
        <w:spacing w:after="0" w:line="288"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26" w:lineRule="exact"/>
        <w:rPr>
          <w:sz w:val="20"/>
          <w:szCs w:val="20"/>
          <w:color w:val="auto"/>
        </w:rPr>
      </w:pPr>
    </w:p>
    <w:p>
      <w:pPr>
        <w:ind w:right="300" w:firstLine="647"/>
        <w:spacing w:after="0"/>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203" w:lineRule="exact"/>
        <w:rPr>
          <w:sz w:val="20"/>
          <w:szCs w:val="20"/>
          <w:color w:val="auto"/>
        </w:rPr>
      </w:pPr>
    </w:p>
    <w:p>
      <w:pPr>
        <w:ind w:right="80" w:firstLine="647"/>
        <w:spacing w:after="0" w:line="239"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202" w:lineRule="exact"/>
        <w:rPr>
          <w:sz w:val="20"/>
          <w:szCs w:val="20"/>
          <w:color w:val="auto"/>
        </w:rPr>
      </w:pPr>
    </w:p>
    <w:p>
      <w:pPr>
        <w:ind w:right="500" w:firstLine="647"/>
        <w:spacing w:after="0" w:line="239"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202" w:lineRule="exact"/>
        <w:rPr>
          <w:sz w:val="20"/>
          <w:szCs w:val="20"/>
          <w:color w:val="auto"/>
        </w:rPr>
      </w:pPr>
    </w:p>
    <w:p>
      <w:pPr>
        <w:ind w:right="260" w:firstLine="647"/>
        <w:spacing w:after="0" w:line="246"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97" w:lineRule="exact"/>
        <w:rPr>
          <w:sz w:val="20"/>
          <w:szCs w:val="20"/>
          <w:color w:val="auto"/>
        </w:rPr>
      </w:pPr>
    </w:p>
    <w:p>
      <w:pPr>
        <w:ind w:right="160" w:firstLine="647"/>
        <w:spacing w:after="0" w:line="246" w:lineRule="auto"/>
        <w:rPr>
          <w:sz w:val="20"/>
          <w:szCs w:val="20"/>
          <w:color w:val="auto"/>
        </w:rPr>
      </w:pPr>
      <w:r>
        <w:rPr>
          <w:rFonts w:ascii="Arial" w:cs="Arial" w:eastAsia="Arial" w:hAnsi="Arial"/>
          <w:sz w:val="18"/>
          <w:szCs w:val="18"/>
          <w:color w:val="auto"/>
        </w:rPr>
        <w:t>Letters of credit outstanding described in “Note 12 – Debt and Credit Facilities” that relate to project ventures are approximately $76.8 million and $77.2 million at December 31, 2018 and March 31, 2019, respectively.</w:t>
      </w:r>
    </w:p>
    <w:p>
      <w:pPr>
        <w:spacing w:after="0" w:line="197" w:lineRule="exact"/>
        <w:rPr>
          <w:sz w:val="20"/>
          <w:szCs w:val="20"/>
          <w:color w:val="auto"/>
        </w:rPr>
      </w:pPr>
    </w:p>
    <w:p>
      <w:pPr>
        <w:ind w:right="20" w:firstLine="647"/>
        <w:spacing w:after="0"/>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26" w:lineRule="exact"/>
        <w:rPr>
          <w:sz w:val="20"/>
          <w:szCs w:val="20"/>
          <w:color w:val="auto"/>
        </w:rPr>
      </w:pPr>
    </w:p>
    <w:p>
      <w:pPr>
        <w:ind w:right="560" w:firstLine="647"/>
        <w:spacing w:after="0" w:line="246"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500" w:type="dxa"/>
            <w:vAlign w:val="bottom"/>
            <w:tcBorders>
              <w:bottom w:val="single" w:sz="8" w:color="CFF0FC"/>
            </w:tcBorders>
          </w:tcPr>
          <w:p>
            <w:pPr>
              <w:spacing w:after="0"/>
              <w:rPr>
                <w:sz w:val="15"/>
                <w:szCs w:val="15"/>
                <w:color w:val="auto"/>
              </w:rPr>
            </w:pPr>
          </w:p>
        </w:tc>
        <w:tc>
          <w:tcPr>
            <w:tcW w:w="18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5"/>
                <w:szCs w:val="15"/>
                <w:color w:val="auto"/>
              </w:rPr>
            </w:pPr>
          </w:p>
        </w:tc>
        <w:tc>
          <w:tcPr>
            <w:tcW w:w="58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287,227</w:t>
            </w:r>
          </w:p>
        </w:tc>
        <w:tc>
          <w:tcPr>
            <w:tcW w:w="2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269,856</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080" w:type="dxa"/>
            <w:vAlign w:val="bottom"/>
            <w:gridSpan w:val="2"/>
          </w:tcPr>
          <w:p>
            <w:pPr>
              <w:ind w:left="580"/>
              <w:spacing w:after="0"/>
              <w:rPr>
                <w:sz w:val="20"/>
                <w:szCs w:val="20"/>
                <w:color w:val="auto"/>
              </w:rPr>
            </w:pPr>
            <w:r>
              <w:rPr>
                <w:rFonts w:ascii="Arial" w:cs="Arial" w:eastAsia="Arial" w:hAnsi="Arial"/>
                <w:sz w:val="18"/>
                <w:szCs w:val="18"/>
                <w:color w:val="auto"/>
              </w:rPr>
              <w:t>Noncurrent assets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2,689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2,285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5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18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289,916</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272,141</w:t>
            </w: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5080" w:type="dxa"/>
            <w:vAlign w:val="bottom"/>
            <w:gridSpan w:val="2"/>
          </w:tcPr>
          <w:p>
            <w:pPr>
              <w:ind w:left="580"/>
              <w:spacing w:after="0"/>
              <w:rPr>
                <w:sz w:val="20"/>
                <w:szCs w:val="20"/>
                <w:color w:val="auto"/>
              </w:rPr>
            </w:pPr>
            <w:r>
              <w:rPr>
                <w:rFonts w:ascii="Arial" w:cs="Arial" w:eastAsia="Arial" w:hAnsi="Arial"/>
                <w:sz w:val="18"/>
                <w:szCs w:val="18"/>
                <w:color w:val="auto"/>
              </w:rPr>
              <w:t>Current liabilities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199,833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209,909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5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8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199,833</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209,909</w:t>
            </w: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Total joint venture equity</w:t>
            </w: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90,083</w:t>
            </w:r>
          </w:p>
        </w:tc>
        <w:tc>
          <w:tcPr>
            <w:tcW w:w="24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62,232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5"/>
          </w:tcPr>
          <w:p>
            <w:pPr>
              <w:jc w:val="right"/>
              <w:ind w:right="113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9"/>
        </w:trPr>
        <w:tc>
          <w:tcPr>
            <w:tcW w:w="580" w:type="dxa"/>
            <w:vAlign w:val="bottom"/>
          </w:tcPr>
          <w:p>
            <w:pPr>
              <w:spacing w:after="0"/>
              <w:rPr>
                <w:sz w:val="14"/>
                <w:szCs w:val="14"/>
                <w:color w:val="auto"/>
              </w:rPr>
            </w:pPr>
          </w:p>
        </w:tc>
        <w:tc>
          <w:tcPr>
            <w:tcW w:w="4500" w:type="dxa"/>
            <w:vAlign w:val="bottom"/>
            <w:tcBorders>
              <w:bottom w:val="single" w:sz="8" w:color="CFF0FC"/>
            </w:tcBorders>
          </w:tcPr>
          <w:p>
            <w:pPr>
              <w:spacing w:after="0"/>
              <w:rPr>
                <w:sz w:val="14"/>
                <w:szCs w:val="14"/>
                <w:color w:val="auto"/>
              </w:rPr>
            </w:pPr>
          </w:p>
        </w:tc>
        <w:tc>
          <w:tcPr>
            <w:tcW w:w="18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March 30, 2018</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112,121</w:t>
            </w:r>
          </w:p>
        </w:tc>
        <w:tc>
          <w:tcPr>
            <w:tcW w:w="2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115,104</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080" w:type="dxa"/>
            <w:vAlign w:val="bottom"/>
            <w:gridSpan w:val="2"/>
          </w:tcPr>
          <w:p>
            <w:pPr>
              <w:ind w:left="580"/>
              <w:spacing w:after="0"/>
              <w:rPr>
                <w:sz w:val="20"/>
                <w:szCs w:val="20"/>
                <w:color w:val="auto"/>
              </w:rPr>
            </w:pPr>
            <w:r>
              <w:rPr>
                <w:rFonts w:ascii="Arial" w:cs="Arial" w:eastAsia="Arial" w:hAnsi="Arial"/>
                <w:sz w:val="18"/>
                <w:szCs w:val="18"/>
                <w:color w:val="auto"/>
              </w:rPr>
              <w:t>Costs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106,166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107,206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5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18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0"/>
        </w:trPr>
        <w:tc>
          <w:tcPr>
            <w:tcW w:w="50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5080" w:type="dxa"/>
            <w:vAlign w:val="bottom"/>
            <w:gridSpan w:val="2"/>
          </w:tcPr>
          <w:p>
            <w:pPr>
              <w:ind w:left="580"/>
              <w:spacing w:after="0"/>
              <w:rPr>
                <w:sz w:val="20"/>
                <w:szCs w:val="20"/>
                <w:color w:val="auto"/>
              </w:rPr>
            </w:pPr>
            <w:r>
              <w:rPr>
                <w:rFonts w:ascii="Arial" w:cs="Arial" w:eastAsia="Arial" w:hAnsi="Arial"/>
                <w:sz w:val="18"/>
                <w:szCs w:val="18"/>
                <w:color w:val="auto"/>
              </w:rPr>
              <w:t>Net income attributable to noncontrolling interests</w:t>
            </w: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3,815</w:t>
            </w:r>
          </w:p>
        </w:tc>
        <w:tc>
          <w:tcPr>
            <w:tcW w:w="24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3,645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662"/>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20" w:type="dxa"/>
            <w:vAlign w:val="bottom"/>
          </w:tcPr>
          <w:p>
            <w:pPr>
              <w:jc w:val="right"/>
              <w:ind w:right="99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50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22" w:name="page23"/>
    <w:bookmarkEnd w:id="22"/>
    <w:p>
      <w:pPr>
        <w:ind w:right="400" w:firstLine="647"/>
        <w:spacing w:after="0" w:line="246"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26" w:lineRule="exact"/>
        <w:rPr>
          <w:sz w:val="20"/>
          <w:szCs w:val="20"/>
          <w:color w:val="auto"/>
        </w:rPr>
      </w:pPr>
    </w:p>
    <w:p>
      <w:pPr>
        <w:ind w:right="80" w:firstLine="647"/>
        <w:spacing w:after="0" w:line="239"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earnings (loss) of unconsolidated joint ventures” in the consolidated statements of income. The Company’s maximum exposure to loss as a result of its investments in unconsolidated VIEs is typically limited to the aggregate of the carrying value of the investment and future funding commitments.</w:t>
      </w:r>
    </w:p>
    <w:p>
      <w:pPr>
        <w:spacing w:after="0" w:line="202" w:lineRule="exact"/>
        <w:rPr>
          <w:sz w:val="20"/>
          <w:szCs w:val="20"/>
          <w:color w:val="auto"/>
        </w:rPr>
      </w:pPr>
    </w:p>
    <w:p>
      <w:pPr>
        <w:ind w:right="420" w:firstLine="647"/>
        <w:spacing w:after="0" w:line="246"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620" w:type="dxa"/>
            <w:vAlign w:val="bottom"/>
            <w:tcBorders>
              <w:bottom w:val="single" w:sz="8" w:color="CFF0FC"/>
            </w:tcBorders>
          </w:tcPr>
          <w:p>
            <w:pPr>
              <w:spacing w:after="0"/>
              <w:rPr>
                <w:sz w:val="15"/>
                <w:szCs w:val="15"/>
                <w:color w:val="auto"/>
              </w:rPr>
            </w:pPr>
          </w:p>
        </w:tc>
        <w:tc>
          <w:tcPr>
            <w:tcW w:w="7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707,457</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675,030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7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876,385</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894,191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7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1,583,842</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1,569,221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560,306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487,933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7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813,269</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848,105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liabilities</w:t>
            </w:r>
          </w:p>
        </w:tc>
        <w:tc>
          <w:tcPr>
            <w:tcW w:w="7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1,373,575</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1,336,038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joint venture equity</w:t>
            </w:r>
          </w:p>
        </w:tc>
        <w:tc>
          <w:tcPr>
            <w:tcW w:w="7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210,267</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233,183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63,560</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67,202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4"/>
          </w:tcPr>
          <w:p>
            <w:pPr>
              <w:jc w:val="right"/>
              <w:ind w:right="113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2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March 30, 2018</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281,078</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w:t>
            </w:r>
          </w:p>
        </w:tc>
        <w:tc>
          <w:tcPr>
            <w:tcW w:w="7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253,664</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216,780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27,414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Equity in earnings of unconsolidated joint ventures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11,031</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firstLine="647"/>
        <w:spacing w:after="0" w:line="246" w:lineRule="auto"/>
        <w:rPr>
          <w:sz w:val="20"/>
          <w:szCs w:val="20"/>
          <w:color w:val="auto"/>
        </w:rPr>
      </w:pPr>
      <w:r>
        <w:rPr>
          <w:rFonts w:ascii="Arial" w:cs="Arial" w:eastAsia="Arial" w:hAnsi="Arial"/>
          <w:sz w:val="18"/>
          <w:szCs w:val="18"/>
          <w:color w:val="auto"/>
        </w:rPr>
        <w:t>The Company received net distributions from its unconsolidated joint ventures of $12.3 million and $8.1 million for the three months ended March 30, 2018 and March 31, 2019, respectively.</w:t>
      </w:r>
    </w:p>
    <w:p>
      <w:pPr>
        <w:spacing w:after="0" w:line="283"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6" w:lineRule="exact"/>
        <w:rPr>
          <w:sz w:val="20"/>
          <w:szCs w:val="20"/>
          <w:color w:val="auto"/>
        </w:rPr>
      </w:pPr>
    </w:p>
    <w:p>
      <w:pPr>
        <w:ind w:firstLine="647"/>
        <w:spacing w:after="0" w:line="238" w:lineRule="auto"/>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overhead costs for these services. For the three months ended March 30, 2018 and March 31, 2019, revenues included $33.7 million and $33.6 million, respectively, related to services the Company provided to unconsolidated joint ventures. For the three months ended March 30, 2018 and March 31, 2019, the Company incurred approximately $25.9 million and $27.2 million, respectively, of reimbursable costs. Amounts included in the consolidated balance sheets related to services the Company provided to unconsolidated joint ventures is as follows (in thousands):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320" w:type="dxa"/>
            <w:vAlign w:val="bottom"/>
            <w:tcBorders>
              <w:bottom w:val="single" w:sz="8" w:color="CFF0FC"/>
            </w:tcBorders>
          </w:tcPr>
          <w:p>
            <w:pPr>
              <w:spacing w:after="0"/>
              <w:rPr>
                <w:sz w:val="15"/>
                <w:szCs w:val="15"/>
                <w:color w:val="auto"/>
              </w:rPr>
            </w:pPr>
          </w:p>
        </w:tc>
        <w:tc>
          <w:tcPr>
            <w:tcW w:w="272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5"/>
                <w:szCs w:val="15"/>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20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38,742</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30,263</w:t>
            </w: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Contract assets</w:t>
            </w:r>
          </w:p>
        </w:tc>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3,527</w:t>
            </w: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320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10,861</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9,603</w:t>
            </w:r>
          </w:p>
        </w:tc>
        <w:tc>
          <w:tcPr>
            <w:tcW w:w="120" w:type="dxa"/>
            <w:vAlign w:val="bottom"/>
            <w:shd w:val="clear" w:color="auto" w:fill="CFF0FC"/>
          </w:tcPr>
          <w:p>
            <w:pPr>
              <w:spacing w:after="0"/>
              <w:rPr>
                <w:sz w:val="18"/>
                <w:szCs w:val="18"/>
                <w:color w:val="auto"/>
              </w:rPr>
            </w:pPr>
          </w:p>
        </w:tc>
      </w:tr>
    </w:tbl>
    <w:p>
      <w:pPr>
        <w:spacing w:after="0" w:line="328"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6" w:lineRule="exact"/>
        <w:rPr>
          <w:sz w:val="20"/>
          <w:szCs w:val="20"/>
          <w:color w:val="auto"/>
        </w:rPr>
      </w:pPr>
    </w:p>
    <w:p>
      <w:pPr>
        <w:ind w:right="40" w:firstLine="647"/>
        <w:spacing w:after="0" w:line="239"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December 31, 2018 and March 31, 2019, the Company’s financial instruments include cash, cash equivalents, accounts receivable, accounts payable, and other liabilities. The fair values of these financial instruments approximate their carrying values due to their short-term maturities.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55" w:right="31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86" w:lineRule="exact"/>
        <w:rPr>
          <w:sz w:val="20"/>
          <w:szCs w:val="20"/>
          <w:color w:val="auto"/>
        </w:rPr>
      </w:pPr>
    </w:p>
    <w:p>
      <w:pPr>
        <w:ind w:left="900" w:right="100" w:hanging="257"/>
        <w:spacing w:after="0" w:line="26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w:t>
      </w:r>
    </w:p>
    <w:p>
      <w:pPr>
        <w:spacing w:after="0" w:line="52" w:lineRule="exact"/>
        <w:rPr>
          <w:rFonts w:ascii="Arial" w:cs="Arial" w:eastAsia="Arial" w:hAnsi="Arial"/>
          <w:sz w:val="18"/>
          <w:szCs w:val="18"/>
          <w:color w:val="auto"/>
        </w:rPr>
      </w:pPr>
    </w:p>
    <w:p>
      <w:pPr>
        <w:ind w:left="900" w:hanging="25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17" w:lineRule="exact"/>
        <w:rPr>
          <w:rFonts w:ascii="Arial" w:cs="Arial" w:eastAsia="Arial" w:hAnsi="Arial"/>
          <w:sz w:val="18"/>
          <w:szCs w:val="18"/>
          <w:color w:val="auto"/>
        </w:rPr>
      </w:pPr>
    </w:p>
    <w:p>
      <w:pPr>
        <w:ind w:left="900" w:right="500" w:hanging="257"/>
        <w:spacing w:after="0" w:line="26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79" w:lineRule="exact"/>
        <w:rPr>
          <w:sz w:val="20"/>
          <w:szCs w:val="20"/>
          <w:color w:val="auto"/>
        </w:rPr>
      </w:pPr>
    </w:p>
    <w:p>
      <w:pPr>
        <w:ind w:right="20" w:firstLine="647"/>
        <w:spacing w:after="0"/>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1Unadjusted quoted prices in active markets that are accessible at the measurement date for identical assets and liabilities;</w:t>
      </w:r>
    </w:p>
    <w:p>
      <w:pPr>
        <w:spacing w:after="0" w:line="104" w:lineRule="exact"/>
        <w:rPr>
          <w:sz w:val="20"/>
          <w:szCs w:val="20"/>
          <w:color w:val="auto"/>
        </w:rPr>
      </w:pPr>
    </w:p>
    <w:p>
      <w:pPr>
        <w:ind w:left="1220" w:right="100" w:hanging="580"/>
        <w:spacing w:after="0" w:line="246" w:lineRule="auto"/>
        <w:rPr>
          <w:sz w:val="20"/>
          <w:szCs w:val="20"/>
          <w:color w:val="auto"/>
        </w:rPr>
      </w:pPr>
      <w:r>
        <w:rPr>
          <w:rFonts w:ascii="Arial" w:cs="Arial" w:eastAsia="Arial" w:hAnsi="Arial"/>
          <w:sz w:val="18"/>
          <w:szCs w:val="18"/>
          <w:color w:val="auto"/>
        </w:rPr>
        <w:t>Level 2Pricing inputs that include quoted prices for similar assets and liabilities in active markets and inputs that are observable for the asset or liability, either directly or indirectly, for substantially the full term of the instrument; and</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3Prices or valuations that require inputs that are both significant to the fair value measurements and unobservable.</w:t>
      </w:r>
    </w:p>
    <w:p>
      <w:pPr>
        <w:spacing w:after="0" w:line="212" w:lineRule="exact"/>
        <w:rPr>
          <w:sz w:val="20"/>
          <w:szCs w:val="20"/>
          <w:color w:val="auto"/>
        </w:rPr>
      </w:pPr>
    </w:p>
    <w:p>
      <w:pPr>
        <w:ind w:right="340" w:firstLine="647"/>
        <w:spacing w:after="0" w:line="239"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2" w:lineRule="exact"/>
        <w:rPr>
          <w:sz w:val="20"/>
          <w:szCs w:val="20"/>
          <w:color w:val="auto"/>
        </w:rPr>
      </w:pPr>
    </w:p>
    <w:p>
      <w:pPr>
        <w:ind w:right="560" w:firstLine="647"/>
        <w:spacing w:after="0" w:line="246" w:lineRule="auto"/>
        <w:rPr>
          <w:sz w:val="20"/>
          <w:szCs w:val="20"/>
          <w:color w:val="auto"/>
        </w:rPr>
      </w:pPr>
      <w:r>
        <w:rPr>
          <w:rFonts w:ascii="Arial" w:cs="Arial" w:eastAsia="Arial" w:hAnsi="Arial"/>
          <w:sz w:val="18"/>
          <w:szCs w:val="18"/>
          <w:color w:val="auto"/>
        </w:rPr>
        <w:t>The following table sets forth assets associated with the pension plan in “Note 15 – Retirement and Other Benefit Plans” that are accounted for at fair value by Level within the fair value hierarchy.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as of December 31, 2018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December 31, 2108</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Mutual funds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Fixed income</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10,168</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2,900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10,168</w:t>
            </w:r>
          </w:p>
        </w:tc>
        <w:tc>
          <w:tcPr>
            <w:tcW w:w="240" w:type="dxa"/>
            <w:vAlign w:val="bottom"/>
          </w:tcPr>
          <w:p>
            <w:pPr>
              <w:spacing w:after="0"/>
              <w:rPr>
                <w:sz w:val="18"/>
                <w:szCs w:val="18"/>
                <w:color w:val="auto"/>
              </w:rPr>
            </w:pP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ind w:left="660"/>
              <w:spacing w:after="0"/>
              <w:rPr>
                <w:sz w:val="20"/>
                <w:szCs w:val="20"/>
                <w:color w:val="auto"/>
              </w:rPr>
            </w:pPr>
            <w:r>
              <w:rPr>
                <w:rFonts w:ascii="Arial" w:cs="Arial" w:eastAsia="Arial" w:hAnsi="Arial"/>
                <w:sz w:val="18"/>
                <w:szCs w:val="18"/>
                <w:color w:val="auto"/>
              </w:rPr>
              <w:t>Fair value as of March 31, 2019 (in thousands):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0" w:type="dxa"/>
            <w:vAlign w:val="bottom"/>
            <w:vMerge w:val="restart"/>
          </w:tcPr>
          <w:p>
            <w:pPr>
              <w:spacing w:after="0"/>
              <w:rPr>
                <w:sz w:val="20"/>
                <w:szCs w:val="20"/>
                <w:color w:val="auto"/>
              </w:rPr>
            </w:pPr>
            <w:r>
              <w:rPr>
                <w:rFonts w:ascii="Arial" w:cs="Arial" w:eastAsia="Arial" w:hAnsi="Arial"/>
                <w:sz w:val="14"/>
                <w:szCs w:val="14"/>
                <w:b w:val="1"/>
                <w:bCs w:val="1"/>
                <w:color w:val="auto"/>
              </w:rPr>
              <w:t>March 31, 2109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34"/>
              <w:spacing w:after="0" w:line="156"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54"/>
              <w:spacing w:after="0" w:line="156"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36"/>
              <w:spacing w:after="0" w:line="156"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4"/>
              <w:spacing w:after="0" w:line="156"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Mutual funds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Fixed income</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10,689</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2,979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10,689</w:t>
            </w:r>
          </w:p>
        </w:tc>
        <w:tc>
          <w:tcPr>
            <w:tcW w:w="240" w:type="dxa"/>
            <w:vAlign w:val="bottom"/>
          </w:tcPr>
          <w:p>
            <w:pPr>
              <w:spacing w:after="0"/>
              <w:rPr>
                <w:sz w:val="18"/>
                <w:szCs w:val="18"/>
                <w:color w:val="auto"/>
              </w:rPr>
            </w:pP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13,667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647"/>
        <w:spacing w:after="0" w:line="238" w:lineRule="auto"/>
        <w:rPr>
          <w:sz w:val="20"/>
          <w:szCs w:val="20"/>
          <w:color w:val="auto"/>
        </w:rPr>
      </w:pPr>
      <w:r>
        <w:rPr>
          <w:rFonts w:ascii="Arial" w:cs="Arial" w:eastAsia="Arial" w:hAnsi="Arial"/>
          <w:sz w:val="18"/>
          <w:szCs w:val="18"/>
          <w:color w:val="auto"/>
        </w:rPr>
        <w:t>As described in “Note 15 – Retirement and Other Benefit Plans,” the Company acquired a defined contribution pension plan, a defined benefit pension plan, and supplemental retirement plans. At December 31, 2018 and March 31, 2019, the Company measured the mutual funds held within the defined benefit pension plan at fair value using unadjusted quoted prices in active markets that are accessible for identical assets. The Company measured the fixed income securities using market bid and ask prices. The inputs that are significant to valuation of fixed income securities are generally observable and therefore have been classified as Level 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4" w:name="page25"/>
    <w:bookmarkEnd w:id="24"/>
    <w:p>
      <w:pPr>
        <w:ind w:firstLine="647"/>
        <w:spacing w:after="0" w:line="246" w:lineRule="auto"/>
        <w:rPr>
          <w:sz w:val="20"/>
          <w:szCs w:val="20"/>
          <w:color w:val="auto"/>
        </w:rPr>
      </w:pPr>
      <w:r>
        <w:rPr>
          <w:rFonts w:ascii="Arial" w:cs="Arial" w:eastAsia="Arial" w:hAnsi="Arial"/>
          <w:sz w:val="18"/>
          <w:szCs w:val="18"/>
          <w:color w:val="auto"/>
        </w:rPr>
        <w:t>The following table sets forth redeemable common stock associated with the ESOP in as described in “Note 14 – Retirement and Other Benefit Plans” that is accounted for at fair value by Level within the fair value hierarchy.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as of December 31, 2018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December 31, 2108</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5"/>
                <w:szCs w:val="15"/>
                <w:color w:val="auto"/>
              </w:rPr>
            </w:pPr>
          </w:p>
        </w:tc>
      </w:tr>
      <w:tr>
        <w:trPr>
          <w:trHeight w:val="21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Redeemable common stock</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1,876,309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1,876,309</w:t>
            </w:r>
          </w:p>
        </w:tc>
        <w:tc>
          <w:tcPr>
            <w:tcW w:w="120" w:type="dxa"/>
            <w:vAlign w:val="bottom"/>
            <w:shd w:val="clear" w:color="auto" w:fill="CFF0FC"/>
          </w:tcPr>
          <w:p>
            <w:pPr>
              <w:spacing w:after="0"/>
              <w:rPr>
                <w:sz w:val="18"/>
                <w:szCs w:val="18"/>
                <w:color w:val="auto"/>
              </w:rPr>
            </w:pPr>
          </w:p>
        </w:tc>
      </w:tr>
      <w:tr>
        <w:trPr>
          <w:trHeight w:val="459"/>
        </w:trPr>
        <w:tc>
          <w:tcPr>
            <w:tcW w:w="5800" w:type="dxa"/>
            <w:vAlign w:val="bottom"/>
          </w:tcPr>
          <w:p>
            <w:pPr>
              <w:ind w:left="660"/>
              <w:spacing w:after="0"/>
              <w:rPr>
                <w:sz w:val="20"/>
                <w:szCs w:val="20"/>
                <w:color w:val="auto"/>
              </w:rPr>
            </w:pPr>
            <w:r>
              <w:rPr>
                <w:rFonts w:ascii="Arial" w:cs="Arial" w:eastAsia="Arial" w:hAnsi="Arial"/>
                <w:sz w:val="18"/>
                <w:szCs w:val="18"/>
                <w:color w:val="auto"/>
              </w:rPr>
              <w:t>Fair value as of March 31, 2019 (in thousands):</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5"/>
        </w:trPr>
        <w:tc>
          <w:tcPr>
            <w:tcW w:w="58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March 31, 2109</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24"/>
                <w:szCs w:val="24"/>
                <w:color w:val="auto"/>
              </w:rPr>
            </w:pPr>
          </w:p>
        </w:tc>
      </w:tr>
      <w:tr>
        <w:trPr>
          <w:trHeight w:val="21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Redeemable common stock</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1,875,332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1,875,332</w:t>
            </w:r>
          </w:p>
        </w:tc>
        <w:tc>
          <w:tcPr>
            <w:tcW w:w="12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ind w:right="140" w:firstLine="647"/>
        <w:spacing w:after="0" w:line="238" w:lineRule="auto"/>
        <w:rPr>
          <w:sz w:val="20"/>
          <w:szCs w:val="20"/>
          <w:color w:val="auto"/>
        </w:rPr>
      </w:pPr>
      <w:r>
        <w:rPr>
          <w:rFonts w:ascii="Arial" w:cs="Arial" w:eastAsia="Arial" w:hAnsi="Arial"/>
          <w:sz w:val="18"/>
          <w:szCs w:val="18"/>
          <w:color w:val="auto"/>
        </w:rPr>
        <w:t>As described in “Note 15 – Retirement and Other Benefit Plans,” the Company is obligated to redeem eligible participants’ interests in their ESOP accounts for cash upon an employee’s election. All shares held by the ESOP are eventually redeemable in the future for cash at the option of the holder once vesting and eligibility requirements have been met. The Company presents all shares held by the ESOP as temporary equity on the consolidated balance sheets at their redemption value. At December 31, 2018 and March 31, 2019, approximately 78,172,809 shares and 78,138,831 shares, respectively of the Company’s stock were held by the ESOP which the Company recorded at their</w:t>
      </w:r>
    </w:p>
    <w:p>
      <w:pPr>
        <w:spacing w:after="0" w:line="1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aggregate redemption values of $1.9 billion. The redemption values are based on a share price established by the ESOP trustee, taking into account, among other things, the advice of a third-party valuation consultant for the ESOP trustee as well as the ESOP trustee’s knowledge of the Company. The share price valuation was determined using a combination of income and market-based methods that utilized unobservable Level 3 inputs, including significant assumptions such as forecasted revenue and operating margins, working capital requirements, and weighted average cost of capital.</w:t>
      </w:r>
    </w:p>
    <w:p>
      <w:pPr>
        <w:spacing w:after="0" w:line="203" w:lineRule="exact"/>
        <w:rPr>
          <w:sz w:val="20"/>
          <w:szCs w:val="20"/>
          <w:color w:val="auto"/>
        </w:rPr>
      </w:pPr>
    </w:p>
    <w:p>
      <w:pPr>
        <w:ind w:right="380" w:firstLine="647"/>
        <w:spacing w:after="0" w:line="246" w:lineRule="auto"/>
        <w:rPr>
          <w:sz w:val="20"/>
          <w:szCs w:val="20"/>
          <w:color w:val="auto"/>
        </w:rPr>
      </w:pPr>
      <w:r>
        <w:rPr>
          <w:rFonts w:ascii="Arial" w:cs="Arial" w:eastAsia="Arial" w:hAnsi="Arial"/>
          <w:sz w:val="18"/>
          <w:szCs w:val="18"/>
          <w:color w:val="auto"/>
        </w:rPr>
        <w:t>The following tables present a reconciliation of the beginning and ending balances of the fair value measurements using significant unobservable inputs (Level 3) (in thousands):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2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1,876,309</w:t>
            </w: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6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(813)</w:t>
            </w:r>
          </w:p>
        </w:tc>
      </w:tr>
      <w:tr>
        <w:trPr>
          <w:trHeight w:val="216"/>
        </w:trPr>
        <w:tc>
          <w:tcPr>
            <w:tcW w:w="8240" w:type="dxa"/>
            <w:vAlign w:val="bottom"/>
            <w:shd w:val="clear" w:color="auto" w:fill="CFF0FC"/>
          </w:tcPr>
          <w:p>
            <w:pPr>
              <w:spacing w:after="0"/>
              <w:rPr>
                <w:sz w:val="20"/>
                <w:szCs w:val="20"/>
                <w:color w:val="auto"/>
              </w:rPr>
            </w:pPr>
            <w:r>
              <w:rPr>
                <w:rFonts w:ascii="Arial" w:cs="Arial" w:eastAsia="Arial" w:hAnsi="Arial"/>
                <w:sz w:val="18"/>
                <w:szCs w:val="18"/>
                <w:color w:val="auto"/>
              </w:rPr>
              <w:t>Share price adjustment</w:t>
            </w:r>
          </w:p>
        </w:tc>
        <w:tc>
          <w:tcPr>
            <w:tcW w:w="6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w:t>
            </w:r>
          </w:p>
        </w:tc>
      </w:tr>
      <w:tr>
        <w:trPr>
          <w:trHeight w:val="210"/>
        </w:trPr>
        <w:tc>
          <w:tcPr>
            <w:tcW w:w="824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1,875,332</w:t>
            </w:r>
          </w:p>
        </w:tc>
        <w:tc>
          <w:tcPr>
            <w:tcW w:w="100" w:type="dxa"/>
            <w:vAlign w:val="bottom"/>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8"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6" w:lineRule="exact"/>
        <w:rPr>
          <w:sz w:val="20"/>
          <w:szCs w:val="20"/>
          <w:color w:val="auto"/>
        </w:rPr>
      </w:pPr>
    </w:p>
    <w:p>
      <w:pPr>
        <w:ind w:right="580" w:firstLine="647"/>
        <w:spacing w:after="0" w:line="246" w:lineRule="auto"/>
        <w:rPr>
          <w:sz w:val="20"/>
          <w:szCs w:val="20"/>
          <w:color w:val="auto"/>
        </w:rPr>
      </w:pPr>
      <w:r>
        <w:rPr>
          <w:rFonts w:ascii="Arial" w:cs="Arial" w:eastAsia="Arial" w:hAnsi="Arial"/>
          <w:sz w:val="18"/>
          <w:szCs w:val="18"/>
          <w:color w:val="auto"/>
        </w:rPr>
        <w:t>Basic earnings per common share is computed using the weighted average number of shares outstanding during the period and income available to shareholders.</w:t>
      </w:r>
    </w:p>
    <w:p>
      <w:pPr>
        <w:spacing w:after="0" w:line="197" w:lineRule="exact"/>
        <w:rPr>
          <w:sz w:val="20"/>
          <w:szCs w:val="20"/>
          <w:color w:val="auto"/>
        </w:rPr>
      </w:pPr>
    </w:p>
    <w:p>
      <w:pPr>
        <w:ind w:right="320" w:firstLine="647"/>
        <w:spacing w:after="0"/>
        <w:rPr>
          <w:sz w:val="20"/>
          <w:szCs w:val="20"/>
          <w:color w:val="auto"/>
        </w:rPr>
      </w:pPr>
      <w:r>
        <w:rPr>
          <w:rFonts w:ascii="Arial" w:cs="Arial" w:eastAsia="Arial" w:hAnsi="Arial"/>
          <w:sz w:val="18"/>
          <w:szCs w:val="18"/>
          <w:color w:val="auto"/>
        </w:rPr>
        <w:t>Diluted earnings per share (“EPS”) is computed similar to basic EPS, except the weighted average number of shares outstanding is increased to include the dilutive effects of outstanding stock options and other stock-based awards. There were no dilutive securities outstanding for the three months ended March 30, 2018 and March 31, 2019.</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number of shares used to compute basic and diluted EPS were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7080" w:type="dxa"/>
            <w:vAlign w:val="bottom"/>
          </w:tcPr>
          <w:p>
            <w:pPr>
              <w:spacing w:after="0"/>
              <w:rPr>
                <w:sz w:val="15"/>
                <w:szCs w:val="15"/>
                <w:color w:val="auto"/>
              </w:rPr>
            </w:pPr>
          </w:p>
        </w:tc>
        <w:tc>
          <w:tcPr>
            <w:tcW w:w="308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169"/>
        </w:trPr>
        <w:tc>
          <w:tcPr>
            <w:tcW w:w="708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30, 2018</w:t>
            </w: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81,846,305</w:t>
            </w:r>
          </w:p>
        </w:tc>
        <w:tc>
          <w:tcPr>
            <w:tcW w:w="24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78,161,484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Dilutive common share equivalents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r>
      <w:tr>
        <w:trPr>
          <w:trHeight w:val="210"/>
        </w:trPr>
        <w:tc>
          <w:tcPr>
            <w:tcW w:w="7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81,846,305</w:t>
            </w:r>
          </w:p>
        </w:tc>
        <w:tc>
          <w:tcPr>
            <w:tcW w:w="2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78,161,484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8"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Segments Information</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320" w:firstLine="647"/>
        <w:spacing w:after="0" w:line="246" w:lineRule="auto"/>
        <w:rPr>
          <w:sz w:val="20"/>
          <w:szCs w:val="20"/>
          <w:color w:val="auto"/>
        </w:rPr>
      </w:pPr>
      <w:r>
        <w:rPr>
          <w:rFonts w:ascii="Arial" w:cs="Arial" w:eastAsia="Arial" w:hAnsi="Arial"/>
          <w:sz w:val="18"/>
          <w:szCs w:val="18"/>
          <w:color w:val="auto"/>
        </w:rPr>
        <w:t>The Federal Solutions segment is a high-end services provider to the U.S. government, delivering timely, cost-effective solutions for mission-critical projects. The segment provides advanced technologies, including cybersecurity,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5" w:name="page26"/>
    <w:bookmarkEnd w:id="25"/>
    <w:p>
      <w:pPr>
        <w:ind w:right="260"/>
        <w:spacing w:after="0" w:line="246" w:lineRule="auto"/>
        <w:rPr>
          <w:sz w:val="20"/>
          <w:szCs w:val="20"/>
          <w:color w:val="auto"/>
        </w:rPr>
      </w:pPr>
      <w:r>
        <w:rPr>
          <w:rFonts w:ascii="Arial" w:cs="Arial" w:eastAsia="Arial" w:hAnsi="Arial"/>
          <w:sz w:val="18"/>
          <w:szCs w:val="18"/>
          <w:color w:val="auto"/>
        </w:rPr>
        <w:t>missile defense systems, and subsurface munitions detection, as well as military facility modernization, logistics support, chemical weapon remediation and engineering services.</w:t>
      </w:r>
    </w:p>
    <w:p>
      <w:pPr>
        <w:spacing w:after="0" w:line="197" w:lineRule="exact"/>
        <w:rPr>
          <w:sz w:val="20"/>
          <w:szCs w:val="20"/>
          <w:color w:val="auto"/>
        </w:rPr>
      </w:pPr>
    </w:p>
    <w:p>
      <w:pPr>
        <w:ind w:firstLine="647"/>
        <w:spacing w:after="0" w:line="239" w:lineRule="auto"/>
        <w:rPr>
          <w:sz w:val="20"/>
          <w:szCs w:val="20"/>
          <w:color w:val="auto"/>
        </w:rPr>
      </w:pPr>
      <w:r>
        <w:rPr>
          <w:rFonts w:ascii="Arial" w:cs="Arial" w:eastAsia="Arial" w:hAnsi="Arial"/>
          <w:sz w:val="18"/>
          <w:szCs w:val="18"/>
          <w:color w:val="auto"/>
        </w:rPr>
        <w:t>The Critical Infrastructure segment provides integrated design and engineering services for complex physical and digital infrastructure around the globe. The Critical Infrastructure segment is a technology innovator focused on next generation infrastructure. Industry leading capabilities in design and project management allow the Company to deliver significant value to customers by employing cutting-edge technologies, improving timelines and reducing costs.</w:t>
      </w:r>
    </w:p>
    <w:p>
      <w:pPr>
        <w:spacing w:after="0" w:line="202" w:lineRule="exact"/>
        <w:rPr>
          <w:sz w:val="20"/>
          <w:szCs w:val="20"/>
          <w:color w:val="auto"/>
        </w:rPr>
      </w:pPr>
    </w:p>
    <w:p>
      <w:pPr>
        <w:ind w:firstLine="647"/>
        <w:spacing w:after="0" w:line="239"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currently its Chairman and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business segment revenue for the periods presented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169"/>
        </w:trPr>
        <w:tc>
          <w:tcPr>
            <w:tcW w:w="4700" w:type="dxa"/>
            <w:vAlign w:val="bottom"/>
            <w:tcBorders>
              <w:bottom w:val="single" w:sz="8" w:color="CFF0FC"/>
            </w:tcBorders>
          </w:tcPr>
          <w:p>
            <w:pPr>
              <w:spacing w:after="0"/>
              <w:rPr>
                <w:sz w:val="14"/>
                <w:szCs w:val="14"/>
                <w:color w:val="auto"/>
              </w:rPr>
            </w:pPr>
          </w:p>
        </w:tc>
        <w:tc>
          <w:tcPr>
            <w:tcW w:w="23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March 30, 2018</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4"/>
                <w:szCs w:val="14"/>
                <w:color w:val="auto"/>
              </w:rPr>
            </w:pPr>
          </w:p>
        </w:tc>
      </w:tr>
      <w:tr>
        <w:trPr>
          <w:trHeight w:val="21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 revenue</w:t>
            </w:r>
          </w:p>
        </w:tc>
        <w:tc>
          <w:tcPr>
            <w:tcW w:w="2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291,335</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422,812</w:t>
            </w: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 revenue</w:t>
            </w:r>
          </w:p>
        </w:tc>
        <w:tc>
          <w:tcPr>
            <w:tcW w:w="23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463,344</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481,593</w:t>
            </w:r>
          </w:p>
        </w:tc>
        <w:tc>
          <w:tcPr>
            <w:tcW w:w="120" w:type="dxa"/>
            <w:vAlign w:val="bottom"/>
            <w:tcBorders>
              <w:bottom w:val="single" w:sz="8" w:color="CFF0FC"/>
            </w:tcBorders>
          </w:tcPr>
          <w:p>
            <w:pPr>
              <w:spacing w:after="0"/>
              <w:rPr>
                <w:sz w:val="18"/>
                <w:szCs w:val="18"/>
                <w:color w:val="auto"/>
              </w:rPr>
            </w:pPr>
          </w:p>
        </w:tc>
      </w:tr>
      <w:tr>
        <w:trPr>
          <w:trHeight w:val="21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754,679</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904,405</w:t>
            </w:r>
          </w:p>
        </w:tc>
        <w:tc>
          <w:tcPr>
            <w:tcW w:w="120" w:type="dxa"/>
            <w:vAlign w:val="bottom"/>
            <w:shd w:val="clear" w:color="auto" w:fill="CFF0FC"/>
          </w:tcPr>
          <w:p>
            <w:pPr>
              <w:spacing w:after="0"/>
              <w:rPr>
                <w:sz w:val="18"/>
                <w:szCs w:val="18"/>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2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firstLine="647"/>
        <w:spacing w:after="0" w:line="236" w:lineRule="auto"/>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income and expense recognized on litigation matters, expenses incurred in connection with acquisitions and other non-recurring transaction costs and expenses related to our prior restructuring. The following table reconciles business segment Adjusted EBITDA attributable to Parsons Corporation to Net Income attributable to Parsons Corporation for the periods presented (in thousands):</w:t>
      </w:r>
    </w:p>
    <w:p>
      <w:pPr>
        <w:spacing w:after="0" w:line="29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jc w:val="right"/>
              <w:ind w:right="7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210"/>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 attributable to Parsons Corporation</w:t>
            </w:r>
          </w:p>
        </w:tc>
        <w:tc>
          <w:tcPr>
            <w:tcW w:w="5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March 30, 2018</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8"/>
                <w:szCs w:val="18"/>
                <w:color w:val="auto"/>
              </w:rPr>
            </w:pPr>
          </w:p>
        </w:tc>
      </w:tr>
      <w:tr>
        <w:trPr>
          <w:trHeight w:val="21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Solutions</w:t>
            </w: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20,154</w:t>
            </w:r>
          </w:p>
        </w:tc>
        <w:tc>
          <w:tcPr>
            <w:tcW w:w="2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38,866</w:t>
            </w:r>
          </w:p>
        </w:tc>
        <w:tc>
          <w:tcPr>
            <w:tcW w:w="120" w:type="dxa"/>
            <w:vAlign w:val="bottom"/>
            <w:shd w:val="clear" w:color="auto" w:fill="CFF0FC"/>
          </w:tcPr>
          <w:p>
            <w:pPr>
              <w:spacing w:after="0"/>
              <w:rPr>
                <w:sz w:val="18"/>
                <w:szCs w:val="18"/>
                <w:color w:val="auto"/>
              </w:rPr>
            </w:pPr>
          </w:p>
        </w:tc>
      </w:tr>
      <w:tr>
        <w:trPr>
          <w:trHeight w:val="216"/>
        </w:trPr>
        <w:tc>
          <w:tcPr>
            <w:tcW w:w="6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Critical Infrastructure</w:t>
            </w:r>
          </w:p>
        </w:tc>
        <w:tc>
          <w:tcPr>
            <w:tcW w:w="5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23,656</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25,559</w:t>
            </w:r>
          </w:p>
        </w:tc>
        <w:tc>
          <w:tcPr>
            <w:tcW w:w="120" w:type="dxa"/>
            <w:vAlign w:val="bottom"/>
            <w:tcBorders>
              <w:bottom w:val="single" w:sz="8" w:color="CFF0FC"/>
            </w:tcBorders>
          </w:tcPr>
          <w:p>
            <w:pPr>
              <w:spacing w:after="0"/>
              <w:rPr>
                <w:sz w:val="18"/>
                <w:szCs w:val="18"/>
                <w:color w:val="auto"/>
              </w:rPr>
            </w:pPr>
          </w:p>
        </w:tc>
      </w:tr>
      <w:tr>
        <w:trPr>
          <w:trHeight w:val="21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Parsons Corporation</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43,810</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64,425</w:t>
            </w:r>
          </w:p>
        </w:tc>
        <w:tc>
          <w:tcPr>
            <w:tcW w:w="12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3,920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3,749</w:t>
            </w:r>
          </w:p>
        </w:tc>
        <w:tc>
          <w:tcPr>
            <w:tcW w:w="12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(9,009)</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(30,591)</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Interest expense, net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(3,258)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(7,815)</w:t>
            </w: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(5,353)</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(1,886)</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Litigation-related expenses(a)</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(2,330)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gain resulting from sale-leaseback transactions(b)</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Transaction-related costs(c)</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(9,355)</w:t>
            </w: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Restructuring(d)</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(2,218)</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HCM software implementation costs(e)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(2,912)</w:t>
            </w: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Other(f)</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(366)</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13,386</w:t>
            </w:r>
          </w:p>
        </w:tc>
        <w:tc>
          <w:tcPr>
            <w:tcW w:w="12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5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3,815</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3,645</w:t>
            </w:r>
          </w:p>
        </w:tc>
        <w:tc>
          <w:tcPr>
            <w:tcW w:w="120" w:type="dxa"/>
            <w:vAlign w:val="bottom"/>
            <w:shd w:val="clear" w:color="auto" w:fill="CFF0FC"/>
          </w:tcPr>
          <w:p>
            <w:pPr>
              <w:spacing w:after="0"/>
              <w:rPr>
                <w:sz w:val="18"/>
                <w:szCs w:val="18"/>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Net income attributable to Parsons Corporation</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25,287</w:t>
            </w:r>
          </w:p>
        </w:tc>
        <w:tc>
          <w:tcPr>
            <w:tcW w:w="24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9,741</w:t>
            </w:r>
          </w:p>
        </w:tc>
        <w:tc>
          <w:tcPr>
            <w:tcW w:w="12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690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49" w:lineRule="exact"/>
        <w:rPr>
          <w:sz w:val="20"/>
          <w:szCs w:val="20"/>
          <w:color w:val="auto"/>
        </w:rPr>
      </w:pPr>
    </w:p>
    <w:p>
      <w:pPr>
        <w:ind w:left="660" w:right="260" w:hanging="652"/>
        <w:spacing w:after="0" w:line="24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interest expense in “(Interest and other expenses) gain associated with claim on long-term contract” in our results of operations associated with a lawsuit against a joint venture in which the Company is the managing partner. Please see “Note 14 – Commitments and Contingencies” in the Company’s Form S-1/A filed on April 29, 2019, for a description of this matter, which was resolved in favor of the Company on June 13, 2018.</w:t>
      </w:r>
    </w:p>
    <w:p>
      <w:pPr>
        <w:spacing w:after="0" w:line="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recognized deferred gains related to sales-leaseback transactions described in “Note 11 – Sale-Leasebacks.”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71" w:right="379" w:bottom="1440" w:gutter="0" w:footer="0" w:header="0"/>
        </w:sectPr>
      </w:pPr>
    </w:p>
    <w:bookmarkStart w:id="26" w:name="page27"/>
    <w:bookmarkEnd w:id="26"/>
    <w:p>
      <w:pPr>
        <w:ind w:left="660" w:right="260" w:hanging="652"/>
        <w:spacing w:after="0" w:line="23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initial public offering,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40" w:hanging="632"/>
        <w:spacing w:after="0" w:line="23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costs associated with our corporate restructuring initiatives.</w:t>
      </w:r>
    </w:p>
    <w:p>
      <w:pPr>
        <w:ind w:left="660" w:hanging="652"/>
        <w:spacing w:after="0" w:line="23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implementation costs incurred in connection with a new human resources and payroll application.</w:t>
      </w:r>
    </w:p>
    <w:p>
      <w:pPr>
        <w:ind w:left="640" w:right="1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a loss from sale of a subsidiary and other individually insignificant items that are non-recurring in nature for the quarter ended March 30, 2018, and a combination of gain/loss related to sale of fixed assets and other individually insignificant items that are non-recurring in nature for the quarter ended March 31, 2019.</w:t>
      </w:r>
    </w:p>
    <w:p>
      <w:pPr>
        <w:spacing w:after="0" w:line="2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Asset information by segment is not a key measure of performance used by the CODM.</w:t>
      </w:r>
    </w:p>
    <w:p>
      <w:pPr>
        <w:spacing w:after="0" w:line="2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tables presents revenues and property and equipment, net by geographic area (in thousands):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March 30, 2018</w:t>
            </w:r>
          </w:p>
        </w:tc>
        <w:tc>
          <w:tcPr>
            <w:tcW w:w="20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10"/>
        </w:trPr>
        <w:tc>
          <w:tcPr>
            <w:tcW w:w="7500" w:type="dxa"/>
            <w:vAlign w:val="bottom"/>
          </w:tcPr>
          <w:p>
            <w:pPr>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587,307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731,030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60"/>
              <w:spacing w:after="0"/>
              <w:rPr>
                <w:sz w:val="20"/>
                <w:szCs w:val="20"/>
                <w:color w:val="auto"/>
              </w:rPr>
            </w:pPr>
            <w:r>
              <w:rPr>
                <w:rFonts w:ascii="Arial" w:cs="Arial" w:eastAsia="Arial" w:hAnsi="Arial"/>
                <w:sz w:val="18"/>
                <w:szCs w:val="18"/>
                <w:color w:val="auto"/>
              </w:rPr>
              <w:t>Middle East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162,406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167,952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 of World</w:t>
            </w:r>
          </w:p>
        </w:tc>
        <w:tc>
          <w:tcPr>
            <w:tcW w:w="3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4,966</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Pr>
          <w:p>
            <w:pPr>
              <w:spacing w:after="0"/>
              <w:rPr>
                <w:sz w:val="20"/>
                <w:szCs w:val="20"/>
                <w:color w:val="auto"/>
              </w:rPr>
            </w:pPr>
            <w:r>
              <w:rPr>
                <w:rFonts w:ascii="Arial" w:cs="Arial" w:eastAsia="Arial" w:hAnsi="Arial"/>
                <w:sz w:val="18"/>
                <w:szCs w:val="18"/>
                <w:color w:val="auto"/>
              </w:rPr>
              <w:t>Total Revenue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754,679</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904,405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vMerge w:val="restart"/>
          </w:tcPr>
          <w:p>
            <w:pPr>
              <w:ind w:left="660"/>
              <w:spacing w:after="0"/>
              <w:rPr>
                <w:sz w:val="20"/>
                <w:szCs w:val="20"/>
                <w:color w:val="auto"/>
              </w:rPr>
            </w:pPr>
            <w:r>
              <w:rPr>
                <w:rFonts w:ascii="Arial" w:cs="Arial" w:eastAsia="Arial" w:hAnsi="Arial"/>
                <w:sz w:val="18"/>
                <w:szCs w:val="18"/>
                <w:color w:val="auto"/>
              </w:rPr>
              <w:t>The geographic location of revenue is determined by the location of the customer.</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7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10"/>
        </w:trPr>
        <w:tc>
          <w:tcPr>
            <w:tcW w:w="75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86,847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Middle East</w:t>
            </w:r>
          </w:p>
        </w:tc>
        <w:tc>
          <w:tcPr>
            <w:tcW w:w="3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91,849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340" w:firstLine="647"/>
        <w:spacing w:after="0"/>
        <w:rPr>
          <w:sz w:val="20"/>
          <w:szCs w:val="20"/>
          <w:color w:val="auto"/>
        </w:rPr>
      </w:pPr>
      <w:r>
        <w:rPr>
          <w:rFonts w:ascii="Arial" w:cs="Arial" w:eastAsia="Arial" w:hAnsi="Arial"/>
          <w:sz w:val="18"/>
          <w:szCs w:val="18"/>
          <w:color w:val="auto"/>
        </w:rPr>
        <w:t>North America revenue includes $540.5 million and $669.2 million of United States revenue for the three months ended March 30, 2018 and March 31, 2019, respectively. North America property and equipment, net includes $79.9 million and $86.2 million of property and equipment, net in the United States at December 31, 2018 and March 31, 2019, respectively.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revenues by business lines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133"/>
              <w:spacing w:after="0"/>
              <w:rPr>
                <w:sz w:val="20"/>
                <w:szCs w:val="20"/>
                <w:color w:val="auto"/>
              </w:rPr>
            </w:pPr>
            <w:r>
              <w:rPr>
                <w:rFonts w:ascii="Arial" w:cs="Arial" w:eastAsia="Arial" w:hAnsi="Arial"/>
                <w:sz w:val="14"/>
                <w:szCs w:val="14"/>
                <w:b w:val="1"/>
                <w:bCs w:val="1"/>
                <w:color w:val="auto"/>
              </w:rPr>
              <w:t>March 30, 2018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2019</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gridSpan w:val="2"/>
          </w:tcPr>
          <w:p>
            <w:pPr>
              <w:ind w:left="580"/>
              <w:spacing w:after="0"/>
              <w:rPr>
                <w:sz w:val="20"/>
                <w:szCs w:val="20"/>
                <w:color w:val="auto"/>
              </w:rPr>
            </w:pPr>
            <w:r>
              <w:rPr>
                <w:rFonts w:ascii="Arial" w:cs="Arial" w:eastAsia="Arial" w:hAnsi="Arial"/>
                <w:sz w:val="18"/>
                <w:szCs w:val="18"/>
                <w:color w:val="auto"/>
              </w:rPr>
              <w:t>Revenue</w:t>
            </w: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Cyber &amp; Intelligence</w:t>
            </w:r>
          </w:p>
        </w:tc>
        <w:tc>
          <w:tcPr>
            <w:tcW w:w="33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44,367</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76,110</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ind w:left="500"/>
              <w:spacing w:after="0"/>
              <w:rPr>
                <w:sz w:val="20"/>
                <w:szCs w:val="20"/>
                <w:color w:val="auto"/>
              </w:rPr>
            </w:pPr>
            <w:r>
              <w:rPr>
                <w:rFonts w:ascii="Arial" w:cs="Arial" w:eastAsia="Arial" w:hAnsi="Arial"/>
                <w:sz w:val="18"/>
                <w:szCs w:val="18"/>
                <w:color w:val="auto"/>
              </w:rPr>
              <w:t>Defense</w:t>
            </w: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73,540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134,990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Mission Solutions</w:t>
            </w:r>
          </w:p>
        </w:tc>
        <w:tc>
          <w:tcPr>
            <w:tcW w:w="3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74,149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68,090</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ind w:left="500"/>
              <w:spacing w:after="0"/>
              <w:rPr>
                <w:sz w:val="20"/>
                <w:szCs w:val="20"/>
                <w:color w:val="auto"/>
              </w:rPr>
            </w:pPr>
            <w:r>
              <w:rPr>
                <w:rFonts w:ascii="Arial" w:cs="Arial" w:eastAsia="Arial" w:hAnsi="Arial"/>
                <w:sz w:val="18"/>
                <w:szCs w:val="18"/>
                <w:color w:val="auto"/>
              </w:rPr>
              <w:t>Engineered Systems</w:t>
            </w: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99,279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114,666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Geospatial</w:t>
            </w:r>
          </w:p>
        </w:tc>
        <w:tc>
          <w:tcPr>
            <w:tcW w:w="3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28,956</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Federal Solutions revenues</w:t>
            </w:r>
          </w:p>
        </w:tc>
        <w:tc>
          <w:tcPr>
            <w:tcW w:w="30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291,335</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422,812</w:t>
            </w:r>
          </w:p>
        </w:tc>
        <w:tc>
          <w:tcPr>
            <w:tcW w:w="12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Connect Communities</w:t>
            </w:r>
          </w:p>
        </w:tc>
        <w:tc>
          <w:tcPr>
            <w:tcW w:w="3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160,913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156,876</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ind w:left="500"/>
              <w:spacing w:after="0"/>
              <w:rPr>
                <w:sz w:val="20"/>
                <w:szCs w:val="20"/>
                <w:color w:val="auto"/>
              </w:rPr>
            </w:pPr>
            <w:r>
              <w:rPr>
                <w:rFonts w:ascii="Arial" w:cs="Arial" w:eastAsia="Arial" w:hAnsi="Arial"/>
                <w:sz w:val="18"/>
                <w:szCs w:val="18"/>
                <w:color w:val="auto"/>
              </w:rPr>
              <w:t>Mobility Solutions</w:t>
            </w:r>
          </w:p>
        </w:tc>
        <w:tc>
          <w:tcPr>
            <w:tcW w:w="3020" w:type="dxa"/>
            <w:vAlign w:val="bottom"/>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255,679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269,114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Industrial</w:t>
            </w:r>
          </w:p>
        </w:tc>
        <w:tc>
          <w:tcPr>
            <w:tcW w:w="3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46,752</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55,603</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 revenues</w:t>
            </w:r>
          </w:p>
        </w:tc>
        <w:tc>
          <w:tcPr>
            <w:tcW w:w="30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463,344</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481,593</w:t>
            </w:r>
          </w:p>
        </w:tc>
        <w:tc>
          <w:tcPr>
            <w:tcW w:w="12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33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754,679</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904,405</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Borders>
              <w:top w:val="single" w:sz="8" w:color="CFF0FC"/>
            </w:tcBorders>
          </w:tcPr>
          <w:p>
            <w:pPr>
              <w:spacing w:after="0" w:line="20" w:lineRule="exact"/>
              <w:rPr>
                <w:sz w:val="1"/>
                <w:szCs w:val="1"/>
                <w:color w:val="auto"/>
              </w:rPr>
            </w:pPr>
          </w:p>
        </w:tc>
        <w:tc>
          <w:tcPr>
            <w:tcW w:w="3020" w:type="dxa"/>
            <w:vAlign w:val="bottom"/>
            <w:tcBorders>
              <w:top w:val="single" w:sz="8" w:color="CFF0FC"/>
              <w:bottom w:val="single" w:sz="8" w:color="CFF0FC"/>
            </w:tcBorders>
            <w:vMerge w:val="restart"/>
          </w:tcPr>
          <w:p>
            <w:pPr>
              <w:jc w:val="right"/>
              <w:ind w:right="1550"/>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860" w:type="dxa"/>
            <w:vAlign w:val="bottom"/>
            <w:tcBorders>
              <w:bottom w:val="single" w:sz="8" w:color="9A9A9A"/>
            </w:tcBorders>
          </w:tcPr>
          <w:p>
            <w:pPr>
              <w:spacing w:after="0"/>
              <w:rPr>
                <w:sz w:val="8"/>
                <w:szCs w:val="8"/>
                <w:color w:val="auto"/>
              </w:rPr>
            </w:pPr>
          </w:p>
        </w:tc>
        <w:tc>
          <w:tcPr>
            <w:tcW w:w="30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27" w:name="page28"/>
    <w:bookmarkEnd w:id="27"/>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342" w:lineRule="exact"/>
        <w:rPr>
          <w:sz w:val="20"/>
          <w:szCs w:val="20"/>
          <w:color w:val="auto"/>
        </w:rPr>
      </w:pPr>
    </w:p>
    <w:p>
      <w:pPr>
        <w:ind w:right="80" w:firstLine="647"/>
        <w:spacing w:after="0" w:line="246" w:lineRule="auto"/>
        <w:rPr>
          <w:sz w:val="20"/>
          <w:szCs w:val="20"/>
          <w:color w:val="auto"/>
        </w:rPr>
      </w:pPr>
      <w:r>
        <w:rPr>
          <w:rFonts w:ascii="Arial" w:cs="Arial" w:eastAsia="Arial" w:hAnsi="Arial"/>
          <w:sz w:val="18"/>
          <w:szCs w:val="18"/>
          <w:color w:val="auto"/>
        </w:rPr>
        <w:t>On April 3, 2019, the Company’s board of directors declared a cash dividend to the Company’s existing shareholder in the amount of $2.00 per share, or $52.1 million in the aggregate (the “IPO Dividend”). The IPO Dividend was paid on May 10, 2019.</w:t>
      </w:r>
    </w:p>
    <w:p>
      <w:pPr>
        <w:spacing w:after="0" w:line="224" w:lineRule="exact"/>
        <w:rPr>
          <w:sz w:val="20"/>
          <w:szCs w:val="20"/>
          <w:color w:val="auto"/>
        </w:rPr>
      </w:pPr>
    </w:p>
    <w:p>
      <w:pPr>
        <w:ind w:firstLine="647"/>
        <w:spacing w:after="0" w:line="238" w:lineRule="auto"/>
        <w:rPr>
          <w:sz w:val="20"/>
          <w:szCs w:val="20"/>
          <w:color w:val="auto"/>
        </w:rPr>
      </w:pPr>
      <w:r>
        <w:rPr>
          <w:rFonts w:ascii="Arial" w:cs="Arial" w:eastAsia="Arial" w:hAnsi="Arial"/>
          <w:sz w:val="18"/>
          <w:szCs w:val="18"/>
          <w:color w:val="auto"/>
        </w:rPr>
        <w:t>On April 15, 2019, the board of directors of the Company declared a common stock dividend in a ratio of two shares of common stock for every one share of common stock presently held by the Company’s stockholder (the “Stock Dividend”). The record date of this common stock dividend, which the Company refers to as the Stock Dividend was May 7, 2019, the day immediately prior to the consummation of the Company’s initial public offering on May 8, 2019, and the payment date of the Stock Dividend was May 8, 2019. Purchasers of the Company’s common stock in the Company’s public offering will not be entitled to receive any portion of the Stock Dividend.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441"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40" w:firstLine="647"/>
        <w:spacing w:after="0" w:line="251"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S-1/A filed April 29, 2019.</w:t>
      </w:r>
    </w:p>
    <w:p>
      <w:pPr>
        <w:spacing w:after="0" w:line="174" w:lineRule="exact"/>
        <w:rPr>
          <w:sz w:val="20"/>
          <w:szCs w:val="20"/>
          <w:color w:val="auto"/>
        </w:rPr>
      </w:pPr>
    </w:p>
    <w:p>
      <w:pPr>
        <w:ind w:right="60" w:firstLine="647"/>
        <w:spacing w:after="0" w:line="242"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S-1/A filed April 29, 2019. We undertake no obligation to revise publicly any forward-looking statements. Actual results may differ materially from those contained in any forward-looking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260" w:firstLine="647"/>
        <w:spacing w:after="0" w:line="238" w:lineRule="auto"/>
        <w:rPr>
          <w:sz w:val="20"/>
          <w:szCs w:val="20"/>
          <w:color w:val="auto"/>
        </w:rPr>
      </w:pPr>
      <w:r>
        <w:rPr>
          <w:rFonts w:ascii="Arial" w:cs="Arial" w:eastAsia="Arial" w:hAnsi="Arial"/>
          <w:sz w:val="18"/>
          <w:szCs w:val="18"/>
          <w:color w:val="auto"/>
        </w:rPr>
        <w:t>We are a leading provider of technology-driven solutions in the defense, intelligence and critical infrastructure markets. We provide technical design and engineering services and software to address our customers’ challenges. We have developed significant expertise and differentiated capabilities in key areas of cybersecurity, intelligence, defense, military training and development, connected communities, physical infrastructure and mobility solutions. By combining our talented team of professionals and advanced technology, we help solve complex technical challenges to enable a safer, smarter and more interconnected world.</w:t>
      </w:r>
    </w:p>
    <w:p>
      <w:pPr>
        <w:spacing w:after="0" w:line="203" w:lineRule="exact"/>
        <w:rPr>
          <w:sz w:val="20"/>
          <w:szCs w:val="20"/>
          <w:color w:val="auto"/>
        </w:rPr>
      </w:pPr>
    </w:p>
    <w:p>
      <w:pPr>
        <w:jc w:val="both"/>
        <w:ind w:right="460" w:firstLine="647"/>
        <w:spacing w:after="0"/>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is a high-end services and technology provider to the U.S. government. Our Critical Infrastructure business provides integrated design and engineering services for complex physical and digital infrastructure to state and local governments and large companies.</w:t>
      </w:r>
    </w:p>
    <w:p>
      <w:pPr>
        <w:spacing w:after="0" w:line="203" w:lineRule="exact"/>
        <w:rPr>
          <w:sz w:val="20"/>
          <w:szCs w:val="20"/>
          <w:color w:val="auto"/>
        </w:rPr>
      </w:pPr>
    </w:p>
    <w:p>
      <w:pPr>
        <w:ind w:firstLine="647"/>
        <w:spacing w:after="0" w:line="238"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delivery or task orders by the applicable government entity. In addition to focusing on increasing our revenues through increased contract awards and backlog, we focus our financial performance on margin expansion and cash flow.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Metrics</w:t>
      </w:r>
    </w:p>
    <w:p>
      <w:pPr>
        <w:spacing w:after="0" w:line="234" w:lineRule="exact"/>
        <w:rPr>
          <w:sz w:val="20"/>
          <w:szCs w:val="20"/>
          <w:color w:val="auto"/>
        </w:rPr>
      </w:pPr>
    </w:p>
    <w:p>
      <w:pPr>
        <w:ind w:right="80" w:firstLine="647"/>
        <w:spacing w:after="0" w:line="246"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9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169"/>
        </w:trPr>
        <w:tc>
          <w:tcPr>
            <w:tcW w:w="3980" w:type="dxa"/>
            <w:vAlign w:val="bottom"/>
            <w:tcBorders>
              <w:bottom w:val="single" w:sz="8" w:color="CFF0FC"/>
            </w:tcBorders>
          </w:tcPr>
          <w:p>
            <w:pPr>
              <w:spacing w:after="0"/>
              <w:rPr>
                <w:sz w:val="14"/>
                <w:szCs w:val="14"/>
                <w:color w:val="auto"/>
              </w:rPr>
            </w:pPr>
          </w:p>
        </w:tc>
        <w:tc>
          <w:tcPr>
            <w:tcW w:w="30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March 30, 2018</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4"/>
                <w:szCs w:val="14"/>
                <w:color w:val="auto"/>
              </w:rPr>
            </w:pPr>
          </w:p>
        </w:tc>
      </w:tr>
      <w:tr>
        <w:trPr>
          <w:trHeight w:val="21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Awards</w:t>
            </w:r>
          </w:p>
        </w:tc>
        <w:tc>
          <w:tcPr>
            <w:tcW w:w="3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608,314</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1,221,068</w:t>
            </w:r>
          </w:p>
        </w:tc>
        <w:tc>
          <w:tcPr>
            <w:tcW w:w="12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Backlog (1)</w:t>
            </w:r>
          </w:p>
        </w:tc>
        <w:tc>
          <w:tcPr>
            <w:tcW w:w="3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6,322,334</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8,553,969</w:t>
            </w:r>
          </w:p>
        </w:tc>
        <w:tc>
          <w:tcPr>
            <w:tcW w:w="12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Book-to-Bill</w:t>
            </w:r>
          </w:p>
        </w:tc>
        <w:tc>
          <w:tcPr>
            <w:tcW w:w="3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8" w:lineRule="exact"/>
        <w:rPr>
          <w:sz w:val="20"/>
          <w:szCs w:val="20"/>
          <w:color w:val="auto"/>
        </w:rPr>
      </w:pPr>
    </w:p>
    <w:p>
      <w:pPr>
        <w:ind w:left="640" w:right="20" w:hanging="632"/>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Difference between our backlog of $8.6 billion and our remaining unsatisfied performance obligations, or RUPO, of $5.3 billion, each as of March 31, 2019, is due to (i) unissued delivery orders and unexercised option years, to the extent their issuance or exercise is probable, as well as (ii) contract awards, to the extent we believe contract execution and funding is probable.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26" w:lineRule="exact"/>
        <w:rPr>
          <w:sz w:val="20"/>
          <w:szCs w:val="20"/>
          <w:color w:val="auto"/>
        </w:rPr>
      </w:pPr>
    </w:p>
    <w:p>
      <w:pPr>
        <w:ind w:right="380" w:firstLine="647"/>
        <w:spacing w:after="0"/>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The following table summarizes the total value of new awards for the periods presented below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169"/>
        </w:trPr>
        <w:tc>
          <w:tcPr>
            <w:tcW w:w="4360" w:type="dxa"/>
            <w:vAlign w:val="bottom"/>
            <w:tcBorders>
              <w:bottom w:val="single" w:sz="8" w:color="CFF0FC"/>
            </w:tcBorders>
          </w:tcPr>
          <w:p>
            <w:pPr>
              <w:spacing w:after="0"/>
              <w:rPr>
                <w:sz w:val="14"/>
                <w:szCs w:val="14"/>
                <w:color w:val="auto"/>
              </w:rPr>
            </w:pPr>
          </w:p>
        </w:tc>
        <w:tc>
          <w:tcPr>
            <w:tcW w:w="26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March 30, 2018</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4"/>
                <w:szCs w:val="14"/>
                <w:color w:val="auto"/>
              </w:rPr>
            </w:pPr>
          </w:p>
        </w:tc>
      </w:tr>
      <w:tr>
        <w:trPr>
          <w:trHeight w:val="21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111,441</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808,540</w:t>
            </w:r>
          </w:p>
        </w:tc>
        <w:tc>
          <w:tcPr>
            <w:tcW w:w="120" w:type="dxa"/>
            <w:vAlign w:val="bottom"/>
            <w:shd w:val="clear" w:color="auto" w:fill="CFF0FC"/>
          </w:tcPr>
          <w:p>
            <w:pPr>
              <w:spacing w:after="0"/>
              <w:rPr>
                <w:sz w:val="18"/>
                <w:szCs w:val="18"/>
                <w:color w:val="auto"/>
              </w:rPr>
            </w:pPr>
          </w:p>
        </w:tc>
      </w:tr>
      <w:tr>
        <w:trPr>
          <w:trHeight w:val="216"/>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26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496,873</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412,528</w:t>
            </w:r>
          </w:p>
        </w:tc>
        <w:tc>
          <w:tcPr>
            <w:tcW w:w="120" w:type="dxa"/>
            <w:vAlign w:val="bottom"/>
            <w:tcBorders>
              <w:bottom w:val="single" w:sz="8" w:color="CFF0FC"/>
            </w:tcBorders>
          </w:tcPr>
          <w:p>
            <w:pPr>
              <w:spacing w:after="0"/>
              <w:rPr>
                <w:sz w:val="18"/>
                <w:szCs w:val="18"/>
                <w:color w:val="auto"/>
              </w:rPr>
            </w:pPr>
          </w:p>
        </w:tc>
      </w:tr>
      <w:tr>
        <w:trPr>
          <w:trHeight w:val="21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Total Awards</w:t>
            </w:r>
          </w:p>
        </w:tc>
        <w:tc>
          <w:tcPr>
            <w:tcW w:w="2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608,314</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1,221,068</w:t>
            </w:r>
          </w:p>
        </w:tc>
        <w:tc>
          <w:tcPr>
            <w:tcW w:w="120" w:type="dxa"/>
            <w:vAlign w:val="bottom"/>
            <w:shd w:val="clear" w:color="auto" w:fill="CFF0FC"/>
          </w:tcPr>
          <w:p>
            <w:pPr>
              <w:spacing w:after="0"/>
              <w:rPr>
                <w:sz w:val="18"/>
                <w:szCs w:val="18"/>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26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firstLine="647"/>
        <w:spacing w:after="0" w:line="239" w:lineRule="auto"/>
        <w:rPr>
          <w:sz w:val="20"/>
          <w:szCs w:val="20"/>
          <w:color w:val="auto"/>
        </w:rPr>
      </w:pPr>
      <w:r>
        <w:rPr>
          <w:rFonts w:ascii="Arial" w:cs="Arial" w:eastAsia="Arial" w:hAnsi="Arial"/>
          <w:sz w:val="18"/>
          <w:szCs w:val="18"/>
          <w:color w:val="auto"/>
        </w:rPr>
        <w:t>The change in new awards from year to year in our Federal Solutions segment is primarily due to significant new awards in our legacy business and from business acquisitions. The change in new awards in our Critical Infrastructure segment was primarily due to ordinary course fluctuations. The volume of contract awards can fluctuate in any given period due to win rate and the timing and size of the awards issued by our customers.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900" w:right="800" w:hanging="257"/>
        <w:spacing w:after="0" w:line="24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Funded—Funded backlog represents the revenue value of orders for services under existing contracts for which funding is appropriated or otherwise authorized less revenue previously recognized on these contracts.</w:t>
      </w:r>
    </w:p>
    <w:p>
      <w:pPr>
        <w:spacing w:after="0" w:line="88" w:lineRule="exact"/>
        <w:rPr>
          <w:rFonts w:ascii="Arial" w:cs="Arial" w:eastAsia="Arial" w:hAnsi="Arial"/>
          <w:sz w:val="18"/>
          <w:szCs w:val="18"/>
          <w:color w:val="auto"/>
        </w:rPr>
      </w:pPr>
    </w:p>
    <w:p>
      <w:pPr>
        <w:ind w:left="900" w:right="300" w:hanging="257"/>
        <w:spacing w:after="0" w:line="24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Unfunded—Unfunded backlog represents the revenue value of orders for services under existing contracts for which funding has not been appropriated or otherwise authorized less revenue previously recognized on these contracts.</w:t>
      </w:r>
    </w:p>
    <w:p>
      <w:pPr>
        <w:spacing w:after="0" w:line="197" w:lineRule="exact"/>
        <w:rPr>
          <w:sz w:val="20"/>
          <w:szCs w:val="20"/>
          <w:color w:val="auto"/>
        </w:rPr>
      </w:pPr>
    </w:p>
    <w:p>
      <w:pPr>
        <w:ind w:right="40" w:firstLine="647"/>
        <w:spacing w:after="0" w:line="246" w:lineRule="auto"/>
        <w:rPr>
          <w:sz w:val="20"/>
          <w:szCs w:val="20"/>
          <w:color w:val="auto"/>
        </w:rPr>
      </w:pPr>
      <w:r>
        <w:rPr>
          <w:rFonts w:ascii="Arial" w:cs="Arial" w:eastAsia="Arial" w:hAnsi="Arial"/>
          <w:sz w:val="18"/>
          <w:szCs w:val="18"/>
          <w:color w:val="auto"/>
        </w:rPr>
        <w:t>Backlog includes (i) unissued delivery orders and unexercised option years, to the extent their issuance or exercise is probable, as well as (ii) contract awards, to the extent we believe contract execution and funding is probable.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5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132"/>
              <w:spacing w:after="0"/>
              <w:rPr>
                <w:sz w:val="20"/>
                <w:szCs w:val="20"/>
                <w:color w:val="auto"/>
              </w:rPr>
            </w:pPr>
            <w:r>
              <w:rPr>
                <w:rFonts w:ascii="Arial" w:cs="Arial" w:eastAsia="Arial" w:hAnsi="Arial"/>
                <w:sz w:val="14"/>
                <w:szCs w:val="14"/>
                <w:b w:val="1"/>
                <w:bCs w:val="1"/>
                <w:color w:val="auto"/>
              </w:rPr>
              <w:t>March 30, 2018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4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560" w:type="dxa"/>
            <w:vAlign w:val="bottom"/>
          </w:tcPr>
          <w:p>
            <w:pPr>
              <w:ind w:left="240"/>
              <w:spacing w:after="0"/>
              <w:rPr>
                <w:sz w:val="20"/>
                <w:szCs w:val="20"/>
                <w:color w:val="auto"/>
              </w:rPr>
            </w:pPr>
            <w:r>
              <w:rPr>
                <w:rFonts w:ascii="Arial" w:cs="Arial" w:eastAsia="Arial" w:hAnsi="Arial"/>
                <w:sz w:val="18"/>
                <w:szCs w:val="18"/>
                <w:color w:val="auto"/>
              </w:rPr>
              <w:t>Funded</w:t>
            </w:r>
          </w:p>
        </w:tc>
        <w:tc>
          <w:tcPr>
            <w:tcW w:w="2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936,467</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1,681,816</w:t>
            </w:r>
          </w:p>
        </w:tc>
        <w:tc>
          <w:tcPr>
            <w:tcW w:w="120" w:type="dxa"/>
            <w:vAlign w:val="bottom"/>
          </w:tcPr>
          <w:p>
            <w:pPr>
              <w:spacing w:after="0"/>
              <w:rPr>
                <w:sz w:val="18"/>
                <w:szCs w:val="18"/>
                <w:color w:val="auto"/>
              </w:rPr>
            </w:pPr>
          </w:p>
        </w:tc>
      </w:tr>
      <w:tr>
        <w:trPr>
          <w:trHeight w:val="216"/>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Unfunded</w:t>
            </w:r>
          </w:p>
        </w:tc>
        <w:tc>
          <w:tcPr>
            <w:tcW w:w="24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2,224,354</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3,429,779</w:t>
            </w:r>
          </w:p>
        </w:tc>
        <w:tc>
          <w:tcPr>
            <w:tcW w:w="120" w:type="dxa"/>
            <w:vAlign w:val="bottom"/>
            <w:shd w:val="clear" w:color="auto" w:fill="CFF0FC"/>
          </w:tcPr>
          <w:p>
            <w:pPr>
              <w:spacing w:after="0"/>
              <w:rPr>
                <w:sz w:val="18"/>
                <w:szCs w:val="18"/>
                <w:color w:val="auto"/>
              </w:rPr>
            </w:pPr>
          </w:p>
        </w:tc>
      </w:tr>
      <w:tr>
        <w:trPr>
          <w:trHeight w:val="21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Federal Solutions</w:t>
            </w:r>
          </w:p>
        </w:tc>
        <w:tc>
          <w:tcPr>
            <w:tcW w:w="24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3,160,821</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5,111,595</w:t>
            </w:r>
          </w:p>
        </w:tc>
        <w:tc>
          <w:tcPr>
            <w:tcW w:w="120" w:type="dxa"/>
            <w:vAlign w:val="bottom"/>
            <w:tcBorders>
              <w:bottom w:val="single" w:sz="8" w:color="CFF0FC"/>
            </w:tcBorders>
          </w:tcPr>
          <w:p>
            <w:pPr>
              <w:spacing w:after="0"/>
              <w:rPr>
                <w:sz w:val="18"/>
                <w:szCs w:val="18"/>
                <w:color w:val="auto"/>
              </w:rPr>
            </w:pPr>
          </w:p>
        </w:tc>
      </w:tr>
      <w:tr>
        <w:trPr>
          <w:trHeight w:val="21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Critical Infrastructure:</w:t>
            </w:r>
          </w:p>
        </w:tc>
        <w:tc>
          <w:tcPr>
            <w:tcW w:w="2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560" w:type="dxa"/>
            <w:vAlign w:val="bottom"/>
          </w:tcPr>
          <w:p>
            <w:pPr>
              <w:ind w:left="240"/>
              <w:spacing w:after="0"/>
              <w:rPr>
                <w:sz w:val="20"/>
                <w:szCs w:val="20"/>
                <w:color w:val="auto"/>
              </w:rPr>
            </w:pPr>
            <w:r>
              <w:rPr>
                <w:rFonts w:ascii="Arial" w:cs="Arial" w:eastAsia="Arial" w:hAnsi="Arial"/>
                <w:sz w:val="18"/>
                <w:szCs w:val="18"/>
                <w:color w:val="auto"/>
              </w:rPr>
              <w:t>Funded</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3,161,513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3,442,374</w:t>
            </w:r>
          </w:p>
        </w:tc>
        <w:tc>
          <w:tcPr>
            <w:tcW w:w="120" w:type="dxa"/>
            <w:vAlign w:val="bottom"/>
          </w:tcPr>
          <w:p>
            <w:pPr>
              <w:spacing w:after="0"/>
              <w:rPr>
                <w:sz w:val="18"/>
                <w:szCs w:val="18"/>
                <w:color w:val="auto"/>
              </w:rPr>
            </w:pPr>
          </w:p>
        </w:tc>
      </w:tr>
      <w:tr>
        <w:trPr>
          <w:trHeight w:val="216"/>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Unfunded</w:t>
            </w:r>
          </w:p>
        </w:tc>
        <w:tc>
          <w:tcPr>
            <w:tcW w:w="24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Critical Infrastructure</w:t>
            </w:r>
          </w:p>
        </w:tc>
        <w:tc>
          <w:tcPr>
            <w:tcW w:w="24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3,161,513</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3,442,374</w:t>
            </w:r>
          </w:p>
        </w:tc>
        <w:tc>
          <w:tcPr>
            <w:tcW w:w="120" w:type="dxa"/>
            <w:vAlign w:val="bottom"/>
            <w:tcBorders>
              <w:bottom w:val="single" w:sz="8" w:color="CFF0FC"/>
            </w:tcBorders>
          </w:tcPr>
          <w:p>
            <w:pPr>
              <w:spacing w:after="0"/>
              <w:rPr>
                <w:sz w:val="18"/>
                <w:szCs w:val="18"/>
                <w:color w:val="auto"/>
              </w:rPr>
            </w:pPr>
          </w:p>
        </w:tc>
      </w:tr>
      <w:tr>
        <w:trPr>
          <w:trHeight w:val="21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Total Backlog (1)</w:t>
            </w:r>
          </w:p>
        </w:tc>
        <w:tc>
          <w:tcPr>
            <w:tcW w:w="2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6,322,334</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8,553,969</w:t>
            </w:r>
          </w:p>
        </w:tc>
        <w:tc>
          <w:tcPr>
            <w:tcW w:w="120" w:type="dxa"/>
            <w:vAlign w:val="bottom"/>
            <w:shd w:val="clear" w:color="auto" w:fill="CFF0FC"/>
          </w:tcPr>
          <w:p>
            <w:pPr>
              <w:spacing w:after="0"/>
              <w:rPr>
                <w:sz w:val="18"/>
                <w:szCs w:val="18"/>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24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8" w:lineRule="exact"/>
        <w:rPr>
          <w:sz w:val="20"/>
          <w:szCs w:val="20"/>
          <w:color w:val="auto"/>
        </w:rPr>
      </w:pPr>
    </w:p>
    <w:p>
      <w:pPr>
        <w:ind w:left="640" w:right="1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Difference between our backlog of $8.6 billion and our RUPO of $5.3 billion, each as of March 31, 2019, is due to (i) unissued delivery orders and unexercised option years, to the extent their issuance or exercise is probable, as well as (ii) contract awards, to the extent we believe contract execution and funding is probable.</w:t>
      </w:r>
    </w:p>
    <w:p>
      <w:pPr>
        <w:spacing w:after="0" w:line="203" w:lineRule="exact"/>
        <w:rPr>
          <w:sz w:val="20"/>
          <w:szCs w:val="20"/>
          <w:color w:val="auto"/>
        </w:rPr>
      </w:pPr>
    </w:p>
    <w:p>
      <w:pPr>
        <w:ind w:right="160" w:firstLine="647"/>
        <w:spacing w:after="0" w:line="238"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203" w:lineRule="exact"/>
        <w:rPr>
          <w:sz w:val="20"/>
          <w:szCs w:val="20"/>
          <w:color w:val="auto"/>
        </w:rPr>
      </w:pPr>
    </w:p>
    <w:p>
      <w:pPr>
        <w:ind w:right="60" w:firstLine="647"/>
        <w:spacing w:after="0" w:line="237" w:lineRule="auto"/>
        <w:rPr>
          <w:sz w:val="20"/>
          <w:szCs w:val="20"/>
          <w:color w:val="auto"/>
        </w:rPr>
      </w:pPr>
      <w:r>
        <w:rPr>
          <w:rFonts w:ascii="Arial" w:cs="Arial" w:eastAsia="Arial" w:hAnsi="Arial"/>
          <w:sz w:val="18"/>
          <w:szCs w:val="18"/>
          <w:color w:val="auto"/>
        </w:rPr>
        <w:t>We expect to recognize $2.5 billion of our funded backlog at March 31, 2019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Factors—Risks Relating to Our Business—We may not realize the full value of our backlog, which may result in lower than expected revenue” in the Company’s Form S-1/A filed on April 29, 2019.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0" w:name="page31"/>
    <w:bookmarkEnd w:id="30"/>
    <w:p>
      <w:pPr>
        <w:ind w:right="340" w:firstLine="647"/>
        <w:spacing w:after="0"/>
        <w:rPr>
          <w:sz w:val="20"/>
          <w:szCs w:val="20"/>
          <w:color w:val="auto"/>
        </w:rPr>
      </w:pPr>
      <w:r>
        <w:rPr>
          <w:rFonts w:ascii="Arial" w:cs="Arial" w:eastAsia="Arial" w:hAnsi="Arial"/>
          <w:sz w:val="18"/>
          <w:szCs w:val="18"/>
          <w:color w:val="auto"/>
        </w:rPr>
        <w:t>The changes in backlog in our Federal Solutions segment is primarily from business acquisition which contributed $1.3 billion. The change in backlog in our Critical Infrastructure segment was primarily due to ordinary course fluctuations in our business. Our backlog will fluctuate in any given period based on the volume of awards issued in comparison to the revenue generated from our existing contracts.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26" w:lineRule="exact"/>
        <w:rPr>
          <w:sz w:val="20"/>
          <w:szCs w:val="20"/>
          <w:color w:val="auto"/>
        </w:rPr>
      </w:pPr>
    </w:p>
    <w:p>
      <w:pPr>
        <w:ind w:firstLine="647"/>
        <w:spacing w:after="0" w:line="237"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8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7080" w:type="dxa"/>
            <w:vAlign w:val="bottom"/>
          </w:tcPr>
          <w:p>
            <w:pPr>
              <w:spacing w:after="0"/>
              <w:rPr>
                <w:sz w:val="15"/>
                <w:szCs w:val="15"/>
                <w:color w:val="auto"/>
              </w:rPr>
            </w:pPr>
          </w:p>
        </w:tc>
        <w:tc>
          <w:tcPr>
            <w:tcW w:w="308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169"/>
        </w:trPr>
        <w:tc>
          <w:tcPr>
            <w:tcW w:w="708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30, 2018</w:t>
            </w: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420" w:type="dxa"/>
            <w:vAlign w:val="bottom"/>
            <w:tcBorders>
              <w:top w:val="single" w:sz="8" w:color="auto"/>
            </w:tcBorders>
            <w:shd w:val="clear" w:color="auto" w:fill="CFF0FC"/>
          </w:tcPr>
          <w:p>
            <w:pPr>
              <w:jc w:val="right"/>
              <w:ind w:right="417"/>
              <w:spacing w:after="0"/>
              <w:rPr>
                <w:sz w:val="20"/>
                <w:szCs w:val="20"/>
                <w:color w:val="auto"/>
              </w:rPr>
            </w:pPr>
            <w:r>
              <w:rPr>
                <w:rFonts w:ascii="Arial" w:cs="Arial" w:eastAsia="Arial" w:hAnsi="Arial"/>
                <w:sz w:val="18"/>
                <w:szCs w:val="18"/>
                <w:color w:val="auto"/>
              </w:rPr>
              <w:t>0.38</w:t>
            </w:r>
          </w:p>
        </w:tc>
        <w:tc>
          <w:tcPr>
            <w:tcW w:w="24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ind w:right="414"/>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420" w:type="dxa"/>
            <w:vAlign w:val="bottom"/>
          </w:tcPr>
          <w:p>
            <w:pPr>
              <w:jc w:val="right"/>
              <w:ind w:right="417"/>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1420" w:type="dxa"/>
            <w:vAlign w:val="bottom"/>
          </w:tcPr>
          <w:p>
            <w:pPr>
              <w:jc w:val="right"/>
              <w:ind w:right="414"/>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18"/>
                <w:szCs w:val="18"/>
                <w:color w:val="auto"/>
              </w:rPr>
            </w:pPr>
          </w:p>
        </w:tc>
      </w:tr>
      <w:tr>
        <w:trPr>
          <w:trHeight w:val="216"/>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Overall</w:t>
            </w:r>
          </w:p>
        </w:tc>
        <w:tc>
          <w:tcPr>
            <w:tcW w:w="1420" w:type="dxa"/>
            <w:vAlign w:val="bottom"/>
            <w:shd w:val="clear" w:color="auto" w:fill="CFF0FC"/>
          </w:tcPr>
          <w:p>
            <w:pPr>
              <w:jc w:val="right"/>
              <w:ind w:right="417"/>
              <w:spacing w:after="0"/>
              <w:rPr>
                <w:sz w:val="20"/>
                <w:szCs w:val="20"/>
                <w:color w:val="auto"/>
              </w:rPr>
            </w:pPr>
            <w:r>
              <w:rPr>
                <w:rFonts w:ascii="Arial" w:cs="Arial" w:eastAsia="Arial" w:hAnsi="Arial"/>
                <w:sz w:val="18"/>
                <w:szCs w:val="18"/>
                <w:color w:val="auto"/>
              </w:rPr>
              <w:t>0.81</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414"/>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8"/>
                <w:szCs w:val="18"/>
                <w:color w:val="auto"/>
              </w:rPr>
            </w:pPr>
          </w:p>
        </w:tc>
      </w:tr>
    </w:tbl>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34" w:lineRule="exact"/>
        <w:rPr>
          <w:sz w:val="20"/>
          <w:szCs w:val="20"/>
          <w:color w:val="auto"/>
        </w:rPr>
      </w:pPr>
    </w:p>
    <w:p>
      <w:pPr>
        <w:ind w:right="40" w:firstLine="647"/>
        <w:spacing w:after="0" w:line="239"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26" w:lineRule="exact"/>
        <w:rPr>
          <w:sz w:val="20"/>
          <w:szCs w:val="20"/>
          <w:color w:val="auto"/>
        </w:rPr>
      </w:pPr>
    </w:p>
    <w:p>
      <w:pPr>
        <w:ind w:right="120" w:firstLine="647"/>
        <w:spacing w:after="0" w:line="236"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26" w:lineRule="exact"/>
        <w:rPr>
          <w:sz w:val="20"/>
          <w:szCs w:val="20"/>
          <w:color w:val="auto"/>
        </w:rPr>
      </w:pPr>
    </w:p>
    <w:p>
      <w:pPr>
        <w:ind w:firstLine="647"/>
        <w:spacing w:after="0" w:line="236"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26" w:lineRule="exact"/>
        <w:rPr>
          <w:sz w:val="20"/>
          <w:szCs w:val="20"/>
          <w:color w:val="auto"/>
        </w:rPr>
      </w:pPr>
    </w:p>
    <w:p>
      <w:pPr>
        <w:ind w:firstLine="647"/>
        <w:spacing w:after="0" w:line="238"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26" w:lineRule="exact"/>
        <w:rPr>
          <w:sz w:val="20"/>
          <w:szCs w:val="20"/>
          <w:color w:val="auto"/>
        </w:rPr>
      </w:pPr>
    </w:p>
    <w:p>
      <w:pPr>
        <w:ind w:right="40" w:firstLine="647"/>
        <w:spacing w:after="0" w:line="237" w:lineRule="auto"/>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 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Polaris Alpha</w:t>
      </w:r>
    </w:p>
    <w:p>
      <w:pPr>
        <w:spacing w:after="0" w:line="122" w:lineRule="exact"/>
        <w:rPr>
          <w:sz w:val="20"/>
          <w:szCs w:val="20"/>
          <w:color w:val="auto"/>
        </w:rPr>
      </w:pPr>
    </w:p>
    <w:p>
      <w:pPr>
        <w:ind w:right="200" w:firstLine="647"/>
        <w:spacing w:after="0" w:line="239" w:lineRule="auto"/>
        <w:rPr>
          <w:sz w:val="20"/>
          <w:szCs w:val="20"/>
          <w:color w:val="auto"/>
        </w:rPr>
      </w:pPr>
      <w:r>
        <w:rPr>
          <w:rFonts w:ascii="Arial" w:cs="Arial" w:eastAsia="Arial" w:hAnsi="Arial"/>
          <w:sz w:val="18"/>
          <w:szCs w:val="18"/>
          <w:color w:val="auto"/>
        </w:rPr>
        <w:t>On May 31, 2018, we acquired Polaris Alpha for $489.1 million. Polaris Alpha is an advanced, technology-focused provider of innovative mission solutions for national security, intelligence and other U.S. federal customers. The acquisition was funded by cash on-hand and borrowings under our Revolving Credit Facility. The financial results of Polaris Alpha have been included in our consolidated results of operations from June 1, 2018 onward.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OGSystems</w:t>
      </w:r>
    </w:p>
    <w:p>
      <w:pPr>
        <w:spacing w:after="0" w:line="122" w:lineRule="exact"/>
        <w:rPr>
          <w:sz w:val="20"/>
          <w:szCs w:val="20"/>
          <w:color w:val="auto"/>
        </w:rPr>
      </w:pPr>
    </w:p>
    <w:p>
      <w:pPr>
        <w:ind w:right="60" w:firstLine="647"/>
        <w:spacing w:after="0" w:line="239" w:lineRule="auto"/>
        <w:rPr>
          <w:sz w:val="20"/>
          <w:szCs w:val="20"/>
          <w:color w:val="auto"/>
        </w:rPr>
      </w:pPr>
      <w:r>
        <w:rPr>
          <w:rFonts w:ascii="Arial" w:cs="Arial" w:eastAsia="Arial" w:hAnsi="Arial"/>
          <w:sz w:val="18"/>
          <w:szCs w:val="18"/>
          <w:color w:val="auto"/>
        </w:rPr>
        <w:t>On January 7, 2019, we acquired OGSystems for $292.4 million. OGSystems provides geospatial intelligence, big data analytics and threat mitigation for defense and intelligence customers. The acquisition was funded by cash on-hand and borrowings under our Term Loan and Revolving Credit Facility. The financial results of OGSystems have been included in our consolidated results of operations from January 7, 2019 onward.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26" w:lineRule="exact"/>
        <w:rPr>
          <w:sz w:val="20"/>
          <w:szCs w:val="20"/>
          <w:color w:val="auto"/>
        </w:rPr>
      </w:pPr>
    </w:p>
    <w:p>
      <w:pPr>
        <w:ind w:right="20" w:firstLine="647"/>
        <w:spacing w:after="0" w:line="236" w:lineRule="auto"/>
        <w:rPr>
          <w:sz w:val="20"/>
          <w:szCs w:val="20"/>
          <w:color w:val="auto"/>
        </w:rPr>
      </w:pPr>
      <w:r>
        <w:rPr>
          <w:rFonts w:ascii="Arial" w:cs="Arial" w:eastAsia="Arial" w:hAnsi="Arial"/>
          <w:sz w:val="18"/>
          <w:szCs w:val="18"/>
          <w:color w:val="auto"/>
        </w:rPr>
        <w:t>Our results may be affected by variances as a result of seasonality we experience across our businesses. This pattern is typically driven by the U.S. federal government fiscal year-end, September 30. While not certain, it is not uncommon for U.S. government agencies to award extra tasks or complete other contract actions in the weeks before the end of the U.S. federal government fiscal year in order to avoid the loss of unexpended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126" w:lineRule="exact"/>
        <w:rPr>
          <w:sz w:val="20"/>
          <w:szCs w:val="20"/>
          <w:color w:val="auto"/>
        </w:rPr>
      </w:pPr>
    </w:p>
    <w:p>
      <w:pPr>
        <w:ind w:right="80" w:firstLine="647"/>
        <w:spacing w:after="0" w:line="237" w:lineRule="auto"/>
        <w:rPr>
          <w:sz w:val="20"/>
          <w:szCs w:val="20"/>
          <w:color w:val="auto"/>
        </w:rPr>
      </w:pPr>
      <w:r>
        <w:rPr>
          <w:rFonts w:ascii="Arial" w:cs="Arial" w:eastAsia="Arial" w:hAnsi="Arial"/>
          <w:sz w:val="18"/>
          <w:szCs w:val="18"/>
          <w:color w:val="auto"/>
        </w:rPr>
        <w:t>Historically, the Company has elected to be taxed under the provisions of Subchapter “S” of the Internal Revenue Code for federal tax purposes. As a result, the Company’s income has not been subject to U.S. federal income taxes or state income taxes in those states where the “S” Corporation status is recognized. No provision or liability for federal or state income tax has been provided in the Company’s consolidated financial statements except for those states where the “S” Corporation status is not recognized and for the 1.5% California franchise tax to which the Company are also subject as a California “S” Corporation. The provision for income tax in the historical periods prior to the initial public offering consists of these taxes.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2" w:name="page33"/>
    <w:bookmarkEnd w:id="32"/>
    <w:p>
      <w:pPr>
        <w:ind w:right="20" w:firstLine="647"/>
        <w:spacing w:after="0" w:line="239" w:lineRule="auto"/>
        <w:rPr>
          <w:sz w:val="20"/>
          <w:szCs w:val="20"/>
          <w:color w:val="auto"/>
        </w:rPr>
      </w:pPr>
      <w:r>
        <w:rPr>
          <w:rFonts w:ascii="Arial" w:cs="Arial" w:eastAsia="Arial" w:hAnsi="Arial"/>
          <w:sz w:val="18"/>
          <w:szCs w:val="18"/>
          <w:color w:val="auto"/>
        </w:rPr>
        <w:t>In connection with the initial public offering on May 8, 2019, the Company’s “S” Corporation status terminated and the Company will be treated as a “C” Corporation under Subchapter C of the Internal Revenue Code. The revocation of the Company’s “S” Corporation election will have a material impact on the Company’s results of operations, financial condition and cash flows. The effective income tax rate will increase and net income will decrease since the Company will be subject to both federal and state taxes on our earnings.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right="20" w:firstLine="647"/>
        <w:spacing w:after="0" w:line="239" w:lineRule="auto"/>
        <w:rPr>
          <w:sz w:val="20"/>
          <w:szCs w:val="20"/>
          <w:color w:val="auto"/>
        </w:rPr>
      </w:pPr>
      <w:r>
        <w:rPr>
          <w:rFonts w:ascii="Arial" w:cs="Arial" w:eastAsia="Arial" w:hAnsi="Arial"/>
          <w:sz w:val="18"/>
          <w:szCs w:val="18"/>
          <w:color w:val="auto"/>
        </w:rPr>
        <w:t>In October 2018, our board of directors approved a change in our annual and quarterly fiscal period ends from the last Friday on or before the calendar year or quarterly month-end to the last day of the calendar year or quarterly month-end. Accordingly, the period end for the first quarters of fiscal 2018 and fiscal 2019 are March 30, 2018 and March 31, 2019, respectively. The number of days in the quarters ended March 30, 2018 and March 31, 2019 were 91 and 90,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right="180" w:firstLine="647"/>
        <w:spacing w:after="0"/>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revenue for work performed under cost-plus, time-and-materials and fixed-price contracts, as follows:</w:t>
      </w:r>
    </w:p>
    <w:p>
      <w:pPr>
        <w:spacing w:after="0" w:line="212" w:lineRule="exact"/>
        <w:rPr>
          <w:sz w:val="20"/>
          <w:szCs w:val="20"/>
          <w:color w:val="auto"/>
        </w:rPr>
      </w:pPr>
    </w:p>
    <w:p>
      <w:pPr>
        <w:ind w:right="20" w:firstLine="647"/>
        <w:spacing w:after="0" w:line="237" w:lineRule="auto"/>
        <w:rPr>
          <w:sz w:val="20"/>
          <w:szCs w:val="20"/>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 Revenue for cost-plus contracts is generally recognized using the cost-to-cost measure of progress method. Accounting for the sales and profits on performance obligations for which progress is measured using the cost-to-cost method involves the preparation of estimates of: (1) transaction price and (2) total costs at completion, which is equal to the sum of the actual incurred costs to date on the contract and the estimated costs to complete the contract’s statement of work.</w:t>
      </w:r>
    </w:p>
    <w:p>
      <w:pPr>
        <w:spacing w:after="0" w:line="203" w:lineRule="exact"/>
        <w:rPr>
          <w:sz w:val="20"/>
          <w:szCs w:val="20"/>
          <w:color w:val="auto"/>
        </w:rPr>
      </w:pPr>
    </w:p>
    <w:p>
      <w:pPr>
        <w:ind w:right="320" w:firstLine="647"/>
        <w:spacing w:after="0" w:line="239" w:lineRule="auto"/>
        <w:rPr>
          <w:sz w:val="20"/>
          <w:szCs w:val="20"/>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 Revenue on time-and-materials contracts is recognized as services are performed and are contractually billable.</w:t>
      </w:r>
    </w:p>
    <w:p>
      <w:pPr>
        <w:spacing w:after="0" w:line="202" w:lineRule="exact"/>
        <w:rPr>
          <w:sz w:val="20"/>
          <w:szCs w:val="20"/>
          <w:color w:val="auto"/>
        </w:rPr>
      </w:pPr>
    </w:p>
    <w:p>
      <w:pPr>
        <w:ind w:right="40" w:firstLine="647"/>
        <w:spacing w:after="0" w:line="246" w:lineRule="auto"/>
        <w:rPr>
          <w:sz w:val="20"/>
          <w:szCs w:val="20"/>
          <w:color w:val="auto"/>
        </w:rPr>
      </w:pPr>
      <w:r>
        <w:rPr>
          <w:rFonts w:ascii="Arial" w:cs="Arial" w:eastAsia="Arial" w:hAnsi="Arial"/>
          <w:sz w:val="18"/>
          <w:szCs w:val="18"/>
          <w:color w:val="auto"/>
        </w:rPr>
        <w:t>Under fixed -price, or FFP contracts, clients pay an agreed fixed-amount negotiated in advance for a specified scope of work. Revenue on FFP contracts is generally recognized using the cost-to-cost measure of progress method.</w:t>
      </w:r>
    </w:p>
    <w:p>
      <w:pPr>
        <w:spacing w:after="0" w:line="197" w:lineRule="exact"/>
        <w:rPr>
          <w:sz w:val="20"/>
          <w:szCs w:val="20"/>
          <w:color w:val="auto"/>
        </w:rPr>
      </w:pPr>
    </w:p>
    <w:p>
      <w:pPr>
        <w:jc w:val="both"/>
        <w:ind w:firstLine="647"/>
        <w:spacing w:after="0"/>
        <w:rPr>
          <w:sz w:val="20"/>
          <w:szCs w:val="20"/>
          <w:color w:val="auto"/>
        </w:rPr>
      </w:pPr>
      <w:r>
        <w:rPr>
          <w:rFonts w:ascii="Arial" w:cs="Arial" w:eastAsia="Arial" w:hAnsi="Arial"/>
          <w:sz w:val="18"/>
          <w:szCs w:val="18"/>
          <w:color w:val="auto"/>
        </w:rPr>
        <w:t>Please refer to “Management’s Discussion and Analysis of Financial Condition and Results of Operations—Critical Accounting Policies and Estimates” and “Note 2—Summary of Significant Accounting Polices” in the notes to our consolidated financial statements included in the Company’s Form S-1/A filed on April 29, 2019 for a further description of our policies on revenue recognition.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7080" w:type="dxa"/>
            <w:vAlign w:val="bottom"/>
          </w:tcPr>
          <w:p>
            <w:pPr>
              <w:spacing w:after="0"/>
              <w:rPr>
                <w:sz w:val="15"/>
                <w:szCs w:val="15"/>
                <w:color w:val="auto"/>
              </w:rPr>
            </w:pPr>
          </w:p>
        </w:tc>
        <w:tc>
          <w:tcPr>
            <w:tcW w:w="30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169"/>
        </w:trPr>
        <w:tc>
          <w:tcPr>
            <w:tcW w:w="70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March 30, 2018</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Fixed-price</w:t>
            </w: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7"/>
              </w:rPr>
              <w:t>35.2%</w:t>
            </w:r>
          </w:p>
        </w:tc>
        <w:tc>
          <w:tcPr>
            <w:tcW w:w="24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28.5%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Time-and-materials</w:t>
            </w:r>
          </w:p>
        </w:tc>
        <w:tc>
          <w:tcPr>
            <w:tcW w:w="1420" w:type="dxa"/>
            <w:vAlign w:val="bottom"/>
          </w:tcPr>
          <w:p>
            <w:pPr>
              <w:jc w:val="center"/>
              <w:spacing w:after="0"/>
              <w:rPr>
                <w:sz w:val="20"/>
                <w:szCs w:val="20"/>
                <w:color w:val="auto"/>
              </w:rPr>
            </w:pPr>
            <w:r>
              <w:rPr>
                <w:rFonts w:ascii="Arial" w:cs="Arial" w:eastAsia="Arial" w:hAnsi="Arial"/>
                <w:sz w:val="18"/>
                <w:szCs w:val="18"/>
                <w:color w:val="auto"/>
                <w:w w:val="97"/>
              </w:rPr>
              <w:t>30.2%</w:t>
            </w:r>
          </w:p>
        </w:tc>
        <w:tc>
          <w:tcPr>
            <w:tcW w:w="2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8"/>
                <w:szCs w:val="18"/>
                <w:color w:val="auto"/>
              </w:rPr>
            </w:pPr>
          </w:p>
        </w:tc>
      </w:tr>
      <w:tr>
        <w:trPr>
          <w:trHeight w:val="216"/>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34.6%</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ind w:right="280" w:firstLine="647"/>
        <w:spacing w:after="0" w:line="238"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71" w:right="299" w:bottom="1440" w:gutter="0" w:footer="0" w:header="0"/>
        </w:sectPr>
      </w:pPr>
    </w:p>
    <w:bookmarkStart w:id="33" w:name="page34"/>
    <w:bookmarkEnd w:id="33"/>
    <w:p>
      <w:pPr>
        <w:ind w:right="80"/>
        <w:spacing w:after="0" w:line="237" w:lineRule="auto"/>
        <w:rPr>
          <w:sz w:val="20"/>
          <w:szCs w:val="20"/>
          <w:color w:val="auto"/>
        </w:rPr>
      </w:pPr>
      <w:r>
        <w:rPr>
          <w:rFonts w:ascii="Arial" w:cs="Arial" w:eastAsia="Arial" w:hAnsi="Arial"/>
          <w:sz w:val="18"/>
          <w:szCs w:val="18"/>
          <w:color w:val="auto"/>
        </w:rPr>
        <w:t>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w:t>
      </w:r>
    </w:p>
    <w:p>
      <w:pPr>
        <w:spacing w:after="0" w:line="205" w:lineRule="exact"/>
        <w:rPr>
          <w:sz w:val="20"/>
          <w:szCs w:val="20"/>
          <w:color w:val="auto"/>
        </w:rPr>
      </w:pPr>
    </w:p>
    <w:p>
      <w:pPr>
        <w:ind w:right="700" w:firstLine="647"/>
        <w:spacing w:after="0"/>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 is determined to have an impact on contract profit, we record a positive or negative adjustment to revenue and/or direct cost of contracts.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26" w:lineRule="exact"/>
        <w:rPr>
          <w:sz w:val="20"/>
          <w:szCs w:val="20"/>
          <w:color w:val="auto"/>
        </w:rPr>
      </w:pPr>
    </w:p>
    <w:p>
      <w:pPr>
        <w:ind w:firstLine="647"/>
        <w:spacing w:after="0" w:line="238"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the Company’s consolidated statements of income (including revenues and expenses attributable to noncontrolling interests). For the joint ventures we do not control, we recognize equity in earnings (loss) of unconsolidated joint ventures. Our revenues included $33.7 million and $33.6 million for the three months ended March 30, 2018 and March 31, 2019, respectively related to services we provided to our unconsolidated joint ventures.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26" w:lineRule="exact"/>
        <w:rPr>
          <w:sz w:val="20"/>
          <w:szCs w:val="20"/>
          <w:color w:val="auto"/>
        </w:rPr>
      </w:pPr>
    </w:p>
    <w:p>
      <w:pPr>
        <w:ind w:right="40" w:firstLine="647"/>
        <w:spacing w:after="0" w:line="236" w:lineRule="auto"/>
        <w:rPr>
          <w:sz w:val="20"/>
          <w:szCs w:val="20"/>
          <w:color w:val="auto"/>
        </w:rPr>
      </w:pPr>
      <w:r>
        <w:rPr>
          <w:rFonts w:ascii="Arial" w:cs="Arial" w:eastAsia="Arial" w:hAnsi="Arial"/>
          <w:sz w:val="18"/>
          <w:szCs w:val="18"/>
          <w:color w:val="auto"/>
        </w:rPr>
        <w:t>Operating costs and expenses primarily include direct costs of contracts and indirect, general and administrative expenses. Costs associated with compensation-related expenses for our people and facilities, which includes ESOP contribution expenses, are the most significant component of our operating expenses. Total ESOP contribution expense was $11.2 million and $12.2 million for the three months ended March 30, 2018 and March 31, 2019, respectively, and is recorded in “Direct cost of contracts” and “Indirect, general and administrative expenses.” We expect operating expenses to increase due to our anticipated growth and the incremental costs associated with being a public company. In particular, under our existing compensation plans, we will adjust our compensation expense on a quarterly basis for any change in our share price from the end of the prior quarter. However, on a forward-looking basis, we generally expect these costs to decline as a percentage of our total revenue as we realize the benefits of scale.</w:t>
      </w:r>
    </w:p>
    <w:p>
      <w:pPr>
        <w:spacing w:after="0" w:line="208" w:lineRule="exact"/>
        <w:rPr>
          <w:sz w:val="20"/>
          <w:szCs w:val="20"/>
          <w:color w:val="auto"/>
        </w:rPr>
      </w:pPr>
    </w:p>
    <w:p>
      <w:pPr>
        <w:ind w:right="120" w:firstLine="647"/>
        <w:spacing w:after="0" w:line="246"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costs, travel expenses and other expenses incurred to perform on contracts.</w:t>
      </w:r>
    </w:p>
    <w:p>
      <w:pPr>
        <w:spacing w:after="0" w:line="197" w:lineRule="exact"/>
        <w:rPr>
          <w:sz w:val="20"/>
          <w:szCs w:val="20"/>
          <w:color w:val="auto"/>
        </w:rPr>
      </w:pPr>
    </w:p>
    <w:p>
      <w:pPr>
        <w:ind w:right="300" w:firstLine="647"/>
        <w:spacing w:after="0" w:line="246" w:lineRule="auto"/>
        <w:rPr>
          <w:sz w:val="20"/>
          <w:szCs w:val="20"/>
          <w:color w:val="auto"/>
        </w:rPr>
      </w:pPr>
      <w:r>
        <w:rPr>
          <w:rFonts w:ascii="Arial" w:cs="Arial" w:eastAsia="Arial" w:hAnsi="Arial"/>
          <w:sz w:val="18"/>
          <w:szCs w:val="18"/>
          <w:color w:val="auto"/>
        </w:rPr>
        <w:t>Indirect, general and administrative expenses include salaries and wages and fringe benefits of our employees not performing work directly for customers, facility costs and other costs related to these indirect functions.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26" w:lineRule="exact"/>
        <w:rPr>
          <w:sz w:val="20"/>
          <w:szCs w:val="20"/>
          <w:color w:val="auto"/>
        </w:rPr>
      </w:pPr>
    </w:p>
    <w:p>
      <w:pPr>
        <w:ind w:right="240" w:firstLine="647"/>
        <w:spacing w:after="0" w:line="246" w:lineRule="auto"/>
        <w:rPr>
          <w:sz w:val="20"/>
          <w:szCs w:val="20"/>
          <w:color w:val="auto"/>
        </w:rPr>
      </w:pPr>
      <w:r>
        <w:rPr>
          <w:rFonts w:ascii="Arial" w:cs="Arial" w:eastAsia="Arial" w:hAnsi="Arial"/>
          <w:sz w:val="18"/>
          <w:szCs w:val="18"/>
          <w:color w:val="auto"/>
        </w:rPr>
        <w:t>Other income and expenses primarily consist of interest income, interest expense, other income, net and interest and other expense associated with claim on long-term contract.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consists of interest expense incurred under our Senior Notes and Credit Agreement.</w:t>
      </w:r>
    </w:p>
    <w:p>
      <w:pPr>
        <w:spacing w:after="0" w:line="212" w:lineRule="exact"/>
        <w:rPr>
          <w:sz w:val="20"/>
          <w:szCs w:val="20"/>
          <w:color w:val="auto"/>
        </w:rPr>
      </w:pPr>
    </w:p>
    <w:p>
      <w:pPr>
        <w:ind w:right="800" w:firstLine="647"/>
        <w:spacing w:after="0" w:line="246"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34" w:lineRule="exact"/>
        <w:rPr>
          <w:sz w:val="20"/>
          <w:szCs w:val="20"/>
          <w:color w:val="auto"/>
        </w:rPr>
      </w:pPr>
    </w:p>
    <w:p>
      <w:pPr>
        <w:ind w:right="180" w:firstLine="647"/>
        <w:spacing w:after="0" w:line="246"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months ended March 30, 2018 and March 31, 2019.</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2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5"/>
          </w:tcPr>
          <w:p>
            <w:pPr>
              <w:jc w:val="right"/>
              <w:ind w:right="814"/>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00" w:type="dxa"/>
            <w:vAlign w:val="bottom"/>
            <w:tcBorders>
              <w:bottom w:val="single" w:sz="8" w:color="CFF0FC"/>
            </w:tcBorders>
            <w:vMerge w:val="continue"/>
          </w:tcPr>
          <w:p>
            <w:pPr>
              <w:spacing w:after="0"/>
              <w:rPr>
                <w:sz w:val="14"/>
                <w:szCs w:val="14"/>
                <w:color w:val="auto"/>
              </w:rPr>
            </w:pPr>
          </w:p>
        </w:tc>
        <w:tc>
          <w:tcPr>
            <w:tcW w:w="23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March 30, 2018</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2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47,730</w:t>
            </w:r>
          </w:p>
        </w:tc>
        <w:tc>
          <w:tcPr>
            <w:tcW w:w="2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68,174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Net Income Margin (2)</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 (3)</w:t>
            </w:r>
          </w:p>
        </w:tc>
        <w:tc>
          <w:tcPr>
            <w:tcW w:w="2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8"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reconciliation of net income attributable to Parsons Corporation to Adjusted EBITDA is set forth below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jc w:val="right"/>
              <w:ind w:right="7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169"/>
        </w:trPr>
        <w:tc>
          <w:tcPr>
            <w:tcW w:w="662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March 30, 2018</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4"/>
                <w:szCs w:val="14"/>
                <w:color w:val="auto"/>
              </w:rPr>
            </w:pPr>
          </w:p>
        </w:tc>
      </w:tr>
      <w:tr>
        <w:trPr>
          <w:trHeight w:val="21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25,287</w:t>
            </w:r>
          </w:p>
        </w:tc>
        <w:tc>
          <w:tcPr>
            <w:tcW w:w="2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9,741</w:t>
            </w:r>
          </w:p>
        </w:tc>
        <w:tc>
          <w:tcPr>
            <w:tcW w:w="120" w:type="dxa"/>
            <w:vAlign w:val="bottom"/>
            <w:shd w:val="clear" w:color="auto" w:fill="CFF0FC"/>
          </w:tcPr>
          <w:p>
            <w:pPr>
              <w:spacing w:after="0"/>
              <w:rPr>
                <w:sz w:val="18"/>
                <w:szCs w:val="18"/>
                <w:color w:val="auto"/>
              </w:rPr>
            </w:pPr>
          </w:p>
        </w:tc>
      </w:tr>
      <w:tr>
        <w:trPr>
          <w:trHeight w:val="216"/>
        </w:trPr>
        <w:tc>
          <w:tcPr>
            <w:tcW w:w="662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3,258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7,815</w:t>
            </w:r>
          </w:p>
        </w:tc>
        <w:tc>
          <w:tcPr>
            <w:tcW w:w="120" w:type="dxa"/>
            <w:vAlign w:val="bottom"/>
          </w:tcPr>
          <w:p>
            <w:pPr>
              <w:spacing w:after="0"/>
              <w:rPr>
                <w:sz w:val="18"/>
                <w:szCs w:val="18"/>
                <w:color w:val="auto"/>
              </w:rPr>
            </w:pPr>
          </w:p>
        </w:tc>
      </w:tr>
      <w:tr>
        <w:trPr>
          <w:trHeight w:val="216"/>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5,353</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120" w:type="dxa"/>
            <w:vAlign w:val="bottom"/>
            <w:shd w:val="clear" w:color="auto" w:fill="CFF0FC"/>
          </w:tcPr>
          <w:p>
            <w:pPr>
              <w:spacing w:after="0"/>
              <w:rPr>
                <w:sz w:val="18"/>
                <w:szCs w:val="18"/>
                <w:color w:val="auto"/>
              </w:rPr>
            </w:pPr>
          </w:p>
        </w:tc>
      </w:tr>
      <w:tr>
        <w:trPr>
          <w:trHeight w:val="216"/>
        </w:trPr>
        <w:tc>
          <w:tcPr>
            <w:tcW w:w="66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9,009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30,591</w:t>
            </w:r>
          </w:p>
        </w:tc>
        <w:tc>
          <w:tcPr>
            <w:tcW w:w="120" w:type="dxa"/>
            <w:vAlign w:val="bottom"/>
          </w:tcPr>
          <w:p>
            <w:pPr>
              <w:spacing w:after="0"/>
              <w:rPr>
                <w:sz w:val="18"/>
                <w:szCs w:val="18"/>
                <w:color w:val="auto"/>
              </w:rPr>
            </w:pPr>
          </w:p>
        </w:tc>
      </w:tr>
      <w:tr>
        <w:trPr>
          <w:trHeight w:val="216"/>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3,815</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w:t>
            </w:r>
          </w:p>
        </w:tc>
        <w:tc>
          <w:tcPr>
            <w:tcW w:w="120" w:type="dxa"/>
            <w:vAlign w:val="bottom"/>
            <w:shd w:val="clear" w:color="auto" w:fill="CFF0FC"/>
          </w:tcPr>
          <w:p>
            <w:pPr>
              <w:spacing w:after="0"/>
              <w:rPr>
                <w:sz w:val="18"/>
                <w:szCs w:val="18"/>
                <w:color w:val="auto"/>
              </w:rPr>
            </w:pPr>
          </w:p>
        </w:tc>
      </w:tr>
      <w:tr>
        <w:trPr>
          <w:trHeight w:val="216"/>
        </w:trPr>
        <w:tc>
          <w:tcPr>
            <w:tcW w:w="6620" w:type="dxa"/>
            <w:vAlign w:val="bottom"/>
          </w:tcPr>
          <w:p>
            <w:pPr>
              <w:ind w:left="240"/>
              <w:spacing w:after="0"/>
              <w:rPr>
                <w:sz w:val="20"/>
                <w:szCs w:val="20"/>
                <w:color w:val="auto"/>
              </w:rPr>
            </w:pPr>
            <w:r>
              <w:rPr>
                <w:rFonts w:ascii="Arial" w:cs="Arial" w:eastAsia="Arial" w:hAnsi="Arial"/>
                <w:sz w:val="18"/>
                <w:szCs w:val="18"/>
                <w:color w:val="auto"/>
              </w:rPr>
              <w:t>Litigation-related expenses(a)</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deferred gain resulting from sale-leaseback transactions(b)</w:t>
            </w: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(1,813)</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6620" w:type="dxa"/>
            <w:vAlign w:val="bottom"/>
          </w:tcPr>
          <w:p>
            <w:pPr>
              <w:ind w:left="240"/>
              <w:spacing w:after="0"/>
              <w:rPr>
                <w:sz w:val="20"/>
                <w:szCs w:val="20"/>
                <w:color w:val="auto"/>
              </w:rPr>
            </w:pPr>
            <w:r>
              <w:rPr>
                <w:rFonts w:ascii="Arial" w:cs="Arial" w:eastAsia="Arial" w:hAnsi="Arial"/>
                <w:sz w:val="18"/>
                <w:szCs w:val="18"/>
                <w:color w:val="auto"/>
              </w:rPr>
              <w:t>Transaction-related costs(c)</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9,355</w:t>
            </w:r>
          </w:p>
        </w:tc>
        <w:tc>
          <w:tcPr>
            <w:tcW w:w="120" w:type="dxa"/>
            <w:vAlign w:val="bottom"/>
          </w:tcPr>
          <w:p>
            <w:pPr>
              <w:spacing w:after="0"/>
              <w:rPr>
                <w:sz w:val="18"/>
                <w:szCs w:val="18"/>
                <w:color w:val="auto"/>
              </w:rPr>
            </w:pPr>
          </w:p>
        </w:tc>
      </w:tr>
      <w:tr>
        <w:trPr>
          <w:trHeight w:val="216"/>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Restructuring(d)</w:t>
            </w: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2,218</w:t>
            </w:r>
          </w:p>
        </w:tc>
        <w:tc>
          <w:tcPr>
            <w:tcW w:w="120" w:type="dxa"/>
            <w:vAlign w:val="bottom"/>
            <w:shd w:val="clear" w:color="auto" w:fill="CFF0FC"/>
          </w:tcPr>
          <w:p>
            <w:pPr>
              <w:spacing w:after="0"/>
              <w:rPr>
                <w:sz w:val="18"/>
                <w:szCs w:val="18"/>
                <w:color w:val="auto"/>
              </w:rPr>
            </w:pPr>
          </w:p>
        </w:tc>
      </w:tr>
      <w:tr>
        <w:trPr>
          <w:trHeight w:val="216"/>
        </w:trPr>
        <w:tc>
          <w:tcPr>
            <w:tcW w:w="6620" w:type="dxa"/>
            <w:vAlign w:val="bottom"/>
          </w:tcPr>
          <w:p>
            <w:pPr>
              <w:ind w:left="240"/>
              <w:spacing w:after="0"/>
              <w:rPr>
                <w:sz w:val="20"/>
                <w:szCs w:val="20"/>
                <w:color w:val="auto"/>
              </w:rPr>
            </w:pPr>
            <w:r>
              <w:rPr>
                <w:rFonts w:ascii="Arial" w:cs="Arial" w:eastAsia="Arial" w:hAnsi="Arial"/>
                <w:sz w:val="18"/>
                <w:szCs w:val="18"/>
                <w:color w:val="auto"/>
              </w:rPr>
              <w:t>HCM software implementation costs(e)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2,912</w:t>
            </w:r>
          </w:p>
        </w:tc>
        <w:tc>
          <w:tcPr>
            <w:tcW w:w="120" w:type="dxa"/>
            <w:vAlign w:val="bottom"/>
          </w:tcPr>
          <w:p>
            <w:pPr>
              <w:spacing w:after="0"/>
              <w:rPr>
                <w:sz w:val="18"/>
                <w:szCs w:val="18"/>
                <w:color w:val="auto"/>
              </w:rPr>
            </w:pPr>
          </w:p>
        </w:tc>
      </w:tr>
      <w:tr>
        <w:trPr>
          <w:trHeight w:val="216"/>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Other(f)</w:t>
            </w:r>
          </w:p>
        </w:tc>
        <w:tc>
          <w:tcPr>
            <w:tcW w:w="4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8"/>
                <w:szCs w:val="18"/>
                <w:color w:val="auto"/>
              </w:rPr>
            </w:pPr>
          </w:p>
        </w:tc>
      </w:tr>
      <w:tr>
        <w:trPr>
          <w:trHeight w:val="210"/>
        </w:trPr>
        <w:tc>
          <w:tcPr>
            <w:tcW w:w="66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47,730</w:t>
            </w:r>
          </w:p>
        </w:tc>
        <w:tc>
          <w:tcPr>
            <w:tcW w:w="24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68,174</w:t>
            </w:r>
          </w:p>
        </w:tc>
        <w:tc>
          <w:tcPr>
            <w:tcW w:w="12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690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8" w:lineRule="exact"/>
        <w:rPr>
          <w:sz w:val="20"/>
          <w:szCs w:val="20"/>
          <w:color w:val="auto"/>
        </w:rPr>
      </w:pPr>
    </w:p>
    <w:p>
      <w:pPr>
        <w:ind w:left="640" w:right="460" w:hanging="632"/>
        <w:spacing w:after="0" w:line="238"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Reflects interest expense in “(Interest and other expenses) gain associated with claim on long-term contract” in our results of operations associated with a lawsuit against a joint venture in which the Company is the managing partner. Please see “Note 14 –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in the Company’s Form S-1/A filed on April 29, 2019, for a description of this matter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resolved in favor of the Company on June 13, 2018.</w:t>
      </w:r>
    </w:p>
    <w:p>
      <w:pPr>
        <w:spacing w:after="0" w:line="2" w:lineRule="exact"/>
        <w:rPr>
          <w:rFonts w:ascii="Arial" w:cs="Arial" w:eastAsia="Arial" w:hAnsi="Arial"/>
          <w:sz w:val="18"/>
          <w:szCs w:val="18"/>
          <w:color w:val="auto"/>
        </w:rPr>
      </w:pPr>
    </w:p>
    <w:p>
      <w:pPr>
        <w:ind w:left="640" w:hanging="632"/>
        <w:spacing w:after="0" w:line="234"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recognized deferred gains related to sales-leaseback transactions described in “Note 11- Sale-Leasebacks.”</w:t>
      </w:r>
    </w:p>
    <w:p>
      <w:pPr>
        <w:ind w:left="640" w:right="260" w:hanging="632"/>
        <w:spacing w:after="0" w:line="234"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initial public offering,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40" w:hanging="632"/>
        <w:spacing w:after="0" w:line="234"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costs associated with our corporate restructuring initiatives.</w:t>
      </w:r>
    </w:p>
    <w:p>
      <w:pPr>
        <w:ind w:left="640" w:hanging="632"/>
        <w:spacing w:after="0" w:line="234"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implementation costs incurred in connection with a new human resources and payroll application.</w:t>
      </w:r>
    </w:p>
    <w:p>
      <w:pPr>
        <w:ind w:left="640" w:right="120" w:hanging="63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a loss from sale of a subsidiary and other individually insignificant items that are non-recurring in nature for the quarter ended March 30, 2018 and a combination of gain/loss related to sale of fixed assets and other individually insignificant items that are non-recurring in nature for the quarter ended March 31, 2019.</w:t>
      </w:r>
    </w:p>
    <w:p>
      <w:pPr>
        <w:spacing w:after="0" w:line="203" w:lineRule="exact"/>
        <w:rPr>
          <w:sz w:val="20"/>
          <w:szCs w:val="20"/>
          <w:color w:val="auto"/>
        </w:rPr>
      </w:pPr>
    </w:p>
    <w:p>
      <w:pPr>
        <w:ind w:right="80" w:firstLine="647"/>
        <w:spacing w:after="0" w:line="238"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203" w:lineRule="exact"/>
        <w:rPr>
          <w:sz w:val="20"/>
          <w:szCs w:val="20"/>
          <w:color w:val="auto"/>
        </w:rPr>
      </w:pPr>
    </w:p>
    <w:p>
      <w:pPr>
        <w:ind w:firstLine="647"/>
        <w:spacing w:after="0" w:line="237"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(loss)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amortization of deferred gain resulting from sale-leaseback transactions, expenses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5" w:name="page36"/>
    <w:bookmarkEnd w:id="35"/>
    <w:p>
      <w:pPr>
        <w:ind w:right="500"/>
        <w:spacing w:after="0" w:line="236" w:lineRule="auto"/>
        <w:rPr>
          <w:sz w:val="20"/>
          <w:szCs w:val="20"/>
          <w:color w:val="auto"/>
        </w:rPr>
      </w:pPr>
      <w:r>
        <w:rPr>
          <w:rFonts w:ascii="Arial" w:cs="Arial" w:eastAsia="Arial" w:hAnsi="Arial"/>
          <w:sz w:val="18"/>
          <w:szCs w:val="18"/>
          <w:color w:val="auto"/>
        </w:rPr>
        <w:t>incurred in connection with acquisitions and other non-recurring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208" w:lineRule="exact"/>
        <w:rPr>
          <w:sz w:val="20"/>
          <w:szCs w:val="20"/>
          <w:color w:val="auto"/>
        </w:rPr>
      </w:pPr>
    </w:p>
    <w:p>
      <w:pPr>
        <w:ind w:right="420" w:firstLine="647"/>
        <w:spacing w:after="0" w:line="246"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5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30, 2018</w:t>
            </w: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Pr>
          <w:p>
            <w:pPr>
              <w:spacing w:after="0"/>
              <w:rPr>
                <w:sz w:val="14"/>
                <w:szCs w:val="14"/>
                <w:color w:val="auto"/>
              </w:rPr>
            </w:pPr>
          </w:p>
        </w:tc>
        <w:tc>
          <w:tcPr>
            <w:tcW w:w="1400" w:type="dxa"/>
            <w:vAlign w:val="bottom"/>
            <w:gridSpan w:val="3"/>
          </w:tcPr>
          <w:p>
            <w:pPr>
              <w:ind w:left="140"/>
              <w:spacing w:after="0"/>
              <w:rPr>
                <w:sz w:val="20"/>
                <w:szCs w:val="20"/>
                <w:color w:val="auto"/>
              </w:rPr>
            </w:pPr>
            <w:r>
              <w:rPr>
                <w:rFonts w:ascii="Arial" w:cs="Arial" w:eastAsia="Arial" w:hAnsi="Arial"/>
                <w:sz w:val="14"/>
                <w:szCs w:val="14"/>
                <w:b w:val="1"/>
                <w:bCs w:val="1"/>
                <w:color w:val="auto"/>
              </w:rPr>
              <w:t>Dollar</w:t>
            </w: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w:t>
            </w:r>
          </w:p>
        </w:tc>
      </w:tr>
      <w:tr>
        <w:trPr>
          <w:trHeight w:val="209"/>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 Adjusted EBITDA attributable to</w:t>
            </w:r>
          </w:p>
        </w:tc>
        <w:tc>
          <w:tcPr>
            <w:tcW w:w="7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03"/>
        </w:trPr>
        <w:tc>
          <w:tcPr>
            <w:tcW w:w="51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Parsons Corporation</w:t>
            </w:r>
          </w:p>
        </w:tc>
        <w:tc>
          <w:tcPr>
            <w:tcW w:w="1060" w:type="dxa"/>
            <w:vAlign w:val="bottom"/>
            <w:gridSpan w:val="2"/>
            <w:shd w:val="clear" w:color="auto" w:fill="CFF0FC"/>
          </w:tcPr>
          <w:p>
            <w:pPr>
              <w:jc w:val="right"/>
              <w:ind w:right="159"/>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20,154</w:t>
            </w: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16"/>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8"/>
              </w:rPr>
              <w:t>38,866</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18,712</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92.8%</w:t>
            </w:r>
          </w:p>
        </w:tc>
      </w:tr>
      <w:tr>
        <w:trPr>
          <w:trHeight w:val="215"/>
        </w:trPr>
        <w:tc>
          <w:tcPr>
            <w:tcW w:w="5160" w:type="dxa"/>
            <w:vAlign w:val="bottom"/>
          </w:tcPr>
          <w:p>
            <w:pPr>
              <w:spacing w:after="0"/>
              <w:rPr>
                <w:sz w:val="20"/>
                <w:szCs w:val="20"/>
                <w:color w:val="auto"/>
              </w:rPr>
            </w:pPr>
            <w:r>
              <w:rPr>
                <w:rFonts w:ascii="Arial" w:cs="Arial" w:eastAsia="Arial" w:hAnsi="Arial"/>
                <w:sz w:val="18"/>
                <w:szCs w:val="18"/>
                <w:color w:val="auto"/>
              </w:rPr>
              <w:t>Critical Infrastructure Adjusted EBITDA attributable</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5160" w:type="dxa"/>
            <w:vAlign w:val="bottom"/>
          </w:tcPr>
          <w:p>
            <w:pPr>
              <w:ind w:left="160"/>
              <w:spacing w:after="0" w:line="203" w:lineRule="exact"/>
              <w:rPr>
                <w:sz w:val="20"/>
                <w:szCs w:val="20"/>
                <w:color w:val="auto"/>
              </w:rPr>
            </w:pPr>
            <w:r>
              <w:rPr>
                <w:rFonts w:ascii="Arial" w:cs="Arial" w:eastAsia="Arial" w:hAnsi="Arial"/>
                <w:sz w:val="18"/>
                <w:szCs w:val="18"/>
                <w:color w:val="auto"/>
              </w:rPr>
              <w:t>to Parsons Corporation</w:t>
            </w: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23,656</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w w:val="98"/>
              </w:rPr>
              <w:t>25,559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1,903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8.0%</w:t>
            </w: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3,920</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Total Adjusted EBITDA</w:t>
            </w:r>
          </w:p>
        </w:tc>
        <w:tc>
          <w:tcPr>
            <w:tcW w:w="7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47,730</w:t>
            </w:r>
          </w:p>
        </w:tc>
        <w:tc>
          <w:tcPr>
            <w:tcW w:w="2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68,174</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r>
      <w:tr>
        <w:trPr>
          <w:trHeight w:val="20"/>
        </w:trPr>
        <w:tc>
          <w:tcPr>
            <w:tcW w:w="5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1" w:lineRule="exact"/>
        <w:rPr>
          <w:sz w:val="20"/>
          <w:szCs w:val="20"/>
          <w:color w:val="auto"/>
        </w:rPr>
      </w:pPr>
    </w:p>
    <w:p>
      <w:pPr>
        <w:ind w:left="640" w:hanging="63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Income Margin is calculated as net income (loss) including noncontrolling interest divided by revenue in the applicable period.</w:t>
      </w:r>
    </w:p>
    <w:p>
      <w:pPr>
        <w:ind w:left="640" w:hanging="63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revenue in the applicable period.</w:t>
      </w:r>
    </w:p>
    <w:p>
      <w:pPr>
        <w:spacing w:after="0" w:line="104" w:lineRule="exact"/>
        <w:rPr>
          <w:sz w:val="20"/>
          <w:szCs w:val="20"/>
          <w:color w:val="auto"/>
        </w:rPr>
      </w:pPr>
    </w:p>
    <w:p>
      <w:pPr>
        <w:ind w:right="960" w:firstLine="647"/>
        <w:spacing w:after="0" w:line="246" w:lineRule="auto"/>
        <w:rPr>
          <w:sz w:val="20"/>
          <w:szCs w:val="20"/>
          <w:color w:val="auto"/>
        </w:rPr>
      </w:pPr>
      <w:r>
        <w:rPr>
          <w:rFonts w:ascii="Arial" w:cs="Arial" w:eastAsia="Arial" w:hAnsi="Arial"/>
          <w:sz w:val="18"/>
          <w:szCs w:val="18"/>
          <w:color w:val="auto"/>
        </w:rPr>
        <w:t>The following table sets forth our results of operations for the three months ended March 30, 2018 and March 31, 2019 as a percentage of revenue.</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960" w:type="dxa"/>
            <w:vAlign w:val="bottom"/>
          </w:tcPr>
          <w:p>
            <w:pPr>
              <w:spacing w:after="0"/>
              <w:rPr>
                <w:sz w:val="15"/>
                <w:szCs w:val="15"/>
                <w:color w:val="auto"/>
              </w:rPr>
            </w:pPr>
          </w:p>
        </w:tc>
        <w:tc>
          <w:tcPr>
            <w:tcW w:w="31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r>
      <w:tr>
        <w:trPr>
          <w:trHeight w:val="169"/>
        </w:trPr>
        <w:tc>
          <w:tcPr>
            <w:tcW w:w="696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March 30, 2018</w:t>
            </w:r>
          </w:p>
        </w:tc>
        <w:tc>
          <w:tcPr>
            <w:tcW w:w="34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Borders>
              <w:bottom w:val="single" w:sz="8" w:color="CFF0FC"/>
            </w:tcBorders>
          </w:tcPr>
          <w:p>
            <w:pPr>
              <w:spacing w:after="0"/>
              <w:rPr>
                <w:sz w:val="14"/>
                <w:szCs w:val="14"/>
                <w:color w:val="auto"/>
              </w:rPr>
            </w:pPr>
          </w:p>
        </w:tc>
      </w:tr>
      <w:tr>
        <w:trPr>
          <w:trHeight w:val="21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Direct costs of contracts</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79.9%</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79.0%</w:t>
            </w:r>
          </w:p>
        </w:tc>
      </w:tr>
      <w:tr>
        <w:trPr>
          <w:trHeight w:val="216"/>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Indirect, general and administrative expenses</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r>
      <w:tr>
        <w:trPr>
          <w:trHeight w:val="20"/>
        </w:trPr>
        <w:tc>
          <w:tcPr>
            <w:tcW w:w="69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r>
        <w:trPr>
          <w:trHeight w:val="20"/>
        </w:trPr>
        <w:tc>
          <w:tcPr>
            <w:tcW w:w="69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Interest income</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-0.5%</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Other income, net</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expense) gain associated with claim on long-term contract</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-0.3%</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69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6960" w:type="dxa"/>
            <w:vAlign w:val="bottom"/>
          </w:tcPr>
          <w:p>
            <w:pPr>
              <w:ind w:left="240"/>
              <w:spacing w:after="0"/>
              <w:rPr>
                <w:sz w:val="20"/>
                <w:szCs w:val="20"/>
                <w:color w:val="auto"/>
              </w:rPr>
            </w:pPr>
            <w:r>
              <w:rPr>
                <w:rFonts w:ascii="Arial" w:cs="Arial" w:eastAsia="Arial" w:hAnsi="Arial"/>
                <w:sz w:val="18"/>
                <w:szCs w:val="18"/>
                <w:color w:val="auto"/>
              </w:rPr>
              <w:t>Total other income (expense)</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0"/>
        </w:trPr>
        <w:tc>
          <w:tcPr>
            <w:tcW w:w="69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before income tax provision</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Income tax provision</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0"/>
        </w:trPr>
        <w:tc>
          <w:tcPr>
            <w:tcW w:w="69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including noncontrolling interests</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r>
        <w:trPr>
          <w:trHeight w:val="20"/>
        </w:trPr>
        <w:tc>
          <w:tcPr>
            <w:tcW w:w="69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Parsons Corporation</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2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1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20" w:type="dxa"/>
            <w:vAlign w:val="bottom"/>
            <w:tcBorders>
              <w:bottom w:val="single" w:sz="8" w:color="CFF0FC"/>
            </w:tcBorders>
            <w:vMerge w:val="continue"/>
          </w:tcPr>
          <w:p>
            <w:pPr>
              <w:spacing w:after="0"/>
              <w:rPr>
                <w:sz w:val="14"/>
                <w:szCs w:val="14"/>
                <w:color w:val="auto"/>
              </w:rPr>
            </w:pPr>
          </w:p>
        </w:tc>
        <w:tc>
          <w:tcPr>
            <w:tcW w:w="216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30, 2018</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Dollar</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Percent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6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754,679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904,405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149,726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372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72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36" w:name="page37"/>
    <w:bookmarkEnd w:id="36"/>
    <w:p>
      <w:pPr>
        <w:jc w:val="both"/>
        <w:ind w:right="420" w:firstLine="647"/>
        <w:spacing w:after="0"/>
        <w:rPr>
          <w:sz w:val="20"/>
          <w:szCs w:val="20"/>
          <w:color w:val="auto"/>
        </w:rPr>
      </w:pPr>
      <w:r>
        <w:rPr>
          <w:rFonts w:ascii="Arial" w:cs="Arial" w:eastAsia="Arial" w:hAnsi="Arial"/>
          <w:sz w:val="18"/>
          <w:szCs w:val="18"/>
          <w:color w:val="auto"/>
        </w:rPr>
        <w:t>Revenue increased for the three months ended March 31, 2019 when compared to March 30, 2018 primarily due to an increase in revenue in our Federal Solutions segment of $131.5 million and from our Critical Infrastructure segment of $18.2 million. See “—Segment Results” below for further discussion.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00" w:type="dxa"/>
            <w:vAlign w:val="bottom"/>
            <w:tcBorders>
              <w:bottom w:val="single" w:sz="8" w:color="CFF0FC"/>
            </w:tcBorders>
            <w:vMerge w:val="continue"/>
          </w:tcPr>
          <w:p>
            <w:pPr>
              <w:spacing w:after="0"/>
              <w:rPr>
                <w:sz w:val="14"/>
                <w:szCs w:val="14"/>
                <w:color w:val="auto"/>
              </w:rPr>
            </w:pPr>
          </w:p>
        </w:tc>
        <w:tc>
          <w:tcPr>
            <w:tcW w:w="198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30, 2018</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Dollar</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Direct costs of contracts</w:t>
            </w:r>
          </w:p>
        </w:tc>
        <w:tc>
          <w:tcPr>
            <w:tcW w:w="22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602,972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714,237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111,265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80" w:firstLine="647"/>
        <w:spacing w:after="0" w:line="239" w:lineRule="auto"/>
        <w:rPr>
          <w:sz w:val="20"/>
          <w:szCs w:val="20"/>
          <w:color w:val="auto"/>
        </w:rPr>
      </w:pPr>
      <w:r>
        <w:rPr>
          <w:rFonts w:ascii="Arial" w:cs="Arial" w:eastAsia="Arial" w:hAnsi="Arial"/>
          <w:sz w:val="18"/>
          <w:szCs w:val="18"/>
          <w:color w:val="auto"/>
        </w:rPr>
        <w:t>Direct cost of contracts increased for the three months ended March 31, 2019 when compared to March 30, 2018 primarily due to an increase of $93.2 million in our Federal Solutions segment and from an increase of $18.1 million in our Critical Infrastructure segment. The increase in our Federal Solutions segment was due primarily from business acquisitions which added $91.3 million. Direct cost of contracts in our Critical Infrastructure segment increased $18.1 million primarily due to an increase in business volume under existing contracts.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unconsolidated joint ventures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Variance</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60" w:type="dxa"/>
            <w:vAlign w:val="bottom"/>
            <w:tcBorders>
              <w:bottom w:val="single" w:sz="8" w:color="CFF0FC"/>
            </w:tcBorders>
            <w:vMerge w:val="continue"/>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30, 2018</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w:t>
            </w: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2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11,031</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10,397</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(634)</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60" w:firstLine="647"/>
        <w:spacing w:after="0"/>
        <w:rPr>
          <w:sz w:val="20"/>
          <w:szCs w:val="20"/>
          <w:color w:val="auto"/>
        </w:rPr>
      </w:pPr>
      <w:r>
        <w:rPr>
          <w:rFonts w:ascii="Arial" w:cs="Arial" w:eastAsia="Arial" w:hAnsi="Arial"/>
          <w:sz w:val="18"/>
          <w:szCs w:val="18"/>
          <w:color w:val="auto"/>
        </w:rPr>
        <w:t>Equity in earnings of unconsolidated joint ventures decreased for the three months ended March 31, 2019 when compared to March 30, 2018 primarily due to timing of the completion of joint ventures and the starting of new joint ventures as part of ordinary course timing fluctuations in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Indirect, general and administrative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60" w:type="dxa"/>
            <w:vAlign w:val="bottom"/>
            <w:tcBorders>
              <w:bottom w:val="single" w:sz="8" w:color="CFF0FC"/>
            </w:tcBorders>
            <w:vMerge w:val="continue"/>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30, 2018</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Dollar</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Indirect, general and administrative expenses</w:t>
            </w:r>
          </w:p>
        </w:tc>
        <w:tc>
          <w:tcPr>
            <w:tcW w:w="14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123,847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177,519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53,672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firstLine="647"/>
        <w:spacing w:after="0" w:line="239" w:lineRule="auto"/>
        <w:rPr>
          <w:sz w:val="20"/>
          <w:szCs w:val="20"/>
          <w:color w:val="auto"/>
        </w:rPr>
      </w:pPr>
      <w:r>
        <w:rPr>
          <w:rFonts w:ascii="Arial" w:cs="Arial" w:eastAsia="Arial" w:hAnsi="Arial"/>
          <w:sz w:val="18"/>
          <w:szCs w:val="18"/>
          <w:color w:val="auto"/>
        </w:rPr>
        <w:t>Indirect, general and administrative expenses (“IG&amp;A”) increased for the three months ended March 31, 2019 when compared to March 30, 2018 primarily due to our Federal Solutions segment, most of which is related to additional expenses of $18.9 million from business acquisitions, $20.4 million from the amortization of intangible assets related to our acquisitions and $9.4 million in acquisition-related expenses. In our Critical Infrastructure segment, expenses increased in-line with the increase in business volume.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Variance</w:t>
            </w: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4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right"/>
              <w:ind w:right="660"/>
              <w:spacing w:after="0" w:line="156" w:lineRule="exact"/>
              <w:rPr>
                <w:sz w:val="20"/>
                <w:szCs w:val="20"/>
                <w:color w:val="auto"/>
              </w:rPr>
            </w:pPr>
            <w:r>
              <w:rPr>
                <w:rFonts w:ascii="Arial" w:cs="Arial" w:eastAsia="Arial" w:hAnsi="Arial"/>
                <w:sz w:val="14"/>
                <w:szCs w:val="14"/>
                <w:b w:val="1"/>
                <w:bCs w:val="1"/>
                <w:color w:val="auto"/>
              </w:rPr>
              <w:t>March 30,</w:t>
            </w:r>
          </w:p>
        </w:tc>
        <w:tc>
          <w:tcPr>
            <w:tcW w:w="220" w:type="dxa"/>
            <w:vAlign w:val="bottom"/>
          </w:tcPr>
          <w:p>
            <w:pPr>
              <w:spacing w:after="0"/>
              <w:rPr>
                <w:sz w:val="13"/>
                <w:szCs w:val="13"/>
                <w:color w:val="auto"/>
              </w:rPr>
            </w:pPr>
          </w:p>
        </w:tc>
        <w:tc>
          <w:tcPr>
            <w:tcW w:w="1440" w:type="dxa"/>
            <w:vAlign w:val="bottom"/>
            <w:gridSpan w:val="2"/>
          </w:tcPr>
          <w:p>
            <w:pPr>
              <w:jc w:val="right"/>
              <w:ind w:right="640"/>
              <w:spacing w:after="0" w:line="156"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48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Dollar</w:t>
            </w:r>
          </w:p>
        </w:tc>
        <w:tc>
          <w:tcPr>
            <w:tcW w:w="2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1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-35.6%</w:t>
            </w:r>
          </w:p>
        </w:tc>
      </w:tr>
      <w:tr>
        <w:trPr>
          <w:trHeight w:val="216"/>
        </w:trPr>
        <w:tc>
          <w:tcPr>
            <w:tcW w:w="48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(3,999)</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(8,292)</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(4,293)</w:t>
            </w:r>
          </w:p>
        </w:tc>
        <w:tc>
          <w:tcPr>
            <w:tcW w:w="2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107.4%</w:t>
            </w:r>
          </w:p>
        </w:tc>
      </w:tr>
      <w:tr>
        <w:trPr>
          <w:trHeight w:val="216"/>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(1,111)</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-96.4%</w:t>
            </w:r>
          </w:p>
        </w:tc>
      </w:tr>
      <w:tr>
        <w:trPr>
          <w:trHeight w:val="215"/>
        </w:trPr>
        <w:tc>
          <w:tcPr>
            <w:tcW w:w="4820" w:type="dxa"/>
            <w:vAlign w:val="bottom"/>
          </w:tcPr>
          <w:p>
            <w:pPr>
              <w:ind w:left="260"/>
              <w:spacing w:after="0"/>
              <w:rPr>
                <w:sz w:val="20"/>
                <w:szCs w:val="20"/>
                <w:color w:val="auto"/>
              </w:rPr>
            </w:pPr>
            <w:r>
              <w:rPr>
                <w:rFonts w:ascii="Arial" w:cs="Arial" w:eastAsia="Arial" w:hAnsi="Arial"/>
                <w:sz w:val="18"/>
                <w:szCs w:val="18"/>
                <w:color w:val="auto"/>
              </w:rPr>
              <w:t>Interest and other expense associated with</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4820" w:type="dxa"/>
            <w:vAlign w:val="bottom"/>
          </w:tcPr>
          <w:p>
            <w:pPr>
              <w:ind w:left="400"/>
              <w:spacing w:after="0" w:line="203" w:lineRule="exact"/>
              <w:rPr>
                <w:sz w:val="20"/>
                <w:szCs w:val="20"/>
                <w:color w:val="auto"/>
              </w:rPr>
            </w:pPr>
            <w:r>
              <w:rPr>
                <w:rFonts w:ascii="Arial" w:cs="Arial" w:eastAsia="Arial" w:hAnsi="Arial"/>
                <w:sz w:val="18"/>
                <w:szCs w:val="18"/>
                <w:color w:val="auto"/>
              </w:rPr>
              <w:t>claim on long-term contract</w:t>
            </w:r>
          </w:p>
        </w:tc>
        <w:tc>
          <w:tcPr>
            <w:tcW w:w="220" w:type="dxa"/>
            <w:vAlign w:val="bottom"/>
          </w:tcPr>
          <w:p>
            <w:pPr>
              <w:spacing w:after="0"/>
              <w:rPr>
                <w:sz w:val="17"/>
                <w:szCs w:val="17"/>
                <w:color w:val="auto"/>
              </w:rPr>
            </w:pPr>
          </w:p>
        </w:tc>
        <w:tc>
          <w:tcPr>
            <w:tcW w:w="14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(2,330)</w:t>
            </w:r>
          </w:p>
        </w:tc>
        <w:tc>
          <w:tcPr>
            <w:tcW w:w="22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2,330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-100.0%</w:t>
            </w:r>
          </w:p>
        </w:tc>
      </w:tr>
      <w:tr>
        <w:trPr>
          <w:trHeight w:val="20"/>
        </w:trPr>
        <w:tc>
          <w:tcPr>
            <w:tcW w:w="4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other expense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(4,436)</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(7,774)</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(3,338)</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75.2%</w:t>
            </w: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100" w:firstLine="647"/>
        <w:spacing w:after="0"/>
        <w:rPr>
          <w:sz w:val="20"/>
          <w:szCs w:val="20"/>
          <w:color w:val="auto"/>
        </w:rPr>
      </w:pPr>
      <w:r>
        <w:rPr>
          <w:rFonts w:ascii="Arial" w:cs="Arial" w:eastAsia="Arial" w:hAnsi="Arial"/>
          <w:sz w:val="18"/>
          <w:szCs w:val="18"/>
          <w:color w:val="auto"/>
        </w:rPr>
        <w:t>The increase in interest expense for the three months ended March 31, 2019 when compared to March 30, 2018 is primarily due to an increase in debt related to our business acquisitions. The amounts in other income, net relate primarily to transaction gains and losses on foreign currency transactions and sublease income.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7" w:name="page38"/>
    <w:bookmarkEnd w:id="37"/>
    <w:p>
      <w:pPr>
        <w:ind w:right="280" w:firstLine="647"/>
        <w:spacing w:after="0"/>
        <w:rPr>
          <w:sz w:val="20"/>
          <w:szCs w:val="20"/>
          <w:color w:val="auto"/>
        </w:rPr>
      </w:pPr>
      <w:r>
        <w:rPr>
          <w:rFonts w:ascii="Arial" w:cs="Arial" w:eastAsia="Arial" w:hAnsi="Arial"/>
          <w:sz w:val="18"/>
          <w:szCs w:val="18"/>
          <w:color w:val="auto"/>
        </w:rPr>
        <w:t xml:space="preserve">Interest and other expense associated with claim on long-term contract relates to a lawsuit against a joint venture in which the Company is the managing partner. Please see “Note 15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the Company’s Form S-1/A filed on April 29, 2019, for a description of this matter, which was resolved in favor of the Company on June 13, 2018.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1100" w:type="dxa"/>
            <w:vAlign w:val="bottom"/>
            <w:tcBorders>
              <w:bottom w:val="single" w:sz="8" w:color="auto"/>
            </w:tcBorders>
          </w:tcPr>
          <w:p>
            <w:pPr>
              <w:spacing w:after="0"/>
              <w:rPr>
                <w:sz w:val="15"/>
                <w:szCs w:val="15"/>
                <w:color w:val="auto"/>
              </w:rPr>
            </w:pPr>
          </w:p>
        </w:tc>
      </w:tr>
      <w:tr>
        <w:trPr>
          <w:trHeight w:val="156"/>
        </w:trPr>
        <w:tc>
          <w:tcPr>
            <w:tcW w:w="3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rPr>
              <w:t>March 30,</w:t>
            </w:r>
          </w:p>
        </w:tc>
        <w:tc>
          <w:tcPr>
            <w:tcW w:w="180" w:type="dxa"/>
            <w:vAlign w:val="bottom"/>
          </w:tcPr>
          <w:p>
            <w:pPr>
              <w:spacing w:after="0"/>
              <w:rPr>
                <w:sz w:val="13"/>
                <w:szCs w:val="13"/>
                <w:color w:val="auto"/>
              </w:rPr>
            </w:pPr>
          </w:p>
        </w:tc>
        <w:tc>
          <w:tcPr>
            <w:tcW w:w="124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5"/>
        </w:trPr>
        <w:tc>
          <w:tcPr>
            <w:tcW w:w="38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20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Dollar</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Percent</w:t>
            </w: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(3,467)</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r>
    </w:tbl>
    <w:p>
      <w:pPr>
        <w:spacing w:after="0" w:line="242" w:lineRule="exact"/>
        <w:rPr>
          <w:sz w:val="20"/>
          <w:szCs w:val="20"/>
          <w:color w:val="auto"/>
        </w:rPr>
      </w:pPr>
    </w:p>
    <w:p>
      <w:pPr>
        <w:ind w:right="500" w:firstLine="647"/>
        <w:spacing w:after="0" w:line="246" w:lineRule="auto"/>
        <w:rPr>
          <w:sz w:val="20"/>
          <w:szCs w:val="20"/>
          <w:color w:val="auto"/>
        </w:rPr>
      </w:pPr>
      <w:r>
        <w:rPr>
          <w:rFonts w:ascii="Arial" w:cs="Arial" w:eastAsia="Arial" w:hAnsi="Arial"/>
          <w:sz w:val="18"/>
          <w:szCs w:val="18"/>
          <w:color w:val="auto"/>
        </w:rPr>
        <w:t>Income tax expense decreased for the three months ended March 31, 2019 when compared to March 30, 2018 primarily due to a reduction in pre-tax earnings in the foreign jurisdictions in which we operate.</w:t>
      </w:r>
    </w:p>
    <w:p>
      <w:pPr>
        <w:spacing w:after="0" w:line="197" w:lineRule="exact"/>
        <w:rPr>
          <w:sz w:val="20"/>
          <w:szCs w:val="20"/>
          <w:color w:val="auto"/>
        </w:rPr>
      </w:pPr>
    </w:p>
    <w:p>
      <w:pPr>
        <w:ind w:right="360" w:firstLine="647"/>
        <w:spacing w:after="0" w:line="261" w:lineRule="auto"/>
        <w:rPr>
          <w:sz w:val="20"/>
          <w:szCs w:val="20"/>
          <w:color w:val="auto"/>
        </w:rPr>
      </w:pPr>
      <w:r>
        <w:rPr>
          <w:rFonts w:ascii="Arial" w:cs="Arial" w:eastAsia="Arial" w:hAnsi="Arial"/>
          <w:sz w:val="17"/>
          <w:szCs w:val="17"/>
          <w:color w:val="auto"/>
        </w:rPr>
        <w:t>Historically, the Company recognized income taxes as an “S” Corporation for federal and state income tax purposes and, therefore, with the exception of a limited number of state and local jurisdictions, income has not been subject to income taxes. As a Subchapter “S” corporation the effective tax rates for the three months ended March 30, 2018 and March 31, 2019 were 15.54% and 12.35%, respectively.</w:t>
      </w:r>
    </w:p>
    <w:p>
      <w:pPr>
        <w:spacing w:after="0" w:line="186" w:lineRule="exact"/>
        <w:rPr>
          <w:sz w:val="20"/>
          <w:szCs w:val="20"/>
          <w:color w:val="auto"/>
        </w:rPr>
      </w:pPr>
    </w:p>
    <w:p>
      <w:pPr>
        <w:ind w:right="100" w:firstLine="647"/>
        <w:spacing w:after="0" w:line="239" w:lineRule="auto"/>
        <w:rPr>
          <w:sz w:val="20"/>
          <w:szCs w:val="20"/>
          <w:color w:val="auto"/>
        </w:rPr>
      </w:pPr>
      <w:r>
        <w:rPr>
          <w:rFonts w:ascii="Arial" w:cs="Arial" w:eastAsia="Arial" w:hAnsi="Arial"/>
          <w:sz w:val="18"/>
          <w:szCs w:val="18"/>
          <w:color w:val="auto"/>
        </w:rPr>
        <w:t>In connection with the Company’s initial public offering on May 8, 2019, we converted to a “C” Corporation. On a pro forma basis, if the Company had been taxed as a “C” Corporation for the three months ended March 30, 2018 and March 31, 2019 the Company’s assumed combined federal, state, local and foreign effective income tax rate would have been 33.02% and 31.29%, respectively and income tax expense would have been $11.4 million and $4.8 million, respectively.</w:t>
      </w:r>
    </w:p>
    <w:p>
      <w:pPr>
        <w:spacing w:after="0" w:line="202" w:lineRule="exact"/>
        <w:rPr>
          <w:sz w:val="20"/>
          <w:szCs w:val="20"/>
          <w:color w:val="auto"/>
        </w:rPr>
      </w:pPr>
    </w:p>
    <w:p>
      <w:pPr>
        <w:ind w:right="60" w:firstLine="647"/>
        <w:spacing w:after="0" w:line="238" w:lineRule="auto"/>
        <w:rPr>
          <w:sz w:val="20"/>
          <w:szCs w:val="20"/>
          <w:color w:val="auto"/>
        </w:rPr>
      </w:pPr>
      <w:r>
        <w:rPr>
          <w:rFonts w:ascii="Arial" w:cs="Arial" w:eastAsia="Arial" w:hAnsi="Arial"/>
          <w:sz w:val="18"/>
          <w:szCs w:val="18"/>
          <w:color w:val="auto"/>
        </w:rPr>
        <w:t>The termination for the “S” Corporation status will be treated as a change in tax status for Accounting Standards Codification 740, “Income Taxes”. These rules require that the deferred tax effects of a change in tax status to be recorded to income from continuing operations on the date the “S” Corporation status terminates. The Company is estimating that the effects of the change in tax status based upon our forecasted temporary differences for the year to be approximately $55 million to $61 million. This range is subject to revision based upon actual results.</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Segment Results</w:t>
      </w:r>
    </w:p>
    <w:p>
      <w:pPr>
        <w:spacing w:after="0" w:line="234" w:lineRule="exact"/>
        <w:rPr>
          <w:sz w:val="20"/>
          <w:szCs w:val="20"/>
          <w:color w:val="auto"/>
        </w:rPr>
      </w:pPr>
    </w:p>
    <w:p>
      <w:pPr>
        <w:ind w:right="880" w:firstLine="647"/>
        <w:spacing w:after="0" w:line="265" w:lineRule="auto"/>
        <w:rPr>
          <w:sz w:val="20"/>
          <w:szCs w:val="20"/>
          <w:color w:val="auto"/>
        </w:rPr>
      </w:pPr>
      <w:r>
        <w:rPr>
          <w:rFonts w:ascii="Arial" w:cs="Arial" w:eastAsia="Arial" w:hAnsi="Arial"/>
          <w:sz w:val="17"/>
          <w:szCs w:val="17"/>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ind w:right="20"/>
        <w:spacing w:after="0" w:line="243"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20—Segments Information” in the notes to the consolidated financial statements in this Form 10-Q for further discussion regarding our segment Adjusted EBITDA attributable to Parsons Corporation.</w:t>
      </w:r>
    </w:p>
    <w:p>
      <w:pPr>
        <w:spacing w:after="0" w:line="202" w:lineRule="exact"/>
        <w:rPr>
          <w:sz w:val="20"/>
          <w:szCs w:val="20"/>
          <w:color w:val="auto"/>
        </w:rPr>
      </w:pPr>
    </w:p>
    <w:p>
      <w:pPr>
        <w:ind w:right="420" w:firstLine="647"/>
        <w:spacing w:after="0" w:line="246"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318"/>
              <w:spacing w:after="0" w:line="156" w:lineRule="exact"/>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ind w:left="140"/>
              <w:spacing w:after="0" w:line="156" w:lineRule="exact"/>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63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6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 Adjusted EBITDA attributable to Parsons Corporation</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20,154</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38,866</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gridSpan w:val="2"/>
          </w:tcPr>
          <w:p>
            <w:pPr>
              <w:ind w:left="580"/>
              <w:spacing w:after="0"/>
              <w:rPr>
                <w:sz w:val="20"/>
                <w:szCs w:val="20"/>
                <w:color w:val="auto"/>
              </w:rPr>
            </w:pPr>
            <w:r>
              <w:rPr>
                <w:rFonts w:ascii="Arial" w:cs="Arial" w:eastAsia="Arial" w:hAnsi="Arial"/>
                <w:sz w:val="18"/>
                <w:szCs w:val="18"/>
                <w:color w:val="auto"/>
              </w:rPr>
              <w:t>Critical Infrastructure Adjusted EBITDA attributable to Parsons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360" w:type="dxa"/>
            <w:vAlign w:val="bottom"/>
          </w:tcPr>
          <w:p>
            <w:pPr>
              <w:ind w:left="160"/>
              <w:spacing w:after="0" w:line="203" w:lineRule="exact"/>
              <w:rPr>
                <w:sz w:val="20"/>
                <w:szCs w:val="20"/>
                <w:color w:val="auto"/>
              </w:rPr>
            </w:pPr>
            <w:r>
              <w:rPr>
                <w:rFonts w:ascii="Arial" w:cs="Arial" w:eastAsia="Arial" w:hAnsi="Arial"/>
                <w:sz w:val="18"/>
                <w:szCs w:val="18"/>
                <w:color w:val="auto"/>
              </w:rPr>
              <w:t>Corporation</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23,656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25,559</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6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3,920</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3,749</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360" w:type="dxa"/>
            <w:vAlign w:val="bottom"/>
          </w:tcPr>
          <w:p>
            <w:pPr>
              <w:ind w:left="240"/>
              <w:spacing w:after="0"/>
              <w:rPr>
                <w:sz w:val="20"/>
                <w:szCs w:val="20"/>
                <w:color w:val="auto"/>
              </w:rPr>
            </w:pPr>
            <w:r>
              <w:rPr>
                <w:rFonts w:ascii="Arial" w:cs="Arial" w:eastAsia="Arial" w:hAnsi="Arial"/>
                <w:sz w:val="18"/>
                <w:szCs w:val="18"/>
                <w:color w:val="auto"/>
              </w:rPr>
              <w:t>Total Adjusted EBITDA</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47,730</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68,174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jc w:val="right"/>
              <w:ind w:right="1034"/>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9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63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Federal Solutions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5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March 30,</w:t>
            </w:r>
          </w:p>
        </w:tc>
        <w:tc>
          <w:tcPr>
            <w:tcW w:w="180" w:type="dxa"/>
            <w:vAlign w:val="bottom"/>
          </w:tcPr>
          <w:p>
            <w:pPr>
              <w:spacing w:after="0"/>
              <w:rPr>
                <w:sz w:val="13"/>
                <w:szCs w:val="13"/>
                <w:color w:val="auto"/>
              </w:rPr>
            </w:pPr>
          </w:p>
        </w:tc>
        <w:tc>
          <w:tcPr>
            <w:tcW w:w="124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50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8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Dollar</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291,335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422,812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131,477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45.1%</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20,154</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38,866</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92.8%</w:t>
            </w:r>
          </w:p>
        </w:tc>
      </w:tr>
    </w:tbl>
    <w:p>
      <w:pPr>
        <w:spacing w:after="0" w:line="229" w:lineRule="exact"/>
        <w:rPr>
          <w:sz w:val="20"/>
          <w:szCs w:val="20"/>
          <w:color w:val="auto"/>
        </w:rPr>
      </w:pPr>
    </w:p>
    <w:p>
      <w:pPr>
        <w:ind w:right="200" w:firstLine="647"/>
        <w:spacing w:after="0" w:line="246" w:lineRule="auto"/>
        <w:rPr>
          <w:sz w:val="20"/>
          <w:szCs w:val="20"/>
          <w:color w:val="auto"/>
        </w:rPr>
      </w:pPr>
      <w:r>
        <w:rPr>
          <w:rFonts w:ascii="Arial" w:cs="Arial" w:eastAsia="Arial" w:hAnsi="Arial"/>
          <w:sz w:val="18"/>
          <w:szCs w:val="18"/>
          <w:color w:val="auto"/>
        </w:rPr>
        <w:t>The increase in Federal Solutions revenue was primarily due to business acquisitions which added $122.4 million. Federal Solutions legacy revenue increased $9.1 million.</w:t>
      </w:r>
    </w:p>
    <w:p>
      <w:pPr>
        <w:spacing w:after="0" w:line="197" w:lineRule="exact"/>
        <w:rPr>
          <w:sz w:val="20"/>
          <w:szCs w:val="20"/>
          <w:color w:val="auto"/>
        </w:rPr>
      </w:pPr>
    </w:p>
    <w:p>
      <w:pPr>
        <w:ind w:right="40" w:firstLine="647"/>
        <w:spacing w:after="0" w:line="246" w:lineRule="auto"/>
        <w:rPr>
          <w:sz w:val="20"/>
          <w:szCs w:val="20"/>
          <w:color w:val="auto"/>
        </w:rPr>
      </w:pPr>
      <w:r>
        <w:rPr>
          <w:rFonts w:ascii="Arial" w:cs="Arial" w:eastAsia="Arial" w:hAnsi="Arial"/>
          <w:sz w:val="18"/>
          <w:szCs w:val="18"/>
          <w:color w:val="auto"/>
        </w:rPr>
        <w:t>The increase in Federal Solutions Adjusted EBITDA attributable to Parsons Corporation was primarily due to business acquisitions and improved profit margins.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Variance</w:t>
            </w: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5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March 30,</w:t>
            </w:r>
          </w:p>
        </w:tc>
        <w:tc>
          <w:tcPr>
            <w:tcW w:w="180" w:type="dxa"/>
            <w:vAlign w:val="bottom"/>
          </w:tcPr>
          <w:p>
            <w:pPr>
              <w:spacing w:after="0"/>
              <w:rPr>
                <w:sz w:val="13"/>
                <w:szCs w:val="13"/>
                <w:color w:val="auto"/>
              </w:rPr>
            </w:pPr>
          </w:p>
        </w:tc>
        <w:tc>
          <w:tcPr>
            <w:tcW w:w="124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50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8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Dollar</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463,344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481,593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23,656</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25,559</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1,903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Critical Infrastructure revenue was primarily related to revenue growth on existing contracts.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Critical Infrastructure Adjusted EBITDA attributable to Parsons Corporation was primarily due to a reduction in IG&amp;A.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right="820" w:firstLine="647"/>
        <w:spacing w:after="0" w:line="275" w:lineRule="auto"/>
        <w:rPr>
          <w:sz w:val="20"/>
          <w:szCs w:val="20"/>
          <w:color w:val="auto"/>
        </w:rPr>
      </w:pPr>
      <w:r>
        <w:rPr>
          <w:rFonts w:ascii="Arial" w:cs="Arial" w:eastAsia="Arial" w:hAnsi="Arial"/>
          <w:sz w:val="17"/>
          <w:szCs w:val="17"/>
          <w:color w:val="auto"/>
        </w:rPr>
        <w:t>Historically, we have financed our operations and capital expenditures and satisfied redemptions of ESOP interests through a combination of internally generated cash from operations, our Senior Notes and from borrowings under our Revolving Credit Facility.</w:t>
      </w:r>
    </w:p>
    <w:p>
      <w:pPr>
        <w:spacing w:after="0" w:line="173" w:lineRule="exact"/>
        <w:rPr>
          <w:sz w:val="20"/>
          <w:szCs w:val="20"/>
          <w:color w:val="auto"/>
        </w:rPr>
      </w:pPr>
    </w:p>
    <w:p>
      <w:pPr>
        <w:ind w:right="40" w:firstLine="647"/>
        <w:spacing w:after="0" w:line="239"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202" w:lineRule="exact"/>
        <w:rPr>
          <w:sz w:val="20"/>
          <w:szCs w:val="20"/>
          <w:color w:val="auto"/>
        </w:rPr>
      </w:pPr>
    </w:p>
    <w:p>
      <w:pPr>
        <w:jc w:val="both"/>
        <w:ind w:right="80" w:firstLine="647"/>
        <w:spacing w:after="0"/>
        <w:rPr>
          <w:sz w:val="20"/>
          <w:szCs w:val="20"/>
          <w:color w:val="auto"/>
        </w:rPr>
      </w:pPr>
      <w:r>
        <w:rPr>
          <w:rFonts w:ascii="Arial" w:cs="Arial" w:eastAsia="Arial" w:hAnsi="Arial"/>
          <w:sz w:val="18"/>
          <w:szCs w:val="18"/>
          <w:color w:val="auto"/>
        </w:rPr>
        <w:t>We believe we have adequate liquidity and capital resources to fund our operations, support our debt service and support our ongoing acquisition strategy for the next twelve months based on the liquidity from cash provided by our operating activities, cash and cash equivalents on hand and our borrowing capacity under our Revolving Credit Facility.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26" w:lineRule="exact"/>
        <w:rPr>
          <w:sz w:val="20"/>
          <w:szCs w:val="20"/>
          <w:color w:val="auto"/>
        </w:rPr>
      </w:pPr>
    </w:p>
    <w:p>
      <w:pPr>
        <w:ind w:right="20" w:firstLine="647"/>
        <w:spacing w:after="0" w:line="237" w:lineRule="auto"/>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contracts.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203" w:lineRule="exact"/>
        <w:rPr>
          <w:sz w:val="20"/>
          <w:szCs w:val="20"/>
          <w:color w:val="auto"/>
        </w:rPr>
      </w:pPr>
    </w:p>
    <w:p>
      <w:pPr>
        <w:ind w:right="160" w:firstLine="647"/>
        <w:spacing w:after="0" w:line="239"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Accounts receivable reflects amounts billed to our clients as of each balance sheet date and receivable amounts that are currently due but unbilled. The total amount of our accounts receivable can vary significantly over time, but is generally sensitive to revenue levels. Net days sales outstanding, which we refer to as net DSO, is calculated by dividing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9" w:name="page40"/>
    <w:bookmarkEnd w:id="39"/>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(accounts receivable plus contract assets) less (contract liabilities plus accounts payable) by (ii) average revenue per day (calculated by</w:t>
      </w:r>
    </w:p>
    <w:p>
      <w:pPr>
        <w:ind w:right="160"/>
        <w:spacing w:after="0"/>
        <w:rPr>
          <w:rFonts w:ascii="Arial" w:cs="Arial" w:eastAsia="Arial" w:hAnsi="Arial"/>
          <w:sz w:val="18"/>
          <w:szCs w:val="18"/>
          <w:color w:val="auto"/>
        </w:rPr>
      </w:pPr>
      <w:r>
        <w:rPr>
          <w:rFonts w:ascii="Arial" w:cs="Arial" w:eastAsia="Arial" w:hAnsi="Arial"/>
          <w:sz w:val="18"/>
          <w:szCs w:val="18"/>
          <w:color w:val="auto"/>
        </w:rPr>
        <w:t>dividing trailing twelve months revenue by the number of days in that period). In the last few years we have focused on collecting outstanding receivables to reduce Net DSO and working capital. Net DSO was 75 days at March 30, 2018 and 61 days at March 31, 2019. Our working capital (current assets less current liabilities) was $482.6 million at December 31, 2018 and $242.3 million at March 31, 2019.</w:t>
      </w:r>
    </w:p>
    <w:p>
      <w:pPr>
        <w:spacing w:after="0" w:line="203" w:lineRule="exact"/>
        <w:rPr>
          <w:sz w:val="20"/>
          <w:szCs w:val="20"/>
          <w:color w:val="auto"/>
        </w:rPr>
      </w:pPr>
    </w:p>
    <w:p>
      <w:pPr>
        <w:ind w:right="60" w:firstLine="647"/>
        <w:spacing w:after="0" w:line="246" w:lineRule="auto"/>
        <w:rPr>
          <w:sz w:val="20"/>
          <w:szCs w:val="20"/>
          <w:color w:val="auto"/>
        </w:rPr>
      </w:pPr>
      <w:r>
        <w:rPr>
          <w:rFonts w:ascii="Arial" w:cs="Arial" w:eastAsia="Arial" w:hAnsi="Arial"/>
          <w:sz w:val="18"/>
          <w:szCs w:val="18"/>
          <w:color w:val="auto"/>
        </w:rPr>
        <w:t>Our cash, cash equivalents and restricted cash decreased by $150.7 million to $130.5 million at March 31, 2019 from $281.2 million at March 30, 2018.</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jc w:val="right"/>
              <w:ind w:right="7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169"/>
        </w:trPr>
        <w:tc>
          <w:tcPr>
            <w:tcW w:w="5240" w:type="dxa"/>
            <w:vAlign w:val="bottom"/>
            <w:tcBorders>
              <w:bottom w:val="single" w:sz="8" w:color="CFF0FC"/>
            </w:tcBorders>
          </w:tcPr>
          <w:p>
            <w:pPr>
              <w:spacing w:after="0"/>
              <w:rPr>
                <w:sz w:val="14"/>
                <w:szCs w:val="14"/>
                <w:color w:val="auto"/>
              </w:rPr>
            </w:pPr>
          </w:p>
        </w:tc>
        <w:tc>
          <w:tcPr>
            <w:tcW w:w="18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March 30, 2018</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FF0FC"/>
            </w:tcBorders>
          </w:tcPr>
          <w:p>
            <w:pPr>
              <w:spacing w:after="0"/>
              <w:rPr>
                <w:sz w:val="14"/>
                <w:szCs w:val="14"/>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(65,433)</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(60,108)</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(8,181)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(301,059)</w:t>
            </w: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210,623</w:t>
            </w:r>
          </w:p>
        </w:tc>
        <w:tc>
          <w:tcPr>
            <w:tcW w:w="12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r>
      <w:tr>
        <w:trPr>
          <w:trHeight w:val="20"/>
        </w:trPr>
        <w:tc>
          <w:tcPr>
            <w:tcW w:w="524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1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(68,308)</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(150,726)</w:t>
            </w: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22" w:lineRule="exact"/>
        <w:rPr>
          <w:sz w:val="20"/>
          <w:szCs w:val="20"/>
          <w:color w:val="auto"/>
        </w:rPr>
      </w:pPr>
    </w:p>
    <w:p>
      <w:pPr>
        <w:ind w:firstLine="647"/>
        <w:spacing w:after="0" w:line="237" w:lineRule="auto"/>
        <w:rPr>
          <w:sz w:val="20"/>
          <w:szCs w:val="20"/>
          <w:color w:val="auto"/>
        </w:rPr>
      </w:pPr>
      <w:r>
        <w:rPr>
          <w:rFonts w:ascii="Arial" w:cs="Arial" w:eastAsia="Arial" w:hAnsi="Arial"/>
          <w:sz w:val="18"/>
          <w:szCs w:val="18"/>
          <w:color w:val="auto"/>
        </w:rPr>
        <w:t>Net cash provided by (used in) operating activities consist primarily of net income (loss) adjusted for noncash items, such as: equity in earnings (loss) of unconsolidated joint ventures, contributions of treasury stock, depreciation and amortization of property and equipment and intangible assets, provisions for doubtful accounts, amortization of deferred gains, and impairment charges.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205" w:lineRule="exact"/>
        <w:rPr>
          <w:sz w:val="20"/>
          <w:szCs w:val="20"/>
          <w:color w:val="auto"/>
        </w:rPr>
      </w:pPr>
    </w:p>
    <w:p>
      <w:pPr>
        <w:ind w:right="120" w:firstLine="647"/>
        <w:spacing w:after="0" w:line="237" w:lineRule="auto"/>
        <w:rPr>
          <w:sz w:val="20"/>
          <w:szCs w:val="20"/>
          <w:color w:val="auto"/>
        </w:rPr>
      </w:pPr>
      <w:r>
        <w:rPr>
          <w:rFonts w:ascii="Arial" w:cs="Arial" w:eastAsia="Arial" w:hAnsi="Arial"/>
          <w:sz w:val="18"/>
          <w:szCs w:val="18"/>
          <w:color w:val="auto"/>
        </w:rPr>
        <w:t>Net cash used in operating activities decreased $5.3 million to $ 60.1 million for the three months ended March 31, 2019 compared to $65.4 million for the three months ended March 30, 2018. The decrease in net cash used in operating activities is primarily due to a $23.6 million improvement in cash flows from our working capital accounts and a $4.6 million increase in net income after adjusting for non-cash items. These positive changes in operating cash flows were offset, in part, by a $22.9 million change in the use of cash related to other long-term liabilities, primarily related to our insurance reserves. Net DSOs improved from 75 days to 61 days primarily driven by the increase in the Company’s revenue from business acquisitions.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investing activities consists primarily of cash flows associated with capital expenditures and business acquisitions.</w:t>
      </w:r>
    </w:p>
    <w:p>
      <w:pPr>
        <w:spacing w:after="0" w:line="212" w:lineRule="exact"/>
        <w:rPr>
          <w:sz w:val="20"/>
          <w:szCs w:val="20"/>
          <w:color w:val="auto"/>
        </w:rPr>
      </w:pPr>
    </w:p>
    <w:p>
      <w:pPr>
        <w:ind w:right="480" w:firstLine="647"/>
        <w:spacing w:after="0"/>
        <w:rPr>
          <w:sz w:val="20"/>
          <w:szCs w:val="20"/>
          <w:color w:val="auto"/>
        </w:rPr>
      </w:pPr>
      <w:r>
        <w:rPr>
          <w:rFonts w:ascii="Arial" w:cs="Arial" w:eastAsia="Arial" w:hAnsi="Arial"/>
          <w:sz w:val="18"/>
          <w:szCs w:val="18"/>
          <w:color w:val="auto"/>
        </w:rPr>
        <w:t>Net cash used in investing activities increased $ 292.9 million to $301.1 million for the three months ended March 31, 2019, when compared to $8.2 for the three months ended March 30, 2018, primarily due to the use of $287.5 million, net of cash acquired, for the acquisition of OGSystems. The Company had no business acquisition activity during the quarter ended March 30, 2018.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22" w:lineRule="exact"/>
        <w:rPr>
          <w:sz w:val="20"/>
          <w:szCs w:val="20"/>
          <w:color w:val="auto"/>
        </w:rPr>
      </w:pPr>
    </w:p>
    <w:p>
      <w:pPr>
        <w:ind w:right="100" w:firstLine="647"/>
        <w:spacing w:after="0" w:line="238" w:lineRule="auto"/>
        <w:rPr>
          <w:sz w:val="20"/>
          <w:szCs w:val="20"/>
          <w:color w:val="auto"/>
        </w:rPr>
      </w:pPr>
      <w:r>
        <w:rPr>
          <w:rFonts w:ascii="Arial" w:cs="Arial" w:eastAsia="Arial" w:hAnsi="Arial"/>
          <w:sz w:val="18"/>
          <w:szCs w:val="18"/>
          <w:color w:val="auto"/>
        </w:rPr>
        <w:t>Net cash provided by financing activities is primarily associated with proceeds from debt, the repayment thereof, distributions to noncontrolling interests and payments to the ESOP in connection with the redemption of ESOP participants’ interests. We spent $0.4 million and $0.8 million for the three months ended March 30, 2018 and March 31, 2019 respectively, in connection with the redemption of ESOP participants’ interests. With a public market for the Company’s common stock, cash will no longer be required for ESOP redemptions following the 180-day lock-up period which ends November 4, 2019.</w:t>
      </w:r>
    </w:p>
    <w:p>
      <w:pPr>
        <w:spacing w:after="0" w:line="203" w:lineRule="exact"/>
        <w:rPr>
          <w:sz w:val="20"/>
          <w:szCs w:val="20"/>
          <w:color w:val="auto"/>
        </w:rPr>
      </w:pPr>
    </w:p>
    <w:p>
      <w:pPr>
        <w:ind w:right="180" w:firstLine="647"/>
        <w:spacing w:after="0" w:line="246" w:lineRule="auto"/>
        <w:rPr>
          <w:sz w:val="20"/>
          <w:szCs w:val="20"/>
          <w:color w:val="auto"/>
        </w:rPr>
      </w:pPr>
      <w:r>
        <w:rPr>
          <w:rFonts w:ascii="Arial" w:cs="Arial" w:eastAsia="Arial" w:hAnsi="Arial"/>
          <w:sz w:val="18"/>
          <w:szCs w:val="18"/>
          <w:color w:val="auto"/>
        </w:rPr>
        <w:t>Net cash provided by financing activities increased $204.5 million to $210.6 million for the three months ended March 31, 2019 when compared to $6.1 million for the three months ended March 30, 2018, primarily due to an increase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6" w:right="279" w:bottom="1440" w:gutter="0" w:footer="0" w:header="0"/>
        </w:sectPr>
      </w:pPr>
    </w:p>
    <w:bookmarkStart w:id="40" w:name="page41"/>
    <w:bookmarkEnd w:id="40"/>
    <w:p>
      <w:pPr>
        <w:ind w:right="100"/>
        <w:spacing w:after="0"/>
        <w:rPr>
          <w:sz w:val="20"/>
          <w:szCs w:val="20"/>
          <w:color w:val="auto"/>
        </w:rPr>
      </w:pPr>
      <w:r>
        <w:rPr>
          <w:rFonts w:ascii="Arial" w:cs="Arial" w:eastAsia="Arial" w:hAnsi="Arial"/>
          <w:sz w:val="18"/>
          <w:szCs w:val="18"/>
          <w:color w:val="auto"/>
        </w:rPr>
        <w:t>in borrowings under our Credit Agreement of $230.0 million, net of $60.0 million of repayments used primarily to pay for the Company’s business acquisitions. These cash flows provided by financing activities were offset, in part, by an increase of $24.8 million of distributions, net to noncontrolling interests.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26" w:lineRule="exact"/>
        <w:rPr>
          <w:sz w:val="20"/>
          <w:szCs w:val="20"/>
          <w:color w:val="auto"/>
        </w:rPr>
      </w:pPr>
    </w:p>
    <w:p>
      <w:pPr>
        <w:ind w:right="300" w:firstLine="647"/>
        <w:spacing w:after="0"/>
        <w:rPr>
          <w:sz w:val="20"/>
          <w:szCs w:val="20"/>
          <w:color w:val="auto"/>
        </w:rPr>
      </w:pPr>
      <w:r>
        <w:rPr>
          <w:rFonts w:ascii="Arial" w:cs="Arial" w:eastAsia="Arial" w:hAnsi="Arial"/>
          <w:sz w:val="18"/>
          <w:szCs w:val="18"/>
          <w:color w:val="auto"/>
        </w:rPr>
        <w:t>We also have in place several secondary bank credit lines for issuing letters of credit, principally for foreign contracts, to support performance and completion guarantees. Letters of credit commitments outstanding under these bank lines aggregated $227.7 million as of March 31, 2019, including $48.8 million of letters of credit outstanding under the Credit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ind w:firstLine="647"/>
        <w:spacing w:after="0" w:line="246" w:lineRule="auto"/>
        <w:rPr>
          <w:sz w:val="20"/>
          <w:szCs w:val="20"/>
          <w:color w:val="auto"/>
        </w:rPr>
      </w:pPr>
      <w:r>
        <w:rPr>
          <w:rFonts w:ascii="Arial" w:cs="Arial" w:eastAsia="Arial" w:hAnsi="Arial"/>
          <w:sz w:val="18"/>
          <w:szCs w:val="18"/>
          <w:color w:val="auto"/>
        </w:rPr>
        <w:t>See the information set forth in “Note 3—Summary of Significant Accounting Policies—Recently Adopted Accounting Pronouncements” in the notes to our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26" w:lineRule="exact"/>
        <w:rPr>
          <w:sz w:val="20"/>
          <w:szCs w:val="20"/>
          <w:color w:val="auto"/>
        </w:rPr>
      </w:pPr>
    </w:p>
    <w:p>
      <w:pPr>
        <w:ind w:right="60" w:firstLine="647"/>
        <w:spacing w:after="0"/>
        <w:rPr>
          <w:sz w:val="20"/>
          <w:szCs w:val="20"/>
          <w:color w:val="auto"/>
        </w:rPr>
      </w:pPr>
      <w:r>
        <w:rPr>
          <w:rFonts w:ascii="Arial" w:cs="Arial" w:eastAsia="Arial" w:hAnsi="Arial"/>
          <w:sz w:val="18"/>
          <w:szCs w:val="18"/>
          <w:color w:val="auto"/>
        </w:rPr>
        <w:t>As of March 31, 2019,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right="40" w:firstLine="647"/>
        <w:spacing w:after="0" w:line="236" w:lineRule="auto"/>
        <w:rPr>
          <w:sz w:val="20"/>
          <w:szCs w:val="20"/>
          <w:color w:val="auto"/>
        </w:rPr>
      </w:pPr>
      <w:r>
        <w:rPr>
          <w:rFonts w:ascii="Arial" w:cs="Arial" w:eastAsia="Arial" w:hAnsi="Arial"/>
          <w:sz w:val="18"/>
          <w:szCs w:val="18"/>
          <w:color w:val="auto"/>
        </w:rPr>
        <w:t>We are exposed to interest rate risks related to both the Revolving Credit Facility and our Term Loan Agreement. Borrowings under the Revolving Credit Facility bear interest, at our option, at either (i) the Base Rate (as defined in the Revolving Credit Facility) plus an applicable margin or (ii) LIBOR plus an applicable margin. As of December 31, 2018, we had outstanding borrowings under the Revolving Credit Facility of $180.0 million. Based on the $180.0 million outstanding under the Credit Agreement, an increase or decrease of 100 basis points in the Base Rate and/or LIBOR rates would result in an increase or decrease in annual interest expense of approximately $1.8 million. Borrowing under our Term Loan is comprised of Offshore Rate Loans and Base Rate Loans (each as defined in the Term Loan Agreement), with an initial aggregate principal amount of $150.0 million. The Offshore Rate Loans bear interest at a rate per annum of LIBOR, divided by 1.00 minus the Eurodollar Reserve Percentage, plus 1.25%. The Base Rate Loans bear interest at a rate per annum of the sum of (a) the highest of (1) the administrative agent’s reference rate; (2) the rate equal to 1.50% per annum above the Offshore Rate; and (3) the rate equal to 0.50% per annum above the latest federal funds rate, plus (b) 0.25%. Based on the $150.0 million outstanding principal balance under the Term Loan, an increase or decrease of 100 basis points in the Term Loan’s applicable interest rate would result in an increase or decrease in annual interest expense of approximately $1.5 million. The Term Loan has a maturity date of January 3, 2020 and we used the proceeds from the May 8, 2019 initial public offering to pay off the full outstanding balance under the Term Loan.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6" w:lineRule="exact"/>
        <w:rPr>
          <w:sz w:val="20"/>
          <w:szCs w:val="20"/>
          <w:color w:val="auto"/>
        </w:rPr>
      </w:pPr>
    </w:p>
    <w:p>
      <w:pPr>
        <w:ind w:right="220" w:firstLine="647"/>
        <w:spacing w:after="0" w:line="239"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26" w:lineRule="exact"/>
        <w:rPr>
          <w:sz w:val="20"/>
          <w:szCs w:val="20"/>
          <w:color w:val="auto"/>
        </w:rPr>
      </w:pPr>
    </w:p>
    <w:p>
      <w:pPr>
        <w:ind w:right="20" w:firstLine="647"/>
        <w:spacing w:after="0" w:line="237" w:lineRule="auto"/>
        <w:rPr>
          <w:sz w:val="20"/>
          <w:szCs w:val="20"/>
          <w:color w:val="auto"/>
        </w:rPr>
      </w:pPr>
      <w:r>
        <w:rPr>
          <w:rFonts w:ascii="Arial" w:cs="Arial" w:eastAsia="Arial" w:hAnsi="Arial"/>
          <w:sz w:val="18"/>
          <w:szCs w:val="18"/>
          <w:color w:val="auto"/>
        </w:rPr>
        <w:t>Our management carried out, as of March 31, 2019 ,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March 31, 2019 ,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41" w:name="page42"/>
    <w:bookmarkEnd w:id="41"/>
    <w:p>
      <w:pPr>
        <w:ind w:right="440"/>
        <w:spacing w:after="0" w:line="246" w:lineRule="auto"/>
        <w:rPr>
          <w:sz w:val="20"/>
          <w:szCs w:val="20"/>
          <w:color w:val="auto"/>
        </w:rPr>
      </w:pPr>
      <w:r>
        <w:rPr>
          <w:rFonts w:ascii="Arial" w:cs="Arial" w:eastAsia="Arial" w:hAnsi="Arial"/>
          <w:sz w:val="18"/>
          <w:szCs w:val="18"/>
          <w:color w:val="auto"/>
        </w:rPr>
        <w:t>under the Exchange Act is accumulated and communicated to our management, including our Chief Executive Officer and Chief Financial Officer, as appropriate to allow timely decisions regarding required disclosure.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ind w:firstLine="647"/>
        <w:spacing w:after="0"/>
        <w:rPr>
          <w:sz w:val="20"/>
          <w:szCs w:val="20"/>
          <w:color w:val="auto"/>
        </w:rPr>
      </w:pPr>
      <w:r>
        <w:rPr>
          <w:rFonts w:ascii="Arial" w:cs="Arial" w:eastAsia="Arial" w:hAnsi="Arial"/>
          <w:sz w:val="18"/>
          <w:szCs w:val="18"/>
          <w:color w:val="auto"/>
        </w:rPr>
        <w:t>On January 1, 2019 the Company adopted ASU 2016-02, “Leases”. In connection with the adoption, the Company implemented certain changes to our processes, systems, and controls. There were no other changes to our internal control over financial reporting that have materially affected, or are reasonably likely to materially affect, our internal control over financial reporting.</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right="580" w:firstLine="647"/>
        <w:spacing w:after="0"/>
        <w:rPr>
          <w:sz w:val="20"/>
          <w:szCs w:val="20"/>
          <w:color w:val="auto"/>
        </w:rPr>
      </w:pPr>
      <w:r>
        <w:rPr>
          <w:rFonts w:ascii="Arial" w:cs="Arial" w:eastAsia="Arial" w:hAnsi="Arial"/>
          <w:sz w:val="18"/>
          <w:szCs w:val="18"/>
          <w:color w:val="auto"/>
        </w:rPr>
        <w:t>The information required by this Item 1 is included in “Note 14 – Commitments and Contingencies” included in the Notes to Consolidated Financial Statements appearing under Part I, Item 1 of this Quarterly Report on Form 10-Q which is incorporated herein by reference.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from our Risk Factors disclosed in the Company’s Form S-1/A filed on April 29, 2019.</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38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Information.</w:t>
            </w:r>
          </w:p>
        </w:tc>
        <w:tc>
          <w:tcPr>
            <w:tcW w:w="7440" w:type="dxa"/>
            <w:vAlign w:val="bottom"/>
          </w:tcPr>
          <w:p>
            <w:pPr>
              <w:spacing w:after="0"/>
              <w:rPr>
                <w:sz w:val="20"/>
                <w:szCs w:val="20"/>
                <w:color w:val="auto"/>
              </w:rPr>
            </w:pPr>
          </w:p>
        </w:tc>
      </w:tr>
      <w:tr>
        <w:trPr>
          <w:trHeight w:val="311"/>
        </w:trPr>
        <w:tc>
          <w:tcPr>
            <w:tcW w:w="600" w:type="dxa"/>
            <w:vAlign w:val="bottom"/>
          </w:tcPr>
          <w:p>
            <w:pPr>
              <w:spacing w:after="0"/>
              <w:rPr>
                <w:sz w:val="24"/>
                <w:szCs w:val="24"/>
                <w:color w:val="auto"/>
              </w:rPr>
            </w:pPr>
          </w:p>
        </w:tc>
        <w:tc>
          <w:tcPr>
            <w:tcW w:w="3380" w:type="dxa"/>
            <w:vAlign w:val="bottom"/>
            <w:gridSpan w:val="3"/>
          </w:tcPr>
          <w:p>
            <w:pPr>
              <w:ind w:left="60"/>
              <w:spacing w:after="0"/>
              <w:rPr>
                <w:sz w:val="20"/>
                <w:szCs w:val="20"/>
                <w:color w:val="auto"/>
              </w:rPr>
            </w:pPr>
            <w:r>
              <w:rPr>
                <w:rFonts w:ascii="Arial" w:cs="Arial" w:eastAsia="Arial" w:hAnsi="Arial"/>
                <w:sz w:val="18"/>
                <w:szCs w:val="18"/>
                <w:color w:val="auto"/>
              </w:rPr>
              <w:t>None</w:t>
            </w:r>
          </w:p>
        </w:tc>
        <w:tc>
          <w:tcPr>
            <w:tcW w:w="7440" w:type="dxa"/>
            <w:vAlign w:val="bottom"/>
          </w:tcPr>
          <w:p>
            <w:pPr>
              <w:spacing w:after="0"/>
              <w:rPr>
                <w:sz w:val="24"/>
                <w:szCs w:val="24"/>
                <w:color w:val="auto"/>
              </w:rPr>
            </w:pPr>
          </w:p>
        </w:tc>
      </w:tr>
      <w:tr>
        <w:trPr>
          <w:trHeight w:val="527"/>
        </w:trPr>
        <w:tc>
          <w:tcPr>
            <w:tcW w:w="6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38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Exhibits.</w:t>
            </w:r>
          </w:p>
        </w:tc>
        <w:tc>
          <w:tcPr>
            <w:tcW w:w="7440" w:type="dxa"/>
            <w:vAlign w:val="bottom"/>
          </w:tcPr>
          <w:p>
            <w:pPr>
              <w:spacing w:after="0"/>
              <w:rPr>
                <w:sz w:val="24"/>
                <w:szCs w:val="24"/>
                <w:color w:val="auto"/>
              </w:rPr>
            </w:pPr>
          </w:p>
        </w:tc>
      </w:tr>
      <w:tr>
        <w:trPr>
          <w:trHeight w:val="378"/>
        </w:trPr>
        <w:tc>
          <w:tcPr>
            <w:tcW w:w="3980" w:type="dxa"/>
            <w:vAlign w:val="bottom"/>
            <w:gridSpan w:val="4"/>
          </w:tcPr>
          <w:p>
            <w:pPr>
              <w:jc w:val="center"/>
              <w:ind w:right="3140"/>
              <w:spacing w:after="0"/>
              <w:rPr>
                <w:sz w:val="20"/>
                <w:szCs w:val="20"/>
                <w:color w:val="auto"/>
              </w:rPr>
            </w:pPr>
            <w:r>
              <w:rPr>
                <w:rFonts w:ascii="Arial" w:cs="Arial" w:eastAsia="Arial" w:hAnsi="Arial"/>
                <w:sz w:val="14"/>
                <w:szCs w:val="14"/>
                <w:b w:val="1"/>
                <w:bCs w:val="1"/>
                <w:color w:val="auto"/>
              </w:rPr>
              <w:t>Exhibit</w:t>
            </w:r>
          </w:p>
        </w:tc>
        <w:tc>
          <w:tcPr>
            <w:tcW w:w="7440" w:type="dxa"/>
            <w:vAlign w:val="bottom"/>
          </w:tcPr>
          <w:p>
            <w:pPr>
              <w:spacing w:after="0"/>
              <w:rPr>
                <w:sz w:val="24"/>
                <w:szCs w:val="24"/>
                <w:color w:val="auto"/>
              </w:rPr>
            </w:pPr>
          </w:p>
        </w:tc>
      </w:tr>
      <w:tr>
        <w:trPr>
          <w:trHeight w:val="175"/>
        </w:trPr>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744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Description</w:t>
            </w: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gridSpan w:val="8"/>
          </w:tcPr>
          <w:p>
            <w:pPr>
              <w:spacing w:after="0"/>
              <w:rPr>
                <w:sz w:val="20"/>
                <w:szCs w:val="20"/>
                <w:color w:val="auto"/>
              </w:rPr>
            </w:pPr>
            <w:r>
              <w:rPr>
                <w:rFonts w:ascii="Arial" w:cs="Arial" w:eastAsia="Arial" w:hAnsi="Arial"/>
                <w:sz w:val="18"/>
                <w:szCs w:val="18"/>
                <w:color w:val="0000EE"/>
              </w:rPr>
              <w:t>Certification of Principal Executive Officer Pursuant to Rules 13a-14(a) and 15d-14(a) under the Securities Exchange Act of 1934,</w:t>
            </w:r>
          </w:p>
        </w:tc>
      </w:tr>
      <w:tr>
        <w:trPr>
          <w:trHeight w:val="183"/>
        </w:trPr>
        <w:tc>
          <w:tcPr>
            <w:tcW w:w="920" w:type="dxa"/>
            <w:vAlign w:val="bottom"/>
          </w:tcPr>
          <w:p>
            <w:pPr>
              <w:spacing w:after="0"/>
              <w:rPr>
                <w:sz w:val="15"/>
                <w:szCs w:val="15"/>
                <w:color w:val="auto"/>
              </w:rPr>
            </w:pPr>
          </w:p>
        </w:tc>
        <w:tc>
          <w:tcPr>
            <w:tcW w:w="574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as Adopted Pursuant to Section 302 of the Sarbanes-Oxley Act of 2002.</w:t>
            </w:r>
          </w:p>
        </w:tc>
        <w:tc>
          <w:tcPr>
            <w:tcW w:w="4560" w:type="dxa"/>
            <w:vAlign w:val="bottom"/>
            <w:tcBorders>
              <w:top w:val="single" w:sz="8" w:color="0000EE"/>
            </w:tcBorders>
            <w:gridSpan w:val="3"/>
          </w:tcPr>
          <w:p>
            <w:pPr>
              <w:spacing w:after="0"/>
              <w:rPr>
                <w:sz w:val="15"/>
                <w:szCs w:val="15"/>
                <w:color w:val="auto"/>
              </w:rPr>
            </w:pPr>
          </w:p>
        </w:tc>
        <w:tc>
          <w:tcPr>
            <w:tcW w:w="180" w:type="dxa"/>
            <w:vAlign w:val="bottom"/>
          </w:tcPr>
          <w:p>
            <w:pPr>
              <w:spacing w:after="0"/>
              <w:rPr>
                <w:sz w:val="15"/>
                <w:szCs w:val="15"/>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Certification of Principal Financial Officer Pursuant to Rules 13a-14(a) and 15d-14(a) under the Securities Exchange Act of 1934, as</w:t>
            </w:r>
          </w:p>
        </w:tc>
      </w:tr>
      <w:tr>
        <w:trPr>
          <w:trHeight w:val="183"/>
        </w:trPr>
        <w:tc>
          <w:tcPr>
            <w:tcW w:w="920" w:type="dxa"/>
            <w:vAlign w:val="bottom"/>
          </w:tcPr>
          <w:p>
            <w:pPr>
              <w:spacing w:after="0"/>
              <w:rPr>
                <w:sz w:val="15"/>
                <w:szCs w:val="15"/>
                <w:color w:val="auto"/>
              </w:rPr>
            </w:pPr>
          </w:p>
        </w:tc>
        <w:tc>
          <w:tcPr>
            <w:tcW w:w="550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Adopted Pursuant to Section 302 of the Sarbanes-Oxley Act of 2002.</w:t>
            </w:r>
          </w:p>
        </w:tc>
        <w:tc>
          <w:tcPr>
            <w:tcW w:w="4980" w:type="dxa"/>
            <w:vAlign w:val="bottom"/>
            <w:gridSpan w:val="5"/>
          </w:tcPr>
          <w:p>
            <w:pPr>
              <w:spacing w:after="0"/>
              <w:rPr>
                <w:sz w:val="15"/>
                <w:szCs w:val="15"/>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gridSpan w:val="8"/>
          </w:tcPr>
          <w:p>
            <w:pPr>
              <w:spacing w:after="0"/>
              <w:rPr>
                <w:sz w:val="20"/>
                <w:szCs w:val="20"/>
                <w:color w:val="auto"/>
              </w:rPr>
            </w:pPr>
            <w:r>
              <w:rPr>
                <w:rFonts w:ascii="Arial" w:cs="Arial" w:eastAsia="Arial" w:hAnsi="Arial"/>
                <w:sz w:val="18"/>
                <w:szCs w:val="18"/>
                <w:color w:val="0000EE"/>
              </w:rPr>
              <w:t>Certification of Principal Executive Officer Pursuant to 18 U.S.C. Section 1350, as Adopted Pursuant to Section 906 of the</w:t>
            </w:r>
          </w:p>
        </w:tc>
      </w:tr>
      <w:tr>
        <w:trPr>
          <w:trHeight w:val="183"/>
        </w:trPr>
        <w:tc>
          <w:tcPr>
            <w:tcW w:w="920" w:type="dxa"/>
            <w:vAlign w:val="bottom"/>
          </w:tcPr>
          <w:p>
            <w:pPr>
              <w:spacing w:after="0"/>
              <w:rPr>
                <w:sz w:val="15"/>
                <w:szCs w:val="15"/>
                <w:color w:val="auto"/>
              </w:rPr>
            </w:pPr>
          </w:p>
        </w:tc>
        <w:tc>
          <w:tcPr>
            <w:tcW w:w="232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Sarbanes-Oxley Act of 2002.</w:t>
            </w:r>
          </w:p>
        </w:tc>
        <w:tc>
          <w:tcPr>
            <w:tcW w:w="7360" w:type="dxa"/>
            <w:vAlign w:val="bottom"/>
            <w:tcBorders>
              <w:top w:val="single" w:sz="8" w:color="0000EE"/>
            </w:tcBorders>
            <w:gridSpan w:val="4"/>
          </w:tcPr>
          <w:p>
            <w:pPr>
              <w:spacing w:after="0"/>
              <w:rPr>
                <w:sz w:val="15"/>
                <w:szCs w:val="15"/>
                <w:color w:val="auto"/>
              </w:rPr>
            </w:pPr>
          </w:p>
        </w:tc>
        <w:tc>
          <w:tcPr>
            <w:tcW w:w="800" w:type="dxa"/>
            <w:vAlign w:val="bottom"/>
            <w:gridSpan w:val="2"/>
          </w:tcPr>
          <w:p>
            <w:pPr>
              <w:spacing w:after="0"/>
              <w:rPr>
                <w:sz w:val="15"/>
                <w:szCs w:val="15"/>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480" w:type="dxa"/>
            <w:vAlign w:val="bottom"/>
            <w:gridSpan w:val="8"/>
          </w:tcPr>
          <w:p>
            <w:pPr>
              <w:spacing w:after="0"/>
              <w:rPr>
                <w:sz w:val="20"/>
                <w:szCs w:val="20"/>
                <w:color w:val="auto"/>
              </w:rPr>
            </w:pPr>
            <w:r>
              <w:rPr>
                <w:rFonts w:ascii="Arial" w:cs="Arial" w:eastAsia="Arial" w:hAnsi="Arial"/>
                <w:sz w:val="18"/>
                <w:szCs w:val="18"/>
                <w:color w:val="0000EE"/>
              </w:rPr>
              <w:t>Certification of Principal Financial Officer Pursuant to 18 U.S.C. Section 1350, as Adopted Pursuant to Section 906 of the</w:t>
            </w:r>
          </w:p>
        </w:tc>
      </w:tr>
      <w:tr>
        <w:trPr>
          <w:trHeight w:val="183"/>
        </w:trPr>
        <w:tc>
          <w:tcPr>
            <w:tcW w:w="920" w:type="dxa"/>
            <w:vAlign w:val="bottom"/>
          </w:tcPr>
          <w:p>
            <w:pPr>
              <w:spacing w:after="0"/>
              <w:rPr>
                <w:sz w:val="15"/>
                <w:szCs w:val="15"/>
                <w:color w:val="auto"/>
              </w:rPr>
            </w:pPr>
          </w:p>
        </w:tc>
        <w:tc>
          <w:tcPr>
            <w:tcW w:w="962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Sarbanes-Oxley Act of 2002.</w:t>
            </w:r>
          </w:p>
        </w:tc>
        <w:tc>
          <w:tcPr>
            <w:tcW w:w="860" w:type="dxa"/>
            <w:vAlign w:val="bottom"/>
            <w:gridSpan w:val="3"/>
          </w:tcPr>
          <w:p>
            <w:pPr>
              <w:spacing w:after="0"/>
              <w:rPr>
                <w:sz w:val="15"/>
                <w:szCs w:val="15"/>
                <w:color w:val="auto"/>
              </w:rPr>
            </w:pPr>
          </w:p>
        </w:tc>
      </w:tr>
      <w:tr>
        <w:trPr>
          <w:trHeight w:val="345"/>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23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8180" w:type="dxa"/>
            <w:vAlign w:val="bottom"/>
            <w:gridSpan w:val="7"/>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8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8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8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8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8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690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95" w:lineRule="exact"/>
        <w:rPr>
          <w:sz w:val="20"/>
          <w:szCs w:val="20"/>
          <w:color w:val="auto"/>
        </w:rPr>
      </w:pPr>
    </w:p>
    <w:p>
      <w:pPr>
        <w:ind w:left="640" w:hanging="63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3" w:name="page44"/>
    <w:bookmarkEnd w:id="43"/>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647"/>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Company Name</w:t>
      </w:r>
    </w:p>
    <w:p>
      <w:pPr>
        <w:spacing w:after="0" w:line="198" w:lineRule="exact"/>
        <w:rPr>
          <w:sz w:val="20"/>
          <w:szCs w:val="20"/>
          <w:color w:val="auto"/>
        </w:rPr>
      </w:pPr>
    </w:p>
    <w:p>
      <w:pPr>
        <w:spacing w:after="0"/>
        <w:tabs>
          <w:tab w:leader="none" w:pos="5960" w:val="left"/>
          <w:tab w:leader="none" w:pos="8180" w:val="left"/>
        </w:tabs>
        <w:rPr>
          <w:sz w:val="20"/>
          <w:szCs w:val="20"/>
          <w:color w:val="auto"/>
        </w:rPr>
      </w:pPr>
      <w:r>
        <w:rPr>
          <w:rFonts w:ascii="Arial" w:cs="Arial" w:eastAsia="Arial" w:hAnsi="Arial"/>
          <w:sz w:val="18"/>
          <w:szCs w:val="18"/>
          <w:color w:val="auto"/>
        </w:rPr>
        <w:t>Date: June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-1905</wp:posOffset>
            </wp:positionV>
            <wp:extent cx="32156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5" w:lineRule="exact"/>
        <w:rPr>
          <w:sz w:val="20"/>
          <w:szCs w:val="20"/>
          <w:color w:val="auto"/>
        </w:rPr>
      </w:pPr>
    </w:p>
    <w:p>
      <w:pPr>
        <w:jc w:val="center"/>
        <w:ind w:left="6360"/>
        <w:spacing w:after="0"/>
        <w:rPr>
          <w:sz w:val="20"/>
          <w:szCs w:val="20"/>
          <w:color w:val="auto"/>
        </w:rPr>
      </w:pPr>
      <w:r>
        <w:rPr>
          <w:rFonts w:ascii="Arial" w:cs="Arial" w:eastAsia="Arial" w:hAnsi="Arial"/>
          <w:sz w:val="18"/>
          <w:szCs w:val="18"/>
          <w:color w:val="auto"/>
        </w:rPr>
        <w:t>George L. Ball</w:t>
      </w:r>
    </w:p>
    <w:p>
      <w:pPr>
        <w:jc w:val="center"/>
        <w:ind w:left="636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240" w:top="333" w:right="6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Charles L. Harrington, certify that:</w:t>
      </w:r>
    </w:p>
    <w:p>
      <w:pPr>
        <w:spacing w:after="0" w:line="212"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40" w:right="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40" w:right="140" w:hanging="532"/>
        <w:spacing w:after="0" w:line="275"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40" w:right="220" w:hanging="532"/>
        <w:spacing w:after="0" w:line="246"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96" w:lineRule="exact"/>
        <w:rPr>
          <w:rFonts w:ascii="Arial" w:cs="Arial" w:eastAsia="Arial" w:hAnsi="Arial"/>
          <w:sz w:val="18"/>
          <w:szCs w:val="18"/>
          <w:color w:val="auto"/>
        </w:rPr>
      </w:pPr>
    </w:p>
    <w:p>
      <w:pPr>
        <w:jc w:val="both"/>
        <w:ind w:left="1060" w:right="80" w:hanging="525"/>
        <w:spacing w:after="0"/>
        <w:tabs>
          <w:tab w:leader="none" w:pos="10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60" w:right="360" w:hanging="525"/>
        <w:spacing w:after="0"/>
        <w:tabs>
          <w:tab w:leader="none" w:pos="10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60" w:right="160" w:hanging="525"/>
        <w:spacing w:after="0"/>
        <w:tabs>
          <w:tab w:leader="none" w:pos="10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40" w:right="12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60" w:right="40" w:hanging="525"/>
        <w:spacing w:after="0" w:line="246" w:lineRule="auto"/>
        <w:tabs>
          <w:tab w:leader="none" w:pos="10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1060" w:right="260" w:hanging="525"/>
        <w:spacing w:after="0" w:line="246" w:lineRule="auto"/>
        <w:tabs>
          <w:tab w:leader="none" w:pos="10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840" w:val="left"/>
          <w:tab w:leader="none" w:pos="8320" w:val="left"/>
        </w:tabs>
        <w:rPr>
          <w:sz w:val="20"/>
          <w:szCs w:val="20"/>
          <w:color w:val="auto"/>
        </w:rPr>
      </w:pPr>
      <w:r>
        <w:rPr>
          <w:rFonts w:ascii="Arial" w:cs="Arial" w:eastAsia="Arial" w:hAnsi="Arial"/>
          <w:sz w:val="18"/>
          <w:szCs w:val="18"/>
          <w:color w:val="auto"/>
        </w:rPr>
        <w:t>Date: June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Charles L.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-1905</wp:posOffset>
            </wp:positionV>
            <wp:extent cx="2675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Charles L. Harrington</w:t>
      </w:r>
    </w:p>
    <w:p>
      <w:pPr>
        <w:spacing w:after="0" w:line="36"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George L. Ball, certify that:</w:t>
      </w:r>
    </w:p>
    <w:p>
      <w:pPr>
        <w:spacing w:after="0" w:line="212"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40" w:right="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40" w:right="140" w:hanging="532"/>
        <w:spacing w:after="0" w:line="275"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40" w:right="220" w:hanging="532"/>
        <w:spacing w:after="0" w:line="246"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96" w:lineRule="exact"/>
        <w:rPr>
          <w:rFonts w:ascii="Arial" w:cs="Arial" w:eastAsia="Arial" w:hAnsi="Arial"/>
          <w:sz w:val="18"/>
          <w:szCs w:val="18"/>
          <w:color w:val="auto"/>
        </w:rPr>
      </w:pPr>
    </w:p>
    <w:p>
      <w:pPr>
        <w:jc w:val="both"/>
        <w:ind w:left="1060" w:right="80" w:hanging="525"/>
        <w:spacing w:after="0"/>
        <w:tabs>
          <w:tab w:leader="none" w:pos="10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60" w:right="360" w:hanging="525"/>
        <w:spacing w:after="0"/>
        <w:tabs>
          <w:tab w:leader="none" w:pos="10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60" w:right="160" w:hanging="525"/>
        <w:spacing w:after="0"/>
        <w:tabs>
          <w:tab w:leader="none" w:pos="10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40" w:right="12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60" w:right="40" w:hanging="525"/>
        <w:spacing w:after="0" w:line="246" w:lineRule="auto"/>
        <w:tabs>
          <w:tab w:leader="none" w:pos="10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1060" w:right="260" w:hanging="525"/>
        <w:spacing w:after="0" w:line="246" w:lineRule="auto"/>
        <w:tabs>
          <w:tab w:leader="none" w:pos="10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June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-1905</wp:posOffset>
            </wp:positionV>
            <wp:extent cx="2675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George L. Ball</w:t>
      </w:r>
    </w:p>
    <w:p>
      <w:pPr>
        <w:spacing w:after="0" w:line="36"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ind w:left="3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right="80" w:firstLine="534"/>
        <w:spacing w:after="0"/>
        <w:rPr>
          <w:sz w:val="20"/>
          <w:szCs w:val="20"/>
          <w:color w:val="auto"/>
        </w:rPr>
      </w:pPr>
      <w:r>
        <w:rPr>
          <w:rFonts w:ascii="Arial" w:cs="Arial" w:eastAsia="Arial" w:hAnsi="Arial"/>
          <w:sz w:val="18"/>
          <w:szCs w:val="18"/>
          <w:color w:val="auto"/>
        </w:rPr>
        <w:t>In connection with the Quarterly Report of Parsons Corporation (the “Company”) on Form 10-Q for the period ending March 31, 2019 as filed with the Securities and Exchange Commission on the date hereof (the “Report”), I, Charles L. Harrington, Chief Executive Officer of the Company, certify, pursuant to 18 U.S.C. § 1350, as adopted pursuant to § 906 of the Sarbanes-Oxley Act of 2002, that:</w:t>
      </w:r>
    </w:p>
    <w:p>
      <w:pPr>
        <w:spacing w:after="0" w:line="203" w:lineRule="exact"/>
        <w:rPr>
          <w:sz w:val="20"/>
          <w:szCs w:val="20"/>
          <w:color w:val="auto"/>
        </w:rPr>
      </w:pPr>
    </w:p>
    <w:p>
      <w:pPr>
        <w:ind w:left="1060" w:hanging="525"/>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60" w:right="180" w:hanging="525"/>
        <w:spacing w:after="0" w:line="246"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spacing w:after="0"/>
        <w:tabs>
          <w:tab w:leader="none" w:pos="6260" w:val="left"/>
          <w:tab w:leader="none" w:pos="8020" w:val="left"/>
        </w:tabs>
        <w:rPr>
          <w:sz w:val="20"/>
          <w:szCs w:val="20"/>
          <w:color w:val="auto"/>
        </w:rPr>
      </w:pPr>
      <w:r>
        <w:rPr>
          <w:rFonts w:ascii="Arial" w:cs="Arial" w:eastAsia="Arial" w:hAnsi="Arial"/>
          <w:sz w:val="18"/>
          <w:szCs w:val="18"/>
          <w:color w:val="auto"/>
        </w:rPr>
        <w:t>Date: June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Charles L.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-1905</wp:posOffset>
            </wp:positionV>
            <wp:extent cx="30613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5"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Charles L. Harrington</w:t>
      </w:r>
    </w:p>
    <w:p>
      <w:pPr>
        <w:ind w:left="81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60" w:firstLine="534"/>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ind w:left="3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ind w:right="60" w:firstLine="518"/>
        <w:spacing w:after="0"/>
        <w:rPr>
          <w:sz w:val="20"/>
          <w:szCs w:val="20"/>
          <w:color w:val="auto"/>
        </w:rPr>
      </w:pPr>
      <w:r>
        <w:rPr>
          <w:rFonts w:ascii="Arial" w:cs="Arial" w:eastAsia="Arial" w:hAnsi="Arial"/>
          <w:sz w:val="18"/>
          <w:szCs w:val="18"/>
          <w:color w:val="auto"/>
        </w:rPr>
        <w:t>In connection with the Quarterly Report of Parsons Corporation (the “Company”) on Form 10-Q for the period ending March 31, 2019 as filed with the Securities and Exchange Commission on the date hereof (the “Report”), I, George L. Ball, Chief Financial Officer of the Company, certify, pursuant to 18 U.S.C. § 1350, as adopted pursuant to § 906 of the Sarbanes-Oxley Act of 2002, that:</w:t>
      </w:r>
    </w:p>
    <w:p>
      <w:pPr>
        <w:spacing w:after="0" w:line="203"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40" w:right="200" w:hanging="519"/>
        <w:spacing w:after="0" w:line="246"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spacing w:after="0"/>
        <w:tabs>
          <w:tab w:leader="none" w:pos="6260" w:val="left"/>
          <w:tab w:leader="none" w:pos="8300" w:val="left"/>
        </w:tabs>
        <w:rPr>
          <w:sz w:val="20"/>
          <w:szCs w:val="20"/>
          <w:color w:val="auto"/>
        </w:rPr>
      </w:pPr>
      <w:r>
        <w:rPr>
          <w:rFonts w:ascii="Arial" w:cs="Arial" w:eastAsia="Arial" w:hAnsi="Arial"/>
          <w:sz w:val="18"/>
          <w:szCs w:val="18"/>
          <w:color w:val="auto"/>
        </w:rPr>
        <w:t>Date: June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-1905</wp:posOffset>
            </wp:positionV>
            <wp:extent cx="30613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5"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George L. Ball</w:t>
      </w:r>
    </w:p>
    <w:p>
      <w:pPr>
        <w:jc w:val="center"/>
        <w:ind w:left="66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60" w:firstLine="518"/>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3"/>
    </w:lvl>
  </w:abstractNum>
  <w:abstractNum w:abstractNumId="5">
    <w:nsid w:val="6763845E"/>
    <w:multiLevelType w:val="hybridMultilevel"/>
    <w:lvl w:ilvl="0">
      <w:lvlJc w:val="left"/>
      <w:lvlText w:val="%1."/>
      <w:numFmt w:val="decimal"/>
      <w:start w:val="4"/>
    </w:lvl>
  </w:abstractNum>
  <w:abstractNum w:abstractNumId="6">
    <w:nsid w:val="75A2A8D4"/>
    <w:multiLevelType w:val="hybridMultilevel"/>
    <w:lvl w:ilvl="0">
      <w:lvlJc w:val="left"/>
      <w:lvlText w:val="%1."/>
      <w:numFmt w:val="decimal"/>
      <w:start w:val="5"/>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6"/>
    </w:lvl>
  </w:abstractNum>
  <w:abstractNum w:abstractNumId="10">
    <w:nsid w:val="B03E0C6"/>
    <w:multiLevelType w:val="hybridMultilevel"/>
    <w:lvl w:ilvl="0">
      <w:lvlJc w:val="left"/>
      <w:lvlText w:val="%1."/>
      <w:numFmt w:val="decimal"/>
      <w:start w:val="7"/>
    </w:lvl>
  </w:abstractNum>
  <w:abstractNum w:abstractNumId="11">
    <w:nsid w:val="189A769B"/>
    <w:multiLevelType w:val="hybridMultilevel"/>
    <w:lvl w:ilvl="0">
      <w:lvlJc w:val="left"/>
      <w:lvlText w:val="%1."/>
      <w:numFmt w:val="decimal"/>
      <w:start w:val="8"/>
    </w:lvl>
  </w:abstractNum>
  <w:abstractNum w:abstractNumId="12">
    <w:nsid w:val="54E49EB4"/>
    <w:multiLevelType w:val="hybridMultilevel"/>
    <w:lvl w:ilvl="0">
      <w:lvlJc w:val="left"/>
      <w:lvlText w:val="%1."/>
      <w:numFmt w:val="decimal"/>
      <w:start w:val="9"/>
    </w:lvl>
  </w:abstractNum>
  <w:abstractNum w:abstractNumId="13">
    <w:nsid w:val="71F32454"/>
    <w:multiLevelType w:val="hybridMultilevel"/>
    <w:lvl w:ilvl="0">
      <w:lvlJc w:val="left"/>
      <w:lvlText w:val="%1."/>
      <w:numFmt w:val="decimal"/>
      <w:start w:val="10"/>
    </w:lvl>
  </w:abstractNum>
  <w:abstractNum w:abstractNumId="14">
    <w:nsid w:val="2CA88611"/>
    <w:multiLevelType w:val="hybridMultilevel"/>
    <w:lvl w:ilvl="0">
      <w:lvlJc w:val="left"/>
      <w:lvlText w:val="%1."/>
      <w:numFmt w:val="decimal"/>
      <w:start w:val="11"/>
    </w:lvl>
  </w:abstractNum>
  <w:abstractNum w:abstractNumId="15">
    <w:nsid w:val="836C40E"/>
    <w:multiLevelType w:val="hybridMultilevel"/>
    <w:lvl w:ilvl="0">
      <w:lvlJc w:val="left"/>
      <w:lvlText w:val="%1."/>
      <w:numFmt w:val="decimal"/>
      <w:start w:val="12"/>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3"/>
    </w:lvl>
  </w:abstractNum>
  <w:abstractNum w:abstractNumId="18">
    <w:nsid w:val="8138641"/>
    <w:multiLevelType w:val="hybridMultilevel"/>
    <w:lvl w:ilvl="0">
      <w:lvlJc w:val="left"/>
      <w:lvlText w:val="%1."/>
      <w:numFmt w:val="decimal"/>
      <w:start w:val="14"/>
    </w:lvl>
  </w:abstractNum>
  <w:abstractNum w:abstractNumId="19">
    <w:nsid w:val="1E7FF521"/>
    <w:multiLevelType w:val="hybridMultilevel"/>
    <w:lvl w:ilvl="0">
      <w:lvlJc w:val="left"/>
      <w:lvlText w:val="%1."/>
      <w:numFmt w:val="decimal"/>
      <w:start w:val="15"/>
    </w:lvl>
  </w:abstractNum>
  <w:abstractNum w:abstractNumId="20">
    <w:nsid w:val="7C3DBD3D"/>
    <w:multiLevelType w:val="hybridMultilevel"/>
    <w:lvl w:ilvl="0">
      <w:lvlJc w:val="left"/>
      <w:lvlText w:val="%1."/>
      <w:numFmt w:val="decimal"/>
      <w:start w:val="16"/>
    </w:lvl>
  </w:abstractNum>
  <w:abstractNum w:abstractNumId="21">
    <w:nsid w:val="737B8DDC"/>
    <w:multiLevelType w:val="hybridMultilevel"/>
    <w:lvl w:ilvl="0">
      <w:lvlJc w:val="left"/>
      <w:lvlText w:val="%1."/>
      <w:numFmt w:val="decimal"/>
      <w:start w:val="17"/>
    </w:lvl>
  </w:abstractNum>
  <w:abstractNum w:abstractNumId="22">
    <w:nsid w:val="6CEAF087"/>
    <w:multiLevelType w:val="hybridMultilevel"/>
    <w:lvl w:ilvl="0">
      <w:lvlJc w:val="left"/>
      <w:lvlText w:val="%1."/>
      <w:numFmt w:val="decimal"/>
      <w:start w:val="18"/>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decimal"/>
      <w:start w:val="19"/>
    </w:lvl>
  </w:abstractNum>
  <w:abstractNum w:abstractNumId="25">
    <w:nsid w:val="3006C83E"/>
    <w:multiLevelType w:val="hybridMultilevel"/>
    <w:lvl w:ilvl="0">
      <w:lvlJc w:val="left"/>
      <w:lvlText w:val="%1."/>
      <w:numFmt w:val="decimal"/>
      <w:start w:val="20"/>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3"/>
    </w:lvl>
  </w:abstractNum>
  <w:abstractNum w:abstractNumId="28">
    <w:nsid w:val="5577F8E1"/>
    <w:multiLevelType w:val="hybridMultilevel"/>
    <w:lvl w:ilvl="0">
      <w:lvlJc w:val="left"/>
      <w:lvlText w:val="%1."/>
      <w:numFmt w:val="decimal"/>
      <w:start w:val="2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decimal"/>
      <w:start w:val="2"/>
    </w:lvl>
  </w:abstractNum>
  <w:abstractNum w:abstractNumId="35">
    <w:nsid w:val="2463B9EA"/>
    <w:multiLevelType w:val="hybridMultilevel"/>
    <w:lvl w:ilvl="0">
      <w:lvlJc w:val="left"/>
      <w:lvlText w:val="(%1)"/>
      <w:numFmt w:val="lowerRoman"/>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2019-12-01T15:37:24Z</dcterms:created>
  <dcterms:modified xsi:type="dcterms:W3CDTF">2019-12-01T15:37:24Z</dcterms:modified>
</cp:coreProperties>
</file>