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900" w:right="1260" w:hanging="2639"/>
        <w:spacing w:after="0" w:line="326" w:lineRule="auto"/>
        <w:tabs>
          <w:tab w:leader="none" w:pos="166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70"/>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1"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50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line="202" w:lineRule="exact"/>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ind w:right="140" w:firstLine="59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300" w:hanging="598"/>
        <w:spacing w:after="0" w:line="251"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18, 2025, the registrant had 106,793,835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7"/>
          </w:tcPr>
          <w:p>
            <w:pPr>
              <w:ind w:left="20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1"/>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060" w:type="dxa"/>
            <w:vAlign w:val="bottom"/>
            <w:gridSpan w:val="15"/>
            <w:vMerge w:val="restart"/>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60" w:type="dxa"/>
            <w:vAlign w:val="bottom"/>
            <w:tcBorders>
              <w:bottom w:val="single" w:sz="8" w:color="0000FF"/>
            </w:tcBorders>
            <w:gridSpan w:val="11"/>
            <w:vMerge w:val="continue"/>
          </w:tcPr>
          <w:p>
            <w:pPr>
              <w:spacing w:after="0"/>
              <w:rPr>
                <w:sz w:val="14"/>
                <w:szCs w:val="14"/>
                <w:color w:val="auto"/>
              </w:rPr>
            </w:pPr>
          </w:p>
        </w:tc>
        <w:tc>
          <w:tcPr>
            <w:tcW w:w="706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68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bottom w:val="single" w:sz="8" w:color="0000FF"/>
            </w:tcBorders>
          </w:tcPr>
          <w:p>
            <w:pPr>
              <w:spacing w:after="0"/>
              <w:rPr>
                <w:sz w:val="15"/>
                <w:szCs w:val="15"/>
                <w:color w:val="auto"/>
              </w:rPr>
            </w:pPr>
          </w:p>
        </w:tc>
        <w:tc>
          <w:tcPr>
            <w:tcW w:w="48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77"/>
              </w:rPr>
              <w:t>Income</w:t>
            </w:r>
          </w:p>
        </w:tc>
        <w:tc>
          <w:tcPr>
            <w:tcW w:w="40" w:type="dxa"/>
            <w:vAlign w:val="bottom"/>
            <w:tcBorders>
              <w:bottom w:val="single" w:sz="8" w:color="0000EE"/>
            </w:tcBorders>
          </w:tcPr>
          <w:p>
            <w:pPr>
              <w:spacing w:after="0"/>
              <w:rPr>
                <w:sz w:val="15"/>
                <w:szCs w:val="15"/>
                <w:color w:val="auto"/>
              </w:rPr>
            </w:pPr>
          </w:p>
        </w:tc>
        <w:tc>
          <w:tcPr>
            <w:tcW w:w="642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Consolidated Statements of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1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Consolidated Statements of Cash Flows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20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4"/>
              </w:rPr>
              <w:t>Consolidated Statements of Shareholders’</w:t>
            </w:r>
          </w:p>
        </w:tc>
        <w:tc>
          <w:tcPr>
            <w:tcW w:w="20" w:type="dxa"/>
            <w:vAlign w:val="bottom"/>
            <w:tcBorders>
              <w:top w:val="single" w:sz="8" w:color="0000EE"/>
            </w:tcBorders>
          </w:tcPr>
          <w:p>
            <w:pPr>
              <w:spacing w:after="0"/>
              <w:rPr>
                <w:sz w:val="15"/>
                <w:szCs w:val="15"/>
                <w:color w:val="auto"/>
              </w:rPr>
            </w:pPr>
          </w:p>
        </w:tc>
        <w:tc>
          <w:tcPr>
            <w:tcW w:w="6100" w:type="dxa"/>
            <w:vAlign w:val="bottom"/>
            <w:gridSpan w:val="7"/>
          </w:tcPr>
          <w:p>
            <w:pPr>
              <w:ind w:left="200"/>
              <w:spacing w:after="0" w:line="182" w:lineRule="exact"/>
              <w:rPr>
                <w:sz w:val="20"/>
                <w:szCs w:val="20"/>
                <w:color w:val="auto"/>
              </w:rPr>
            </w:pPr>
            <w:r>
              <w:rPr>
                <w:rFonts w:ascii="Arial" w:cs="Arial" w:eastAsia="Arial" w:hAnsi="Arial"/>
                <w:sz w:val="18"/>
                <w:szCs w:val="18"/>
                <w:color w:val="0000FF"/>
              </w:rPr>
              <w:t>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3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Management’s Discussion and Analysis of Financial</w:t>
            </w:r>
          </w:p>
        </w:tc>
        <w:tc>
          <w:tcPr>
            <w:tcW w:w="4940" w:type="dxa"/>
            <w:vAlign w:val="bottom"/>
            <w:gridSpan w:val="4"/>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4"/>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19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5"/>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6"/>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300" w:type="dxa"/>
            <w:vAlign w:val="bottom"/>
            <w:gridSpan w:val="21"/>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40" w:type="dxa"/>
            <w:vAlign w:val="bottom"/>
            <w:tcBorders>
              <w:top w:val="single" w:sz="8" w:color="0000FF"/>
            </w:tcBorders>
            <w:gridSpan w:val="4"/>
          </w:tcPr>
          <w:p>
            <w:pPr>
              <w:spacing w:after="0"/>
              <w:rPr>
                <w:sz w:val="15"/>
                <w:szCs w:val="15"/>
                <w:color w:val="auto"/>
              </w:rPr>
            </w:pPr>
          </w:p>
        </w:tc>
        <w:tc>
          <w:tcPr>
            <w:tcW w:w="792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740" w:type="dxa"/>
            <w:vAlign w:val="bottom"/>
          </w:tcPr>
          <w:p>
            <w:pPr>
              <w:spacing w:after="0"/>
              <w:rPr>
                <w:sz w:val="14"/>
                <w:szCs w:val="1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$108,830 and $202,121 Cash of consolidated joint ventures)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411,327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220"/>
              <w:spacing w:after="0"/>
              <w:rPr>
                <w:sz w:val="20"/>
                <w:szCs w:val="20"/>
                <w:color w:val="auto"/>
              </w:rPr>
            </w:pPr>
            <w:r>
              <w:rPr>
                <w:rFonts w:ascii="Arial" w:cs="Arial" w:eastAsia="Arial" w:hAnsi="Arial"/>
                <w:sz w:val="14"/>
                <w:szCs w:val="14"/>
                <w:color w:val="auto"/>
              </w:rPr>
              <w:t>Accounts receivable, net (including $380,171 and $294,700 Accounts receivable of 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1,167,841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1,100,396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assets (including $8,382 and $7,906 Contract assets of 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836,366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741,504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220"/>
              <w:spacing w:after="0" w:line="153" w:lineRule="exact"/>
              <w:rPr>
                <w:sz w:val="20"/>
                <w:szCs w:val="20"/>
                <w:color w:val="auto"/>
              </w:rPr>
            </w:pPr>
            <w:r>
              <w:rPr>
                <w:rFonts w:ascii="Arial" w:cs="Arial" w:eastAsia="Arial" w:hAnsi="Arial"/>
                <w:sz w:val="14"/>
                <w:szCs w:val="14"/>
                <w:color w:val="auto"/>
              </w:rPr>
              <w:t>Prepaid expenses and other current assets (including $14,235 and $14,723 Prepaid expenses and other current assets of</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178,361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166,952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40" w:type="dxa"/>
            <w:vAlign w:val="bottom"/>
          </w:tcPr>
          <w:p>
            <w:pPr>
              <w:ind w:left="180"/>
              <w:spacing w:after="0" w:line="158" w:lineRule="exact"/>
              <w:rPr>
                <w:sz w:val="20"/>
                <w:szCs w:val="20"/>
                <w:color w:val="auto"/>
              </w:rPr>
            </w:pPr>
            <w:r>
              <w:rPr>
                <w:rFonts w:ascii="Arial" w:cs="Arial" w:eastAsia="Arial" w:hAnsi="Arial"/>
                <w:sz w:val="14"/>
                <w:szCs w:val="14"/>
                <w:color w:val="auto"/>
              </w:rPr>
              <w:t>consolidated joint ventures)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4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2,593,895</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2,462,400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Property and Equipment, net (including $2,142 and $2,971 Property and equipment of 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122,737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Right of use assets, operating leases (including $4,485 and $5,726 Right of use assets, operating leases of consolidated joint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139,985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2,161,939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2,082,680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150,721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361,303</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349,937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134,142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133,450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56,443</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5,721,165</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Accounts payable (including $50,047 and $28,214 Accounts payable of consolidated joint ventures)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288,483</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207,589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Accrued expenses and other current liabilities (including $191,119 and $198,797 Accrued expenses and other current liabilities of</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847,845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894,425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Contract liabilities (including $62,835 and $66,144 Contract liabilities of 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320,295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289,799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Short-term lease liabilities, operating leases (including $2,753 and $3,522 Short-term lease liabilities, operating leases of</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52,763</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13,455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Short Term Debt</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84,919</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463,405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1,607,760</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1,915,644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Long-term employee incentives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26,064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1,235,584</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784,096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Long-term lease liabilities, operating leases (including $1,729 and $2,203 Long-term lease liabilities, operating leases of</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100,218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114,386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110,641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4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3,099,554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2,953,473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740" w:type="dxa"/>
            <w:vAlign w:val="bottom"/>
          </w:tcPr>
          <w:p>
            <w:pPr>
              <w:spacing w:after="0" w:line="143" w:lineRule="exact"/>
              <w:rPr>
                <w:sz w:val="20"/>
                <w:szCs w:val="20"/>
                <w:color w:val="auto"/>
              </w:rPr>
            </w:pPr>
            <w:r>
              <w:rPr>
                <w:rFonts w:ascii="Arial" w:cs="Arial" w:eastAsia="Arial" w:hAnsi="Arial"/>
                <w:sz w:val="14"/>
                <w:szCs w:val="14"/>
                <w:color w:val="auto"/>
              </w:rPr>
              <w:t>Contingencies (Note 12)</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Common stock, $1 par value; authorized 1,000,000,000 shares; 146,676,400 and 146,656,225 shares issued; 54,689,434 and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52,657,447 public shares outstanding; 52,106,902 and 54,117,904 ESOP shares outstanding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146,676</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146,655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Treasury stock, 39,880,875 shares at cost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(815,282)</w:t>
            </w: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(815,282)</w:t>
            </w: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2,660,579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2,684,829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541,965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426,781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(18,067)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(26,594)</w:t>
            </w:r>
          </w:p>
        </w:tc>
        <w:tc>
          <w:tcPr>
            <w:tcW w:w="0" w:type="dxa"/>
            <w:vAlign w:val="bottom"/>
          </w:tcPr>
          <w:p>
            <w:pPr>
              <w:spacing w:after="0"/>
              <w:rPr>
                <w:sz w:val="1"/>
                <w:szCs w:val="1"/>
                <w:color w:val="auto"/>
              </w:rPr>
            </w:pPr>
          </w:p>
        </w:tc>
      </w:tr>
      <w:tr>
        <w:trPr>
          <w:trHeight w:val="155"/>
        </w:trPr>
        <w:tc>
          <w:tcPr>
            <w:tcW w:w="8740" w:type="dxa"/>
            <w:vAlign w:val="bottom"/>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2,515,871</w:t>
            </w:r>
          </w:p>
        </w:tc>
        <w:tc>
          <w:tcPr>
            <w:tcW w:w="2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2,416,389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105,740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Borders>
              <w:bottom w:val="single" w:sz="8" w:color="CFF0FC"/>
            </w:tcBorders>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2,621,611</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2,534,489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5,721,165</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-4482465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-3548380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-2279650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-1310640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-1293495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5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440"/>
              <w:spacing w:after="0" w:line="177"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320"/>
              <w:spacing w:after="0" w:line="177" w:lineRule="exact"/>
              <w:rPr>
                <w:sz w:val="20"/>
                <w:szCs w:val="20"/>
                <w:color w:val="auto"/>
              </w:rPr>
            </w:pPr>
            <w:r>
              <w:rPr>
                <w:rFonts w:ascii="Arial" w:cs="Arial" w:eastAsia="Arial" w:hAnsi="Arial"/>
                <w:sz w:val="18"/>
                <w:szCs w:val="18"/>
                <w:b w:val="1"/>
                <w:bCs w:val="1"/>
                <w:color w:val="auto"/>
              </w:rPr>
              <w:t>June 30,</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2024</w:t>
            </w:r>
          </w:p>
        </w:tc>
        <w:tc>
          <w:tcPr>
            <w:tcW w:w="100" w:type="dxa"/>
            <w:vAlign w:val="bottom"/>
          </w:tcPr>
          <w:p>
            <w:pPr>
              <w:spacing w:after="0"/>
              <w:rPr>
                <w:sz w:val="19"/>
                <w:szCs w:val="19"/>
                <w:color w:val="auto"/>
              </w:rPr>
            </w:pPr>
          </w:p>
        </w:tc>
      </w:tr>
      <w:tr>
        <w:trPr>
          <w:trHeight w:val="19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1,584,323</w:t>
            </w:r>
          </w:p>
        </w:tc>
        <w:tc>
          <w:tcPr>
            <w:tcW w:w="2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1,670,467</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3,138,683</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3,206,143</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1,235,970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1,318,931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2,436,347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2,529,758</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losses of unconsolidated joint ventures</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(16,837)</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(1,329)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(18,897)</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252,050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223,277</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496,113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444,222</w:t>
            </w:r>
          </w:p>
        </w:tc>
        <w:tc>
          <w:tcPr>
            <w:tcW w:w="100" w:type="dxa"/>
            <w:vAlign w:val="bottom"/>
          </w:tcPr>
          <w:p>
            <w:pPr>
              <w:spacing w:after="0"/>
              <w:rPr>
                <w:sz w:val="17"/>
                <w:szCs w:val="17"/>
                <w:color w:val="auto"/>
              </w:rPr>
            </w:pPr>
          </w:p>
        </w:tc>
      </w:tr>
      <w:tr>
        <w:trPr>
          <w:trHeight w:val="196"/>
        </w:trPr>
        <w:tc>
          <w:tcPr>
            <w:tcW w:w="5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95,661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111,422</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204,894</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213,266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3,825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3,210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4,977</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(12,569)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(13,008)</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(24,815)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(26,006)</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(18,355)</w:t>
            </w: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895</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(2,431)</w:t>
            </w:r>
          </w:p>
        </w:tc>
      </w:tr>
      <w:tr>
        <w:trPr>
          <w:trHeight w:val="20"/>
        </w:trPr>
        <w:tc>
          <w:tcPr>
            <w:tcW w:w="5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color w:val="auto"/>
              </w:rPr>
              <w:t>Total other income (expense)</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(6,482)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(8,288)</w:t>
            </w:r>
          </w:p>
        </w:tc>
        <w:tc>
          <w:tcPr>
            <w:tcW w:w="12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(14,951)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(41,815)</w:t>
            </w:r>
          </w:p>
        </w:tc>
      </w:tr>
      <w:tr>
        <w:trPr>
          <w:trHeight w:val="19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89,179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103,134</w:t>
            </w: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189,943</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171,451</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(18,690)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(22,415)</w:t>
            </w:r>
          </w:p>
        </w:tc>
        <w:tc>
          <w:tcPr>
            <w:tcW w:w="1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(37,667)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(35,739)</w:t>
            </w:r>
          </w:p>
        </w:tc>
      </w:tr>
      <w:tr>
        <w:trPr>
          <w:trHeight w:val="19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70,489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80,719</w:t>
            </w: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152,276</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135,712</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(15,259)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(11,547)</w:t>
            </w:r>
          </w:p>
        </w:tc>
        <w:tc>
          <w:tcPr>
            <w:tcW w:w="1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(30,843)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(26,790)</w:t>
            </w:r>
          </w:p>
        </w:tc>
      </w:tr>
      <w:tr>
        <w:trPr>
          <w:trHeight w:val="236"/>
        </w:trPr>
        <w:tc>
          <w:tcPr>
            <w:tcW w:w="55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55,230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69,172</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121,433</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108,922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520" w:type="dxa"/>
            <w:vAlign w:val="bottom"/>
          </w:tcPr>
          <w:p>
            <w:pPr>
              <w:spacing w:after="0" w:line="183" w:lineRule="exact"/>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5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0.52</w:t>
            </w:r>
          </w:p>
        </w:tc>
        <w:tc>
          <w:tcPr>
            <w:tcW w:w="2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0.65</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7"/>
                <w:szCs w:val="17"/>
                <w:color w:val="auto"/>
              </w:rPr>
            </w:pPr>
          </w:p>
        </w:tc>
      </w:tr>
      <w:tr>
        <w:trPr>
          <w:trHeight w:val="239"/>
        </w:trPr>
        <w:tc>
          <w:tcPr>
            <w:tcW w:w="55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0.63</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-1762760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-1762760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-1762760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-1762760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-1239520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-1239520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-1239520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-1239520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-433705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-416560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-433705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-416560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-433705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-416560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56"/>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June 30, 2025</w:t>
            </w:r>
          </w:p>
        </w:tc>
        <w:tc>
          <w:tcPr>
            <w:tcW w:w="128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June 30, 2024</w:t>
            </w:r>
          </w:p>
        </w:tc>
        <w:tc>
          <w:tcPr>
            <w:tcW w:w="128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June 30, 2025</w:t>
            </w: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48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70,489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80,719</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152,276</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135,712</w:t>
            </w:r>
          </w:p>
        </w:tc>
        <w:tc>
          <w:tcPr>
            <w:tcW w:w="10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7,619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(2,245)</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(4,172)</w:t>
            </w:r>
          </w:p>
        </w:tc>
      </w:tr>
      <w:tr>
        <w:trPr>
          <w:trHeight w:val="203"/>
        </w:trPr>
        <w:tc>
          <w:tcPr>
            <w:tcW w:w="5980" w:type="dxa"/>
            <w:vAlign w:val="bottom"/>
          </w:tcPr>
          <w:p>
            <w:pPr>
              <w:ind w:left="160"/>
              <w:spacing w:after="0" w:line="202" w:lineRule="exact"/>
              <w:rPr>
                <w:sz w:val="20"/>
                <w:szCs w:val="20"/>
                <w:color w:val="auto"/>
              </w:rPr>
            </w:pPr>
            <w:r>
              <w:rPr>
                <w:rFonts w:ascii="Arial" w:cs="Arial" w:eastAsia="Arial" w:hAnsi="Arial"/>
                <w:sz w:val="18"/>
                <w:szCs w:val="18"/>
                <w:color w:val="auto"/>
              </w:rPr>
              <w:t>Pension adjustments, net of tax</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w:t>
            </w:r>
          </w:p>
        </w:tc>
      </w:tr>
      <w:tr>
        <w:trPr>
          <w:trHeight w:val="196"/>
        </w:trPr>
        <w:tc>
          <w:tcPr>
            <w:tcW w:w="598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Comprehensive income including noncontrolling interests, net of tax</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78,170</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78,458</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160,813</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131,493</w:t>
            </w:r>
          </w:p>
        </w:tc>
        <w:tc>
          <w:tcPr>
            <w:tcW w:w="10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Comprehensive income attributable to noncontrolling interests, net of tax</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(15,267)</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(11,559)</w:t>
            </w:r>
          </w:p>
        </w:tc>
        <w:tc>
          <w:tcPr>
            <w:tcW w:w="26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(30,853)</w:t>
            </w:r>
          </w:p>
        </w:tc>
        <w:tc>
          <w:tcPr>
            <w:tcW w:w="24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(26,802)</w:t>
            </w: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attributable to Parsons Corporation, net of tax</w:t>
            </w:r>
          </w:p>
        </w:tc>
        <w:tc>
          <w:tcPr>
            <w:tcW w:w="48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62,903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66,899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129,960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104,691</w:t>
            </w:r>
          </w:p>
        </w:tc>
        <w:tc>
          <w:tcPr>
            <w:tcW w:w="10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-25400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5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For the Six Months Ended</w:t>
            </w:r>
          </w:p>
        </w:tc>
      </w:tr>
      <w:tr>
        <w:trPr>
          <w:trHeight w:val="155"/>
        </w:trPr>
        <w:tc>
          <w:tcPr>
            <w:tcW w:w="7680" w:type="dxa"/>
            <w:vAlign w:val="bottom"/>
          </w:tcPr>
          <w:p>
            <w:pPr>
              <w:spacing w:after="0"/>
              <w:rPr>
                <w:sz w:val="13"/>
                <w:szCs w:val="13"/>
                <w:color w:val="auto"/>
              </w:rPr>
            </w:pPr>
          </w:p>
        </w:tc>
        <w:tc>
          <w:tcPr>
            <w:tcW w:w="192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June 30, 2025</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62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Net income including noncontrolling interests</w:t>
            </w:r>
          </w:p>
        </w:tc>
        <w:tc>
          <w:tcPr>
            <w:tcW w:w="1620" w:type="dxa"/>
            <w:vAlign w:val="bottom"/>
          </w:tcPr>
          <w:p>
            <w:pPr>
              <w:jc w:val="right"/>
              <w:spacing w:after="0"/>
              <w:rPr>
                <w:sz w:val="20"/>
                <w:szCs w:val="20"/>
                <w:color w:val="auto"/>
              </w:rPr>
            </w:pPr>
            <w:r>
              <w:rPr>
                <w:rFonts w:ascii="Arial" w:cs="Arial" w:eastAsia="Arial" w:hAnsi="Arial"/>
                <w:sz w:val="14"/>
                <w:szCs w:val="14"/>
                <w:color w:val="auto"/>
              </w:rPr>
              <w:t>152,276</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135,712</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620" w:type="dxa"/>
            <w:vAlign w:val="bottom"/>
          </w:tcPr>
          <w:p>
            <w:pPr>
              <w:jc w:val="right"/>
              <w:spacing w:after="0"/>
              <w:rPr>
                <w:sz w:val="20"/>
                <w:szCs w:val="20"/>
                <w:color w:val="auto"/>
              </w:rPr>
            </w:pPr>
            <w:r>
              <w:rPr>
                <w:rFonts w:ascii="Arial" w:cs="Arial" w:eastAsia="Arial" w:hAnsi="Arial"/>
                <w:sz w:val="14"/>
                <w:szCs w:val="14"/>
                <w:color w:val="auto"/>
              </w:rPr>
              <w:t>55,995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48,971</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debt issue costs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5,326</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Loss (gain) on disposal of property and equipment</w:t>
            </w:r>
          </w:p>
        </w:tc>
        <w:tc>
          <w:tcPr>
            <w:tcW w:w="1620" w:type="dxa"/>
            <w:vAlign w:val="bottom"/>
          </w:tcPr>
          <w:p>
            <w:pPr>
              <w:jc w:val="right"/>
              <w:spacing w:after="0"/>
              <w:rPr>
                <w:sz w:val="20"/>
                <w:szCs w:val="20"/>
                <w:color w:val="auto"/>
              </w:rPr>
            </w:pPr>
            <w:r>
              <w:rPr>
                <w:rFonts w:ascii="Arial" w:cs="Arial" w:eastAsia="Arial" w:hAnsi="Arial"/>
                <w:sz w:val="14"/>
                <w:szCs w:val="14"/>
                <w:color w:val="auto"/>
              </w:rPr>
              <w:t>63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Convertible debt repurchase loss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18,355</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Deferred taxes</w:t>
            </w:r>
          </w:p>
        </w:tc>
        <w:tc>
          <w:tcPr>
            <w:tcW w:w="1620" w:type="dxa"/>
            <w:vAlign w:val="bottom"/>
          </w:tcPr>
          <w:p>
            <w:pPr>
              <w:jc w:val="right"/>
              <w:spacing w:after="0"/>
              <w:rPr>
                <w:sz w:val="20"/>
                <w:szCs w:val="20"/>
                <w:color w:val="auto"/>
              </w:rPr>
            </w:pPr>
            <w:r>
              <w:rPr>
                <w:rFonts w:ascii="Arial" w:cs="Arial" w:eastAsia="Arial" w:hAnsi="Arial"/>
                <w:sz w:val="14"/>
                <w:szCs w:val="14"/>
                <w:color w:val="auto"/>
              </w:rPr>
              <w:t>2,225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(222)</w:t>
            </w: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Foreign currency transaction gains and losses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(5,171)</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2,039</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Equity in losses of unconsolidated joint ventures</w:t>
            </w:r>
          </w:p>
        </w:tc>
        <w:tc>
          <w:tcPr>
            <w:tcW w:w="1620" w:type="dxa"/>
            <w:vAlign w:val="bottom"/>
          </w:tcPr>
          <w:p>
            <w:pPr>
              <w:jc w:val="right"/>
              <w:spacing w:after="0"/>
              <w:rPr>
                <w:sz w:val="20"/>
                <w:szCs w:val="20"/>
                <w:color w:val="auto"/>
              </w:rPr>
            </w:pPr>
            <w:r>
              <w:rPr>
                <w:rFonts w:ascii="Arial" w:cs="Arial" w:eastAsia="Arial" w:hAnsi="Arial"/>
                <w:sz w:val="14"/>
                <w:szCs w:val="14"/>
                <w:color w:val="auto"/>
              </w:rPr>
              <w:t>1,329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18,897</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Return on investments in unconsolidated joint ventures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15,907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20,788</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620" w:type="dxa"/>
            <w:vAlign w:val="bottom"/>
          </w:tcPr>
          <w:p>
            <w:pPr>
              <w:jc w:val="right"/>
              <w:spacing w:after="0"/>
              <w:rPr>
                <w:sz w:val="20"/>
                <w:szCs w:val="20"/>
                <w:color w:val="auto"/>
              </w:rPr>
            </w:pPr>
            <w:r>
              <w:rPr>
                <w:rFonts w:ascii="Arial" w:cs="Arial" w:eastAsia="Arial" w:hAnsi="Arial"/>
                <w:sz w:val="14"/>
                <w:szCs w:val="14"/>
                <w:color w:val="auto"/>
              </w:rPr>
              <w:t>22,926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20,675</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Contributions of treasury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35,382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30,140</w:t>
            </w:r>
          </w:p>
        </w:tc>
        <w:tc>
          <w:tcPr>
            <w:tcW w:w="100" w:type="dxa"/>
            <w:vAlign w:val="bottom"/>
            <w:shd w:val="clear" w:color="auto" w:fill="CFF0FC"/>
          </w:tcPr>
          <w:p>
            <w:pPr>
              <w:spacing w:after="0"/>
              <w:rPr>
                <w:sz w:val="14"/>
                <w:szCs w:val="14"/>
                <w:color w:val="auto"/>
              </w:rPr>
            </w:pPr>
          </w:p>
        </w:tc>
      </w:tr>
      <w:tr>
        <w:trPr>
          <w:trHeight w:val="153"/>
        </w:trPr>
        <w:tc>
          <w:tcPr>
            <w:tcW w:w="7680" w:type="dxa"/>
            <w:vAlign w:val="bottom"/>
          </w:tcPr>
          <w:p>
            <w:pPr>
              <w:ind w:left="300"/>
              <w:spacing w:after="0" w:line="153" w:lineRule="exact"/>
              <w:rPr>
                <w:sz w:val="20"/>
                <w:szCs w:val="20"/>
                <w:color w:val="auto"/>
              </w:rPr>
            </w:pPr>
            <w:r>
              <w:rPr>
                <w:rFonts w:ascii="Arial" w:cs="Arial" w:eastAsia="Arial" w:hAnsi="Arial"/>
                <w:sz w:val="14"/>
                <w:szCs w:val="14"/>
                <w:color w:val="auto"/>
              </w:rPr>
              <w:t>Changes in assets and liabilities, net of acquisitions and consolidated</w:t>
            </w: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7680" w:type="dxa"/>
            <w:vAlign w:val="bottom"/>
          </w:tcPr>
          <w:p>
            <w:pPr>
              <w:ind w:left="420"/>
              <w:spacing w:after="0"/>
              <w:rPr>
                <w:sz w:val="20"/>
                <w:szCs w:val="20"/>
                <w:color w:val="auto"/>
              </w:rPr>
            </w:pPr>
            <w:r>
              <w:rPr>
                <w:rFonts w:ascii="Arial" w:cs="Arial" w:eastAsia="Arial" w:hAnsi="Arial"/>
                <w:sz w:val="14"/>
                <w:szCs w:val="14"/>
                <w:color w:val="auto"/>
              </w:rPr>
              <w:t>joint ventures:</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receivable</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(31,905)</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(131,414)</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Contract assets</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(84,802)</w:t>
            </w: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(47,905)</w:t>
            </w: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Prepaid expenses and other assets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(7,544)</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(9,396)</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620" w:type="dxa"/>
            <w:vAlign w:val="bottom"/>
          </w:tcPr>
          <w:p>
            <w:pPr>
              <w:jc w:val="right"/>
              <w:spacing w:after="0"/>
              <w:rPr>
                <w:sz w:val="20"/>
                <w:szCs w:val="20"/>
                <w:color w:val="auto"/>
              </w:rPr>
            </w:pPr>
            <w:r>
              <w:rPr>
                <w:rFonts w:ascii="Arial" w:cs="Arial" w:eastAsia="Arial" w:hAnsi="Arial"/>
                <w:sz w:val="14"/>
                <w:szCs w:val="14"/>
                <w:color w:val="auto"/>
              </w:rPr>
              <w:t>62,462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10,585</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(94,320)</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(10,533)</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Contract liabilities</w:t>
            </w:r>
          </w:p>
        </w:tc>
        <w:tc>
          <w:tcPr>
            <w:tcW w:w="1620" w:type="dxa"/>
            <w:vAlign w:val="bottom"/>
          </w:tcPr>
          <w:p>
            <w:pPr>
              <w:jc w:val="right"/>
              <w:spacing w:after="0"/>
              <w:rPr>
                <w:sz w:val="20"/>
                <w:szCs w:val="20"/>
                <w:color w:val="auto"/>
              </w:rPr>
            </w:pPr>
            <w:r>
              <w:rPr>
                <w:rFonts w:ascii="Arial" w:cs="Arial" w:eastAsia="Arial" w:hAnsi="Arial"/>
                <w:sz w:val="14"/>
                <w:szCs w:val="14"/>
                <w:color w:val="auto"/>
              </w:rPr>
              <w:t>14,472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(1,360)</w:t>
            </w: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taxes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(6,951)</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620" w:type="dxa"/>
            <w:vAlign w:val="bottom"/>
          </w:tcPr>
          <w:p>
            <w:pPr>
              <w:jc w:val="right"/>
              <w:spacing w:after="0"/>
              <w:rPr>
                <w:sz w:val="20"/>
                <w:szCs w:val="20"/>
                <w:color w:val="auto"/>
              </w:rPr>
            </w:pPr>
            <w:r>
              <w:rPr>
                <w:rFonts w:ascii="Arial" w:cs="Arial" w:eastAsia="Arial" w:hAnsi="Arial"/>
                <w:sz w:val="14"/>
                <w:szCs w:val="14"/>
                <w:color w:val="auto"/>
              </w:rPr>
              <w:t>280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(6,308)</w:t>
            </w:r>
          </w:p>
        </w:tc>
      </w:tr>
      <w:tr>
        <w:trPr>
          <w:trHeight w:val="155"/>
        </w:trPr>
        <w:tc>
          <w:tcPr>
            <w:tcW w:w="7680" w:type="dxa"/>
            <w:vAlign w:val="bottom"/>
            <w:tcBorders>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148,014</w:t>
            </w:r>
          </w:p>
        </w:tc>
        <w:tc>
          <w:tcPr>
            <w:tcW w:w="3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97,807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76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Capital expenditures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(22,909)</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(18,698)</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Proceeds from sale of property and equipment</w:t>
            </w:r>
          </w:p>
        </w:tc>
        <w:tc>
          <w:tcPr>
            <w:tcW w:w="1620" w:type="dxa"/>
            <w:vAlign w:val="bottom"/>
          </w:tcPr>
          <w:p>
            <w:pPr>
              <w:jc w:val="right"/>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for acquisitions, net of cash acquired</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(117,858)</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Investments in unconsolidated joint ventures</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(35,496)</w:t>
            </w: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(70,032)</w:t>
            </w: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Return of investments in unconsolidated joint ventures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11,920</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r>
      <w:tr>
        <w:trPr>
          <w:trHeight w:val="155"/>
        </w:trPr>
        <w:tc>
          <w:tcPr>
            <w:tcW w:w="7680" w:type="dxa"/>
            <w:vAlign w:val="bottom"/>
          </w:tcPr>
          <w:p>
            <w:pPr>
              <w:ind w:left="300"/>
              <w:spacing w:after="0" w:line="155" w:lineRule="exact"/>
              <w:rPr>
                <w:sz w:val="20"/>
                <w:szCs w:val="20"/>
                <w:color w:val="auto"/>
              </w:rPr>
            </w:pPr>
            <w:r>
              <w:rPr>
                <w:rFonts w:ascii="Arial" w:cs="Arial" w:eastAsia="Arial" w:hAnsi="Arial"/>
                <w:sz w:val="14"/>
                <w:szCs w:val="14"/>
                <w:color w:val="auto"/>
              </w:rPr>
              <w:t>Net cash used in investing activities</w:t>
            </w: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(164,308)</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(88,715)</w:t>
            </w:r>
          </w:p>
        </w:tc>
        <w:tc>
          <w:tcPr>
            <w:tcW w:w="100" w:type="dxa"/>
            <w:vAlign w:val="bottom"/>
          </w:tcPr>
          <w:p>
            <w:pPr>
              <w:spacing w:after="0"/>
              <w:rPr>
                <w:sz w:val="13"/>
                <w:szCs w:val="13"/>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Proceeds from borrowings under credit agreement</w:t>
            </w:r>
          </w:p>
        </w:tc>
        <w:tc>
          <w:tcPr>
            <w:tcW w:w="1620" w:type="dxa"/>
            <w:vAlign w:val="bottom"/>
          </w:tcPr>
          <w:p>
            <w:pPr>
              <w:jc w:val="right"/>
              <w:spacing w:after="0"/>
              <w:rPr>
                <w:sz w:val="20"/>
                <w:szCs w:val="20"/>
                <w:color w:val="auto"/>
              </w:rPr>
            </w:pPr>
            <w:r>
              <w:rPr>
                <w:rFonts w:ascii="Arial" w:cs="Arial" w:eastAsia="Arial" w:hAnsi="Arial"/>
                <w:sz w:val="14"/>
                <w:szCs w:val="14"/>
                <w:color w:val="auto"/>
              </w:rPr>
              <w:t>243,700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153,200</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Repayments of borrowings under credit agreement</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(243,700)</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(153,200)</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Proceeds from issuance of convertible notes due 2029</w:t>
            </w: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Repurchases of convertible notes due 2025</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(28,486)</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(495,575)</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Proceeds from term loan</w:t>
            </w:r>
          </w:p>
        </w:tc>
        <w:tc>
          <w:tcPr>
            <w:tcW w:w="1620" w:type="dxa"/>
            <w:vAlign w:val="bottom"/>
          </w:tcPr>
          <w:p>
            <w:pPr>
              <w:jc w:val="right"/>
              <w:spacing w:after="0"/>
              <w:rPr>
                <w:sz w:val="20"/>
                <w:szCs w:val="20"/>
                <w:color w:val="auto"/>
              </w:rPr>
            </w:pPr>
            <w:r>
              <w:rPr>
                <w:rFonts w:ascii="Arial" w:cs="Arial" w:eastAsia="Arial" w:hAnsi="Arial"/>
                <w:sz w:val="14"/>
                <w:szCs w:val="14"/>
                <w:color w:val="auto"/>
              </w:rPr>
              <w:t>450,000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Repayment of delayed draw term loan</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(350,000)</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Payments for debt issuance costs</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(2,571)</w:t>
            </w: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(19,185)</w:t>
            </w: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Contributions by noncontrolling interests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Distributions to noncontrolling interests</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(45,055)</w:t>
            </w: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(15,249)</w:t>
            </w: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Repurchases of common stock</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(39,994)</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(10,000)</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Taxes paid on vested stock</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(18,210)</w:t>
            </w:r>
          </w:p>
        </w:tc>
        <w:tc>
          <w:tcPr>
            <w:tcW w:w="18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(18,940)</w:t>
            </w: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Capped call transactions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(88,400)</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Bond hedge termination</w:t>
            </w: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195,549</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Redemption of warrants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(104,952)</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Proceeds from issuance of common stock</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14"/>
                <w:szCs w:val="14"/>
                <w:color w:val="auto"/>
              </w:rPr>
            </w:pPr>
          </w:p>
        </w:tc>
      </w:tr>
      <w:tr>
        <w:trPr>
          <w:trHeight w:val="155"/>
        </w:trPr>
        <w:tc>
          <w:tcPr>
            <w:tcW w:w="768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9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(29,193)</w:t>
            </w: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247,065</w:t>
            </w:r>
          </w:p>
        </w:tc>
        <w:tc>
          <w:tcPr>
            <w:tcW w:w="100" w:type="dxa"/>
            <w:vAlign w:val="bottom"/>
            <w:shd w:val="clear" w:color="auto" w:fill="CFF0FC"/>
          </w:tcPr>
          <w:p>
            <w:pPr>
              <w:spacing w:after="0"/>
              <w:rPr>
                <w:sz w:val="13"/>
                <w:szCs w:val="13"/>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680" w:type="dxa"/>
            <w:vAlign w:val="bottom"/>
          </w:tcPr>
          <w:p>
            <w:pPr>
              <w:ind w:left="300"/>
              <w:spacing w:after="0" w:line="155" w:lineRule="exact"/>
              <w:rPr>
                <w:sz w:val="20"/>
                <w:szCs w:val="20"/>
                <w:color w:val="auto"/>
              </w:rPr>
            </w:pPr>
            <w:r>
              <w:rPr>
                <w:rFonts w:ascii="Arial" w:cs="Arial" w:eastAsia="Arial" w:hAnsi="Arial"/>
                <w:sz w:val="14"/>
                <w:szCs w:val="14"/>
                <w:color w:val="auto"/>
              </w:rPr>
              <w:t>Effect of exchange rate changes</w:t>
            </w:r>
          </w:p>
        </w:tc>
        <w:tc>
          <w:tcPr>
            <w:tcW w:w="1620" w:type="dxa"/>
            <w:vAlign w:val="bottom"/>
          </w:tcPr>
          <w:p>
            <w:pPr>
              <w:jc w:val="right"/>
              <w:spacing w:after="0" w:line="155" w:lineRule="exact"/>
              <w:rPr>
                <w:sz w:val="20"/>
                <w:szCs w:val="20"/>
                <w:color w:val="auto"/>
              </w:rPr>
            </w:pPr>
            <w:r>
              <w:rPr>
                <w:rFonts w:ascii="Arial" w:cs="Arial" w:eastAsia="Arial" w:hAnsi="Arial"/>
                <w:sz w:val="14"/>
                <w:szCs w:val="14"/>
                <w:color w:val="auto"/>
              </w:rPr>
              <w:t>3,266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(638)</w:t>
            </w: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8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9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(42,221)</w:t>
            </w: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255,519</w:t>
            </w: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Cash, cash equivalents and restricted cash:</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Beginning of year</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3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80" w:type="dxa"/>
            <w:vAlign w:val="bottom"/>
          </w:tcPr>
          <w:p>
            <w:pPr>
              <w:ind w:left="300"/>
              <w:spacing w:after="0" w:line="155" w:lineRule="exact"/>
              <w:rPr>
                <w:sz w:val="20"/>
                <w:szCs w:val="20"/>
                <w:color w:val="auto"/>
              </w:rPr>
            </w:pPr>
            <w:r>
              <w:rPr>
                <w:rFonts w:ascii="Arial" w:cs="Arial" w:eastAsia="Arial" w:hAnsi="Arial"/>
                <w:sz w:val="14"/>
                <w:szCs w:val="14"/>
                <w:color w:val="auto"/>
              </w:rPr>
              <w:t>End of period</w:t>
            </w: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411,327</w:t>
            </w:r>
          </w:p>
        </w:tc>
        <w:tc>
          <w:tcPr>
            <w:tcW w:w="30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528,462</w:t>
            </w:r>
          </w:p>
        </w:tc>
        <w:tc>
          <w:tcPr>
            <w:tcW w:w="100" w:type="dxa"/>
            <w:vAlign w:val="bottom"/>
          </w:tcPr>
          <w:p>
            <w:pPr>
              <w:spacing w:after="0"/>
              <w:rPr>
                <w:sz w:val="13"/>
                <w:szCs w:val="13"/>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-3068320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-2455545</wp:posOffset>
            </wp:positionV>
            <wp:extent cx="10287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-2455545</wp:posOffset>
            </wp:positionV>
            <wp:extent cx="939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-565150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June 30, 2025 and June 30, 2024</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Parsons</w:t>
            </w:r>
          </w:p>
        </w:tc>
        <w:tc>
          <w:tcPr>
            <w:tcW w:w="80" w:type="dxa"/>
            <w:vAlign w:val="bottom"/>
          </w:tcPr>
          <w:p>
            <w:pPr>
              <w:spacing w:after="0"/>
              <w:rPr>
                <w:sz w:val="14"/>
                <w:szCs w:val="1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69"/>
        </w:trPr>
        <w:tc>
          <w:tcPr>
            <w:tcW w:w="2240" w:type="dxa"/>
            <w:vAlign w:val="bottom"/>
            <w:tcBorders>
              <w:top w:val="single" w:sz="8" w:color="CFF0FC"/>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 at March 31, 2025</w:t>
            </w:r>
          </w:p>
        </w:tc>
        <w:tc>
          <w:tcPr>
            <w:tcW w:w="12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146,704</w:t>
            </w: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CFF0FC"/>
            </w:tcBorders>
            <w:gridSpan w:val="2"/>
            <w:shd w:val="clear" w:color="auto" w:fill="CFF0FC"/>
          </w:tcPr>
          <w:p>
            <w:pPr>
              <w:jc w:val="right"/>
              <w:ind w:right="59"/>
              <w:spacing w:after="0" w:line="149" w:lineRule="exact"/>
              <w:rPr>
                <w:sz w:val="20"/>
                <w:szCs w:val="20"/>
                <w:color w:val="auto"/>
              </w:rPr>
            </w:pPr>
            <w:r>
              <w:rPr>
                <w:rFonts w:ascii="Arial" w:cs="Arial" w:eastAsia="Arial" w:hAnsi="Arial"/>
                <w:sz w:val="14"/>
                <w:szCs w:val="14"/>
                <w:color w:val="auto"/>
              </w:rPr>
              <w:t>(815,282)</w:t>
            </w:r>
          </w:p>
        </w:tc>
        <w:tc>
          <w:tcPr>
            <w:tcW w:w="18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2,660,487</w:t>
            </w:r>
          </w:p>
        </w:tc>
        <w:tc>
          <w:tcPr>
            <w:tcW w:w="1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487,625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CFF0FC"/>
            </w:tcBorders>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(25,740)</w:t>
            </w: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2,453,794</w:t>
            </w:r>
          </w:p>
        </w:tc>
        <w:tc>
          <w:tcPr>
            <w:tcW w:w="1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91,938</w:t>
            </w:r>
          </w:p>
        </w:tc>
        <w:tc>
          <w:tcPr>
            <w:tcW w:w="1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2,545,732</w:t>
            </w:r>
          </w:p>
        </w:tc>
        <w:tc>
          <w:tcPr>
            <w:tcW w:w="100" w:type="dxa"/>
            <w:vAlign w:val="bottom"/>
            <w:tcBorders>
              <w:top w:val="single" w:sz="8" w:color="CFF0FC"/>
            </w:tcBorders>
            <w:shd w:val="clear" w:color="auto" w:fill="CFF0FC"/>
          </w:tcPr>
          <w:p>
            <w:pPr>
              <w:spacing w:after="0"/>
              <w:rPr>
                <w:sz w:val="14"/>
                <w:szCs w:val="14"/>
                <w:color w:val="auto"/>
              </w:rPr>
            </w:pPr>
          </w:p>
        </w:tc>
      </w:tr>
      <w:tr>
        <w:trPr>
          <w:trHeight w:val="162"/>
        </w:trPr>
        <w:tc>
          <w:tcPr>
            <w:tcW w:w="2240" w:type="dxa"/>
            <w:vAlign w:val="bottom"/>
            <w:tcBorders>
              <w:top w:val="single" w:sz="8" w:color="CFF0FC"/>
            </w:tcBorders>
          </w:tcPr>
          <w:p>
            <w:pPr>
              <w:ind w:left="40"/>
              <w:spacing w:after="0"/>
              <w:rPr>
                <w:sz w:val="20"/>
                <w:szCs w:val="20"/>
                <w:color w:val="auto"/>
              </w:rPr>
            </w:pPr>
            <w:r>
              <w:rPr>
                <w:rFonts w:ascii="Arial" w:cs="Arial" w:eastAsia="Arial" w:hAnsi="Arial"/>
                <w:sz w:val="14"/>
                <w:szCs w:val="14"/>
                <w:color w:val="auto"/>
              </w:rPr>
              <w:t>Net income</w:t>
            </w: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55,230</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55,230</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15,259</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70,489</w:t>
            </w:r>
          </w:p>
        </w:tc>
        <w:tc>
          <w:tcPr>
            <w:tcW w:w="100" w:type="dxa"/>
            <w:vAlign w:val="bottom"/>
            <w:tcBorders>
              <w:top w:val="single" w:sz="8" w:color="CFF0FC"/>
            </w:tcBorders>
          </w:tcPr>
          <w:p>
            <w:pPr>
              <w:spacing w:after="0"/>
              <w:rPr>
                <w:sz w:val="14"/>
                <w:szCs w:val="14"/>
                <w:color w:val="auto"/>
              </w:rPr>
            </w:pPr>
          </w:p>
        </w:tc>
      </w:tr>
      <w:tr>
        <w:trPr>
          <w:trHeight w:val="153"/>
        </w:trPr>
        <w:tc>
          <w:tcPr>
            <w:tcW w:w="224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gain, net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7,619</w:t>
            </w:r>
          </w:p>
        </w:tc>
        <w:tc>
          <w:tcPr>
            <w:tcW w:w="100" w:type="dxa"/>
            <w:vAlign w:val="bottom"/>
            <w:shd w:val="clear" w:color="auto" w:fill="CFF0FC"/>
          </w:tcPr>
          <w:p>
            <w:pPr>
              <w:spacing w:after="0"/>
              <w:rPr>
                <w:sz w:val="14"/>
                <w:szCs w:val="14"/>
                <w:color w:val="auto"/>
              </w:rPr>
            </w:pPr>
          </w:p>
        </w:tc>
      </w:tr>
      <w:tr>
        <w:trPr>
          <w:trHeight w:val="153"/>
        </w:trPr>
        <w:tc>
          <w:tcPr>
            <w:tcW w:w="2240" w:type="dxa"/>
            <w:vAlign w:val="bottom"/>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240" w:type="dxa"/>
            <w:vAlign w:val="bottom"/>
          </w:tcPr>
          <w:p>
            <w:pPr>
              <w:ind w:left="12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4"/>
                <w:szCs w:val="14"/>
                <w:color w:val="auto"/>
              </w:rPr>
            </w:pPr>
          </w:p>
        </w:tc>
      </w:tr>
      <w:tr>
        <w:trPr>
          <w:trHeight w:val="162"/>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1,581</w:t>
            </w:r>
          </w:p>
        </w:tc>
        <w:tc>
          <w:tcPr>
            <w:tcW w:w="100" w:type="dxa"/>
            <w:vAlign w:val="bottom"/>
            <w:shd w:val="clear" w:color="auto" w:fill="CFF0FC"/>
          </w:tcPr>
          <w:p>
            <w:pPr>
              <w:spacing w:after="0"/>
              <w:rPr>
                <w:sz w:val="14"/>
                <w:szCs w:val="14"/>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(3,046)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(3,046)</w:t>
            </w:r>
          </w:p>
        </w:tc>
      </w:tr>
      <w:tr>
        <w:trPr>
          <w:trHeight w:val="153"/>
        </w:trPr>
        <w:tc>
          <w:tcPr>
            <w:tcW w:w="22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retirement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w:t>
            </w:r>
          </w:p>
        </w:tc>
        <w:tc>
          <w:tcPr>
            <w:tcW w:w="100" w:type="dxa"/>
            <w:vAlign w:val="bottom"/>
            <w:shd w:val="clear" w:color="auto" w:fill="CFF0FC"/>
          </w:tcPr>
          <w:p>
            <w:pPr>
              <w:spacing w:after="0"/>
              <w:rPr>
                <w:sz w:val="14"/>
                <w:szCs w:val="14"/>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(14,781)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r>
      <w:tr>
        <w:trPr>
          <w:trHeight w:val="162"/>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Stock based compensation</w:t>
            </w: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11,948</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2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2025</w:t>
            </w: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146,676</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(815,282</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2,660,579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541,965</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(18,067)</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2,515,871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2,621,611</w:t>
            </w:r>
          </w:p>
        </w:tc>
        <w:tc>
          <w:tcPr>
            <w:tcW w:w="10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22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2024</w:t>
            </w: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146,717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(827,311)</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2,612,762</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234,366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(16,866)</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2,149,668</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93,489</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2,243,157</w:t>
            </w:r>
          </w:p>
        </w:tc>
        <w:tc>
          <w:tcPr>
            <w:tcW w:w="100" w:type="dxa"/>
            <w:vAlign w:val="bottom"/>
            <w:shd w:val="clear" w:color="auto" w:fill="CFF0FC"/>
          </w:tcPr>
          <w:p>
            <w:pPr>
              <w:spacing w:after="0"/>
              <w:rPr>
                <w:sz w:val="15"/>
                <w:szCs w:val="15"/>
                <w:color w:val="auto"/>
              </w:rPr>
            </w:pPr>
          </w:p>
        </w:tc>
      </w:tr>
      <w:tr>
        <w:trPr>
          <w:trHeight w:val="162"/>
        </w:trPr>
        <w:tc>
          <w:tcPr>
            <w:tcW w:w="224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Net income</w:t>
            </w: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69,172</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69,172</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11,547</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80,719</w:t>
            </w:r>
          </w:p>
        </w:tc>
        <w:tc>
          <w:tcPr>
            <w:tcW w:w="100" w:type="dxa"/>
            <w:vAlign w:val="bottom"/>
            <w:tcBorders>
              <w:top w:val="single" w:sz="8" w:color="CFF0FC"/>
            </w:tcBorders>
          </w:tcPr>
          <w:p>
            <w:pPr>
              <w:spacing w:after="0"/>
              <w:rPr>
                <w:sz w:val="14"/>
                <w:szCs w:val="14"/>
                <w:color w:val="auto"/>
              </w:rPr>
            </w:pPr>
          </w:p>
        </w:tc>
      </w:tr>
      <w:tr>
        <w:trPr>
          <w:trHeight w:val="153"/>
        </w:trPr>
        <w:tc>
          <w:tcPr>
            <w:tcW w:w="22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Foreign currency translation</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Arial" w:cs="Arial" w:eastAsia="Arial" w:hAnsi="Arial"/>
                <w:sz w:val="14"/>
                <w:szCs w:val="14"/>
                <w:color w:val="auto"/>
              </w:rPr>
              <w:t>loss, net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(2,257)</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(2,257)</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(2,245)</w:t>
            </w:r>
          </w:p>
        </w:tc>
      </w:tr>
      <w:tr>
        <w:trPr>
          <w:trHeight w:val="153"/>
        </w:trPr>
        <w:tc>
          <w:tcPr>
            <w:tcW w:w="2240" w:type="dxa"/>
            <w:vAlign w:val="bottom"/>
          </w:tcPr>
          <w:p>
            <w:pPr>
              <w:spacing w:after="0" w:line="153" w:lineRule="exact"/>
              <w:rPr>
                <w:sz w:val="20"/>
                <w:szCs w:val="20"/>
                <w:color w:val="auto"/>
              </w:rPr>
            </w:pPr>
            <w:r>
              <w:rPr>
                <w:rFonts w:ascii="Arial" w:cs="Arial" w:eastAsia="Arial" w:hAnsi="Arial"/>
                <w:sz w:val="14"/>
                <w:szCs w:val="14"/>
                <w:color w:val="auto"/>
              </w:rPr>
              <w:t>Pension adjustments,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240" w:type="dxa"/>
            <w:vAlign w:val="bottom"/>
          </w:tcPr>
          <w:p>
            <w:pPr>
              <w:ind w:left="8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r>
      <w:tr>
        <w:trPr>
          <w:trHeight w:val="162"/>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FF0FC"/>
          </w:tcPr>
          <w:p>
            <w:pPr>
              <w:spacing w:after="0"/>
              <w:rPr>
                <w:sz w:val="14"/>
                <w:szCs w:val="14"/>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(3,991)</w:t>
            </w:r>
          </w:p>
        </w:tc>
      </w:tr>
      <w:tr>
        <w:trPr>
          <w:trHeight w:val="153"/>
        </w:trPr>
        <w:tc>
          <w:tcPr>
            <w:tcW w:w="22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retirements</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1,791</w:t>
            </w:r>
          </w:p>
        </w:tc>
        <w:tc>
          <w:tcPr>
            <w:tcW w:w="100" w:type="dxa"/>
            <w:vAlign w:val="bottom"/>
            <w:shd w:val="clear" w:color="auto" w:fill="CFF0FC"/>
          </w:tcPr>
          <w:p>
            <w:pPr>
              <w:spacing w:after="0"/>
              <w:rPr>
                <w:sz w:val="14"/>
                <w:szCs w:val="14"/>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(9,869)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r>
      <w:tr>
        <w:trPr>
          <w:trHeight w:val="162"/>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Stock based compensation</w:t>
            </w: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10,152</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10,152</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10,152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2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2024</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146,697</w:t>
            </w:r>
          </w:p>
        </w:tc>
        <w:tc>
          <w:tcPr>
            <w:tcW w:w="2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59"/>
              <w:spacing w:after="0" w:line="155" w:lineRule="exact"/>
              <w:rPr>
                <w:sz w:val="20"/>
                <w:szCs w:val="20"/>
                <w:color w:val="auto"/>
              </w:rPr>
            </w:pPr>
            <w:r>
              <w:rPr>
                <w:rFonts w:ascii="Arial" w:cs="Arial" w:eastAsia="Arial" w:hAnsi="Arial"/>
                <w:sz w:val="14"/>
                <w:szCs w:val="14"/>
                <w:color w:val="auto"/>
              </w:rPr>
              <w:t>(827,311)</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2,615,623</w:t>
            </w:r>
          </w:p>
        </w:tc>
        <w:tc>
          <w:tcPr>
            <w:tcW w:w="14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302,640</w:t>
            </w:r>
          </w:p>
        </w:tc>
        <w:tc>
          <w:tcPr>
            <w:tcW w:w="2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(19,139)</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2,218,510</w:t>
            </w:r>
          </w:p>
        </w:tc>
        <w:tc>
          <w:tcPr>
            <w:tcW w:w="140" w:type="dxa"/>
            <w:vAlign w:val="bottom"/>
          </w:tcPr>
          <w:p>
            <w:pPr>
              <w:spacing w:after="0"/>
              <w:rPr>
                <w:sz w:val="13"/>
                <w:szCs w:val="13"/>
                <w:color w:val="auto"/>
              </w:rPr>
            </w:pPr>
          </w:p>
        </w:tc>
        <w:tc>
          <w:tcPr>
            <w:tcW w:w="26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101,134</w:t>
            </w:r>
          </w:p>
        </w:tc>
        <w:tc>
          <w:tcPr>
            <w:tcW w:w="14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2,319,644</w:t>
            </w:r>
          </w:p>
        </w:tc>
        <w:tc>
          <w:tcPr>
            <w:tcW w:w="10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-2905760</wp:posOffset>
            </wp:positionV>
            <wp:extent cx="768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-2905760</wp:posOffset>
            </wp:positionV>
            <wp:extent cx="768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-2905760</wp:posOffset>
            </wp:positionV>
            <wp:extent cx="774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-2905760</wp:posOffset>
            </wp:positionV>
            <wp:extent cx="6858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-2905760</wp:posOffset>
            </wp:positionV>
            <wp:extent cx="6858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-3029585</wp:posOffset>
            </wp:positionV>
            <wp:extent cx="939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-2905760</wp:posOffset>
            </wp:positionV>
            <wp:extent cx="6858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-2905760</wp:posOffset>
            </wp:positionV>
            <wp:extent cx="6858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-1748155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-1748155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-1748155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-1748155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-1748155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-1748155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-1748155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-1293495</wp:posOffset>
            </wp:positionV>
            <wp:extent cx="768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-1293495</wp:posOffset>
            </wp:positionV>
            <wp:extent cx="768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-1293495</wp:posOffset>
            </wp:positionV>
            <wp:extent cx="774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-1293495</wp:posOffset>
            </wp:positionV>
            <wp:extent cx="6858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-1293495</wp:posOffset>
            </wp:positionV>
            <wp:extent cx="6858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-1293495</wp:posOffset>
            </wp:positionV>
            <wp:extent cx="6858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-1293495</wp:posOffset>
            </wp:positionV>
            <wp:extent cx="6858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-136525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-136525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-136525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-136525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-136525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-136525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-136525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Six Months Ended June 30, 2025 and June 30, 2024</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Parsons</w:t>
            </w:r>
          </w:p>
        </w:tc>
        <w:tc>
          <w:tcPr>
            <w:tcW w:w="80" w:type="dxa"/>
            <w:vAlign w:val="bottom"/>
          </w:tcPr>
          <w:p>
            <w:pPr>
              <w:spacing w:after="0"/>
              <w:rPr>
                <w:sz w:val="14"/>
                <w:szCs w:val="1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76"/>
        </w:trPr>
        <w:tc>
          <w:tcPr>
            <w:tcW w:w="2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146,655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(815,282)</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2,684,829</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426,781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(26,594)</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2,416,389</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118,100</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2,534,489</w:t>
            </w:r>
          </w:p>
        </w:tc>
        <w:tc>
          <w:tcPr>
            <w:tcW w:w="100" w:type="dxa"/>
            <w:vAlign w:val="bottom"/>
            <w:shd w:val="clear" w:color="auto" w:fill="CFF0FC"/>
          </w:tcPr>
          <w:p>
            <w:pPr>
              <w:spacing w:after="0"/>
              <w:rPr>
                <w:sz w:val="15"/>
                <w:szCs w:val="15"/>
                <w:color w:val="auto"/>
              </w:rPr>
            </w:pPr>
          </w:p>
        </w:tc>
      </w:tr>
      <w:tr>
        <w:trPr>
          <w:trHeight w:val="162"/>
        </w:trPr>
        <w:tc>
          <w:tcPr>
            <w:tcW w:w="2120" w:type="dxa"/>
            <w:vAlign w:val="bottom"/>
            <w:tcBorders>
              <w:top w:val="single" w:sz="8" w:color="CFF0FC"/>
            </w:tcBorders>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121,433</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121,433</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30,843</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152,276</w:t>
            </w:r>
          </w:p>
        </w:tc>
        <w:tc>
          <w:tcPr>
            <w:tcW w:w="100" w:type="dxa"/>
            <w:vAlign w:val="bottom"/>
            <w:tcBorders>
              <w:top w:val="single" w:sz="8" w:color="CFF0FC"/>
            </w:tcBorders>
          </w:tcPr>
          <w:p>
            <w:pPr>
              <w:spacing w:after="0"/>
              <w:rPr>
                <w:sz w:val="14"/>
                <w:szCs w:val="14"/>
                <w:color w:val="auto"/>
              </w:rPr>
            </w:pPr>
          </w:p>
        </w:tc>
      </w:tr>
      <w:tr>
        <w:trPr>
          <w:trHeight w:val="153"/>
        </w:trPr>
        <w:tc>
          <w:tcPr>
            <w:tcW w:w="212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gain, net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8,468</w:t>
            </w:r>
          </w:p>
        </w:tc>
        <w:tc>
          <w:tcPr>
            <w:tcW w:w="100" w:type="dxa"/>
            <w:vAlign w:val="bottom"/>
            <w:shd w:val="clear" w:color="auto" w:fill="CFF0FC"/>
          </w:tcPr>
          <w:p>
            <w:pPr>
              <w:spacing w:after="0"/>
              <w:rPr>
                <w:sz w:val="14"/>
                <w:szCs w:val="14"/>
                <w:color w:val="auto"/>
              </w:rPr>
            </w:pPr>
          </w:p>
        </w:tc>
      </w:tr>
      <w:tr>
        <w:trPr>
          <w:trHeight w:val="153"/>
        </w:trPr>
        <w:tc>
          <w:tcPr>
            <w:tcW w:w="2120" w:type="dxa"/>
            <w:vAlign w:val="bottom"/>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120" w:type="dxa"/>
            <w:vAlign w:val="bottom"/>
          </w:tcPr>
          <w:p>
            <w:pPr>
              <w:ind w:left="1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1,841</w:t>
            </w:r>
          </w:p>
        </w:tc>
        <w:tc>
          <w:tcPr>
            <w:tcW w:w="100" w:type="dxa"/>
            <w:vAlign w:val="bottom"/>
            <w:shd w:val="clear" w:color="auto" w:fill="CFF0FC"/>
          </w:tcPr>
          <w:p>
            <w:pPr>
              <w:spacing w:after="0"/>
              <w:rPr>
                <w:sz w:val="14"/>
                <w:szCs w:val="14"/>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Distributions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(45,054)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(45,054)</w:t>
            </w:r>
          </w:p>
        </w:tc>
      </w:tr>
      <w:tr>
        <w:trPr>
          <w:trHeight w:val="153"/>
        </w:trPr>
        <w:tc>
          <w:tcPr>
            <w:tcW w:w="21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12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retirement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(7,824)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(6,249)</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(13,409)</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(13,409)</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(39,352)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(39,995)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(39,995)</w:t>
            </w:r>
          </w:p>
        </w:tc>
      </w:tr>
      <w:tr>
        <w:trPr>
          <w:trHeight w:val="162"/>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Stock based compensation</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22,926</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22,926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22,926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96"/>
        </w:trPr>
        <w:tc>
          <w:tcPr>
            <w:tcW w:w="2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2025</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146,676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(815,282)</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2,660,579</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541,965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(18,067)</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2,515,871</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105,740</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2,621,611</w:t>
            </w:r>
          </w:p>
        </w:tc>
        <w:tc>
          <w:tcPr>
            <w:tcW w:w="100" w:type="dxa"/>
            <w:vAlign w:val="bottom"/>
            <w:shd w:val="clear" w:color="auto" w:fill="CFF0FC"/>
          </w:tcPr>
          <w:p>
            <w:pPr>
              <w:spacing w:after="0"/>
              <w:rPr>
                <w:sz w:val="17"/>
                <w:szCs w:val="17"/>
                <w:color w:val="auto"/>
              </w:rPr>
            </w:pPr>
          </w:p>
        </w:tc>
      </w:tr>
      <w:tr>
        <w:trPr>
          <w:trHeight w:val="304"/>
        </w:trPr>
        <w:tc>
          <w:tcPr>
            <w:tcW w:w="2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(827,311)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203,724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(14,908)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2,287,211</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shd w:val="clear" w:color="auto" w:fill="CFF0FC"/>
          </w:tcPr>
          <w:p>
            <w:pPr>
              <w:spacing w:after="0"/>
              <w:rPr>
                <w:sz w:val="14"/>
                <w:szCs w:val="14"/>
                <w:color w:val="auto"/>
              </w:rPr>
            </w:pPr>
          </w:p>
        </w:tc>
      </w:tr>
      <w:tr>
        <w:trPr>
          <w:trHeight w:val="156"/>
        </w:trPr>
        <w:tc>
          <w:tcPr>
            <w:tcW w:w="2120" w:type="dxa"/>
            <w:vAlign w:val="bottom"/>
            <w:tcBorders>
              <w:top w:val="single" w:sz="8" w:color="CFF0FC"/>
            </w:tcBorders>
          </w:tcPr>
          <w:p>
            <w:pPr>
              <w:ind w:left="40"/>
              <w:spacing w:after="0" w:line="155"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108,922</w:t>
            </w: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108,922</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26,790</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135,712</w:t>
            </w:r>
          </w:p>
        </w:tc>
        <w:tc>
          <w:tcPr>
            <w:tcW w:w="100" w:type="dxa"/>
            <w:vAlign w:val="bottom"/>
            <w:tcBorders>
              <w:top w:val="single" w:sz="8" w:color="CFF0FC"/>
            </w:tcBorders>
          </w:tcPr>
          <w:p>
            <w:pPr>
              <w:spacing w:after="0"/>
              <w:rPr>
                <w:sz w:val="13"/>
                <w:szCs w:val="13"/>
                <w:color w:val="auto"/>
              </w:rPr>
            </w:pPr>
          </w:p>
        </w:tc>
      </w:tr>
      <w:tr>
        <w:trPr>
          <w:trHeight w:val="153"/>
        </w:trPr>
        <w:tc>
          <w:tcPr>
            <w:tcW w:w="212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gain, net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(4,184)</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(4,184)</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(4,172)</w:t>
            </w:r>
          </w:p>
        </w:tc>
      </w:tr>
      <w:tr>
        <w:trPr>
          <w:trHeight w:val="153"/>
        </w:trPr>
        <w:tc>
          <w:tcPr>
            <w:tcW w:w="2120" w:type="dxa"/>
            <w:vAlign w:val="bottom"/>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120" w:type="dxa"/>
            <w:vAlign w:val="bottom"/>
          </w:tcPr>
          <w:p>
            <w:pPr>
              <w:ind w:left="1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FF0FC"/>
          </w:tcPr>
          <w:p>
            <w:pPr>
              <w:spacing w:after="0"/>
              <w:rPr>
                <w:sz w:val="14"/>
                <w:szCs w:val="14"/>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Distributions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(15,249)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(15,249)</w:t>
            </w: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Capped call transactions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(66,121)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(66,121)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(66,121)</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Repurchase of warrants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(104,952)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(104,952)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(104,952)</w:t>
            </w: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Bond hedge termination</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149,308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149,308</w:t>
            </w:r>
          </w:p>
        </w:tc>
        <w:tc>
          <w:tcPr>
            <w:tcW w:w="100" w:type="dxa"/>
            <w:vAlign w:val="bottom"/>
            <w:shd w:val="clear" w:color="auto" w:fill="CFF0FC"/>
          </w:tcPr>
          <w:p>
            <w:pPr>
              <w:spacing w:after="0"/>
              <w:rPr>
                <w:sz w:val="14"/>
                <w:szCs w:val="14"/>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Convertible debt inducement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(147,105)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(147,105)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(147,105)</w:t>
            </w:r>
          </w:p>
        </w:tc>
      </w:tr>
      <w:tr>
        <w:trPr>
          <w:trHeight w:val="153"/>
        </w:trPr>
        <w:tc>
          <w:tcPr>
            <w:tcW w:w="21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12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retirement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(5,678)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(10,006)</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(15,197)</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(15,197)</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(9,869)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r>
      <w:tr>
        <w:trPr>
          <w:trHeight w:val="162"/>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Stock based compensation</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20,675</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75"/>
        </w:trPr>
        <w:tc>
          <w:tcPr>
            <w:tcW w:w="2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2024</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146,697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(827,311)</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2,615,623</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302,640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(19,139)</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2,218,510</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101,134</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2,319,644</w:t>
            </w:r>
          </w:p>
        </w:tc>
        <w:tc>
          <w:tcPr>
            <w:tcW w:w="100" w:type="dxa"/>
            <w:vAlign w:val="bottom"/>
            <w:shd w:val="clear" w:color="auto" w:fill="CFF0FC"/>
          </w:tcPr>
          <w:p>
            <w:pPr>
              <w:spacing w:after="0"/>
              <w:rPr>
                <w:sz w:val="15"/>
                <w:szCs w:val="15"/>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-3291205</wp:posOffset>
            </wp:positionV>
            <wp:extent cx="768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-3291205</wp:posOffset>
            </wp:positionV>
            <wp:extent cx="768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-3291205</wp:posOffset>
            </wp:positionV>
            <wp:extent cx="774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-3291205</wp:posOffset>
            </wp:positionV>
            <wp:extent cx="6858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-3291205</wp:posOffset>
            </wp:positionV>
            <wp:extent cx="6858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-3291205</wp:posOffset>
            </wp:positionV>
            <wp:extent cx="6858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-3291205</wp:posOffset>
            </wp:positionV>
            <wp:extent cx="6858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-2133600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-2133600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-2133600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-2133600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-2133600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-2133600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-2133600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-2022475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-2005330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-2022475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-2005330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-2022475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-2005330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-2022475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-2005330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-2022475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-2005330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-2022475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-2005330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-2022475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-2005330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-1688465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-1688465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-1688465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-1688465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-1688465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-1688465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-1688465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-136525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-136525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-136525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-136525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-136525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-136525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-136525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36"/>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2024.</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Adoption of Accounting Standards Update 2024-04</w:t>
      </w:r>
    </w:p>
    <w:p>
      <w:pPr>
        <w:spacing w:after="0" w:line="212"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As discussed in the Company's Form 10-K for the year ended December 31, 2024, in the fourth quarter of fiscal 2024, the Company adopted Accounting Standards Update (“ASU”) 2024-04, "Debt—Debt with Conversion and Other Options (Subtopic 470-20)" ("ASU 2024-04"). The Company elected to early adopt ASU 2024-04 as of January 1, 2024 on a prospective basis.</w:t>
      </w:r>
    </w:p>
    <w:p>
      <w:pPr>
        <w:spacing w:after="0" w:line="169"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In the first quarter of 2024, the Company took an extinguishment charge related to the partial repurchase of Convertible Senior Notes due 2025. This repurchase was recorded in the Company's financial statements as a loss on debt extinguishment according to the applicable guidance prior to ASU 2024-04. With the early adoption of ASU 2024-04, the Company reassessed the accounting conclusion of the first quarter 2024 partial repurchase of Convertible Senior Notes due 2025 and concluded the partial repurchase is subject to inducement accounting under ASU 2024-04.</w:t>
      </w:r>
    </w:p>
    <w:p>
      <w:pPr>
        <w:spacing w:after="0" w:line="176" w:lineRule="exact"/>
        <w:rPr>
          <w:sz w:val="20"/>
          <w:szCs w:val="20"/>
          <w:color w:val="auto"/>
        </w:rPr>
      </w:pPr>
    </w:p>
    <w:p>
      <w:pPr>
        <w:ind w:right="200" w:firstLine="636"/>
        <w:spacing w:after="0" w:line="247" w:lineRule="auto"/>
        <w:rPr>
          <w:sz w:val="20"/>
          <w:szCs w:val="20"/>
          <w:color w:val="auto"/>
        </w:rPr>
      </w:pPr>
      <w:r>
        <w:rPr>
          <w:rFonts w:ascii="Arial" w:cs="Arial" w:eastAsia="Arial" w:hAnsi="Arial"/>
          <w:sz w:val="18"/>
          <w:szCs w:val="18"/>
          <w:color w:val="auto"/>
        </w:rPr>
        <w:t>Under inducement accounting, the difference in the fair value of the securities issuable pursuant to conversion privileges compared to the fair value of the consideration paid on the date of the acceptance of the inducement offer is recorded to inducement expense. The difference in the consideration paid to note holders, less inducement expenses, less the fair value of the notes repurchased is charged to equity.</w:t>
      </w:r>
    </w:p>
    <w:p>
      <w:pPr>
        <w:spacing w:after="0" w:line="174" w:lineRule="exact"/>
        <w:rPr>
          <w:sz w:val="20"/>
          <w:szCs w:val="20"/>
          <w:color w:val="auto"/>
        </w:rPr>
      </w:pPr>
    </w:p>
    <w:p>
      <w:pPr>
        <w:ind w:right="100" w:firstLine="636"/>
        <w:spacing w:after="0"/>
        <w:rPr>
          <w:sz w:val="20"/>
          <w:szCs w:val="20"/>
          <w:color w:val="auto"/>
        </w:rPr>
      </w:pPr>
      <w:r>
        <w:rPr>
          <w:rFonts w:ascii="Arial" w:cs="Arial" w:eastAsia="Arial" w:hAnsi="Arial"/>
          <w:sz w:val="18"/>
          <w:szCs w:val="18"/>
          <w:color w:val="auto"/>
        </w:rPr>
        <w:t>For the six months ended June 30, 2024, the Company reversed the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10— Debt and Credit Facilities" for a further discussion of the first quarter 2024 extinguishment accounting and subsequent change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340"/>
        <w:spacing w:after="0" w:line="271" w:lineRule="auto"/>
        <w:rPr>
          <w:sz w:val="20"/>
          <w:szCs w:val="20"/>
          <w:color w:val="auto"/>
        </w:rPr>
      </w:pPr>
      <w:r>
        <w:rPr>
          <w:rFonts w:ascii="Arial" w:cs="Arial" w:eastAsia="Arial" w:hAnsi="Arial"/>
          <w:sz w:val="18"/>
          <w:szCs w:val="18"/>
          <w:color w:val="auto"/>
        </w:rPr>
        <w:t>inducement accounting. Also see "Note 20—Quarterly Information" for the quarterly financial statement impacts related to this accounting change.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2024,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In the fourth quarter of 2024, the Financial Accounting Standards Board ("FASB") Issued Accounting Standards Update (“ASU”) 2024-04, "Debt—Debt with Conversion and Other Options (Subtopic 470-20)" ("ASU 2024-04"). ASU 2024-04 improves the relevance and consistency in application of the induced conversion guidance in Subtopic 470-20, Debt–Debt with Conversion and Other Options. The amendments in ASU 2024-04 clarify the requirements for determining whether certain settlements of convertible debt instruments should be accounted for as an induced conversion. Under the amendments, to account for a settlement of a convertible debt instrument as an induced conversion, an inducement offer is required to provide the debt holder with, at a minimum, the consideration (in form and amount) issuable under the conversion privileges provided in the terms of the instrument. The amendments in this Update are effective for all entities for annual reporting periods beginning after December 15, 2025, and interim reporting periods within those annual reporting periods. Early adoption is permitted for all entities that have adopted the amendments in ASU 2020-06. The Company adopted ASU 2020-06 in the first quarter of 2021. The Company early adopted ASU 2024-04 as of January 1, 2024 on a prospective basis. The adoption of this ASU had a material impact on the Company's consolidated financial statements. See the Company's Form 10-K for the year ended December 31, 2024 for further details regarding the adoption of ASU 2024-04.</w:t>
      </w:r>
    </w:p>
    <w:p>
      <w:pPr>
        <w:spacing w:after="0" w:line="183"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In the fourth quarter of 2024, the FASB Issued ASU 2024-03 "Income Statement—Reporting Comprehensive Income—Expense Disaggregation Disclosures (Subtopic 220-40)"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The adoption of this ASU will not have a material impact on the Company's consolidated financial statements.</w:t>
      </w:r>
    </w:p>
    <w:p>
      <w:pPr>
        <w:spacing w:after="0" w:line="176"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to improve the transparency of income tax disclosures. ASU 2023-09 requires a public business entity (“PBE”) to disclose, on an annual basis, specific categories in its income tax rate reconciliation and provide additional information for reconciling items that meet a quantitative threshold. ASU 2023-09 also requires all entities to disclose its income taxes paid, net of refunds received, disaggregated by federal, state and foreign taxes, with further disaggregation required for significant individual jurisdictions. For public business entities, the new standard is effective for annual periods beginning after December 15, 2024. The Company will adopt ASU 2023-09 in its fourth quarter of 2025 for the period ending December 31, 2025, and the adoption will impact only our disclosures with no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Chesapeake Technology International, Corp</w:t>
      </w:r>
    </w:p>
    <w:p>
      <w:pPr>
        <w:spacing w:after="0" w:line="212" w:lineRule="exact"/>
        <w:rPr>
          <w:sz w:val="20"/>
          <w:szCs w:val="20"/>
          <w:color w:val="auto"/>
        </w:rPr>
      </w:pPr>
    </w:p>
    <w:p>
      <w:pPr>
        <w:ind w:right="340" w:firstLine="509"/>
        <w:spacing w:after="0"/>
        <w:rPr>
          <w:sz w:val="20"/>
          <w:szCs w:val="20"/>
          <w:color w:val="auto"/>
        </w:rPr>
      </w:pPr>
      <w:r>
        <w:rPr>
          <w:rFonts w:ascii="Arial" w:cs="Arial" w:eastAsia="Arial" w:hAnsi="Arial"/>
          <w:sz w:val="18"/>
          <w:szCs w:val="18"/>
          <w:color w:val="202124"/>
        </w:rPr>
        <w:t>On June 30, 2025, the Company acquired a 100% ownership interest in Chesapeake Technology International, Corp ("CTI"), a privately owned company, for $89.2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Defense. In connection with this acquisition, the Company recognized $2.2 million of acquisition-related expenses in “Selling, general and administrative expense” in the consolidated statements of income for the three and six months ended June 30, 2025, including legal fees, consulting fees, and other miscellaneous direct expenses associated with the acquisition.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2,877</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28,315</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3,011</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taxes receivable</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3,732</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929</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55,330</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38,700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(17,380)</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(389)</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(10,701)</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(8,523)</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(7,457)</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(132)</w:t>
            </w:r>
          </w:p>
        </w:tc>
      </w:tr>
      <w:tr>
        <w:trPr>
          <w:trHeight w:val="236"/>
        </w:trPr>
        <w:tc>
          <w:tcPr>
            <w:tcW w:w="640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89,205</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24,450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8,150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39"/>
        </w:trPr>
        <w:tc>
          <w:tcPr>
            <w:tcW w:w="756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 to 3</w:t>
            </w:r>
          </w:p>
        </w:tc>
      </w:tr>
    </w:tbl>
    <w:p>
      <w:pPr>
        <w:spacing w:after="0" w:line="36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entire value of goodwill was assigned to the Federal Solutions reporting unit and represents synergies expected to be realized from this business combination. $8.5 million of goodwill is deductible for tax purposes.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both"/>
        <w:ind w:right="160" w:firstLine="509"/>
        <w:spacing w:after="0" w:line="253" w:lineRule="auto"/>
        <w:rPr>
          <w:sz w:val="20"/>
          <w:szCs w:val="20"/>
          <w:color w:val="auto"/>
        </w:rPr>
      </w:pPr>
      <w:r>
        <w:rPr>
          <w:rFonts w:ascii="Arial" w:cs="Arial" w:eastAsia="Arial" w:hAnsi="Arial"/>
          <w:sz w:val="18"/>
          <w:szCs w:val="18"/>
          <w:color w:val="auto"/>
        </w:rPr>
        <w:t>CTI contributed a single day of revenue during Q2 2025. The Company will disclose the revenue contribution from CTI in subsequent filings.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CTI acquisition had been consummated as of the beginning of fiscal year 2024 (in thousands)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1,604,441</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1,687,840</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3,194,243</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3,236,306</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70,109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151,627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130,485</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TRS Group, Inc.</w:t>
      </w:r>
    </w:p>
    <w:p>
      <w:pPr>
        <w:spacing w:after="0" w:line="21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202124"/>
        </w:rPr>
        <w:t>On January 31, 2025, the Company acquired a 100% ownership interest in TRS Group, Inc. ("TRS") a privately owned company, for $36.6 million from cash on hand (of which $3.8 million will be paid in July 2026). TRS is an environmental solutions firm that specializes in remediation technology. In connection with this acquisition, the Company recognized $0.4 million and $0.5 million of acquisition-related expenses in “Selling, general and administrative expense” in the consolidated statements of income for the three and six months ended June 30, 2025, including legal fees, consulting fees, and other miscellaneous direct expenses associated with the acquisition.</w:t>
      </w:r>
    </w:p>
    <w:p>
      <w:pPr>
        <w:spacing w:after="0" w:line="379"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98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5,832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458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56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36,566</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560" w:type="dxa"/>
            <w:vAlign w:val="bottom"/>
            <w:vMerge w:val="restart"/>
          </w:tcPr>
          <w:p>
            <w:pPr>
              <w:jc w:val="right"/>
              <w:ind w:right="333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5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118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8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874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technologies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8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jc w:val="both"/>
        <w:ind w:right="440" w:firstLine="509"/>
        <w:spacing w:after="0" w:line="275" w:lineRule="auto"/>
        <w:rPr>
          <w:sz w:val="20"/>
          <w:szCs w:val="20"/>
          <w:color w:val="auto"/>
        </w:rPr>
      </w:pPr>
      <w:r>
        <w:rPr>
          <w:rFonts w:ascii="Arial" w:cs="Arial" w:eastAsia="Arial" w:hAnsi="Arial"/>
          <w:sz w:val="17"/>
          <w:szCs w:val="17"/>
          <w:color w:val="auto"/>
        </w:rPr>
        <w:t>Amortization expense of $0.4 million and $0.7 million related to these intangible assets was recorded for the three and six months ended June 30, 2025, respectively. The entire value of goodwill was assigned to the Critical Infrastructure reporting unit and represents synergies expected to be realized from this business combination. The entire value of goodwill is deductible for tax purposes.</w:t>
      </w:r>
    </w:p>
    <w:p>
      <w:pPr>
        <w:spacing w:after="0" w:line="152"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amount of revenue generated by TRS and included within consolidated revenue is $7.4 million and $11.5 million for the three and six months ended June 30, 2025, respectively.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TRS acquisition had been consummated as of the beginning of fiscal year 2024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1,584,323</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1,677,018</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3,140,706</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3,219,532</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80,078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152,799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134,688</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BCC Engineering, LLC</w:t>
      </w:r>
    </w:p>
    <w:p>
      <w:pPr>
        <w:spacing w:after="0" w:line="21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202124"/>
        </w:rPr>
        <w:t>On November 1, 2024, the Company acquired a 100% ownership interest in BCC Engineering, LLC ("BCC") a privately owned company, for $233.5 million from cash on hand.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In connection with this acquisition, the Company recognized $4.2 million of acquisition-related expenses in “Selling, general and administrative expense” in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340"/>
        <w:spacing w:after="0" w:line="271" w:lineRule="auto"/>
        <w:rPr>
          <w:sz w:val="20"/>
          <w:szCs w:val="20"/>
          <w:color w:val="auto"/>
        </w:rPr>
      </w:pPr>
      <w:r>
        <w:rPr>
          <w:rFonts w:ascii="Arial" w:cs="Arial" w:eastAsia="Arial" w:hAnsi="Arial"/>
          <w:sz w:val="18"/>
          <w:szCs w:val="18"/>
          <w:color w:val="202124"/>
        </w:rPr>
        <w:t>consolidated statements of income for the year ended December 31, 2024, including legal fees, consulting fees, and other miscellaneous direct expenses associated with the acquisition.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24,142</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16,649</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9,438</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175,680</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32,400</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(8,668)</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(7,296)</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(4,446)</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(2,090)</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(2,299)</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(7,462)</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(1,183)</w:t>
            </w:r>
          </w:p>
        </w:tc>
      </w:tr>
      <w:tr>
        <w:trPr>
          <w:trHeight w:val="236"/>
        </w:trPr>
        <w:tc>
          <w:tcPr>
            <w:tcW w:w="916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233,517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4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23,400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Non-compete agreements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jc w:val="both"/>
        <w:ind w:right="440" w:firstLine="509"/>
        <w:spacing w:after="0" w:line="253" w:lineRule="auto"/>
        <w:rPr>
          <w:sz w:val="20"/>
          <w:szCs w:val="20"/>
          <w:color w:val="auto"/>
        </w:rPr>
      </w:pPr>
      <w:r>
        <w:rPr>
          <w:rFonts w:ascii="Arial" w:cs="Arial" w:eastAsia="Arial" w:hAnsi="Arial"/>
          <w:sz w:val="18"/>
          <w:szCs w:val="18"/>
          <w:color w:val="auto"/>
        </w:rPr>
        <w:t>Amortization expense of $2.2 million and $4.4 million related to these intangible assets was recorded for the three and six months ended June 30, 2025, respectively. The entire value of goodwill was assigned to the Critical Infrastructure reporting unit and represents synergies expected to be realized from this business combination. $45.8 million of goodwill is deductible for tax purposes.</w:t>
      </w:r>
    </w:p>
    <w:p>
      <w:pPr>
        <w:spacing w:after="0" w:line="169"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amount of revenue generated by BCC and included within consolidated revenue is $34.5 million and $63.4 million for the three and six months ended June 30, 2025, respectively. The Company has determined that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presentation of net income from the date of acquisition is impracticable due to the integration of general corporate functions upon acquisition.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BCC acquisition had been consummated as of the beginning of fiscal year 2023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1,584,323</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1,697,357</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3,138,683</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3,256,684</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71,470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78,410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154,238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129,738</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BlackSignal Technologies, LLC.</w:t>
      </w:r>
    </w:p>
    <w:p>
      <w:pPr>
        <w:spacing w:after="0" w:line="2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from cash on hand.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In connection with this acquisition, the Company recognized $2.5 million of acquisition-related expenses in “Selling, general and administrative expense” in the consolidated statements of income for the year ended December 31, 2024, including legal fees, consulting fees, and other miscellaneous direct expenses associated with the acquisition.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98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4,917</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5,171</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116,849</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97,600</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(951)</w:t>
            </w: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(4,999)</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(19,647)</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(4,570)</w:t>
            </w:r>
          </w:p>
        </w:tc>
      </w:tr>
      <w:tr>
        <w:trPr>
          <w:trHeight w:val="236"/>
        </w:trPr>
        <w:tc>
          <w:tcPr>
            <w:tcW w:w="458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5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203,738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633"/>
        </w:trPr>
        <w:tc>
          <w:tcPr>
            <w:tcW w:w="4580" w:type="dxa"/>
            <w:vAlign w:val="bottom"/>
          </w:tcPr>
          <w:p>
            <w:pPr>
              <w:spacing w:after="0"/>
              <w:rPr>
                <w:sz w:val="24"/>
                <w:szCs w:val="24"/>
                <w:color w:val="auto"/>
              </w:rPr>
            </w:pPr>
          </w:p>
        </w:tc>
        <w:tc>
          <w:tcPr>
            <w:tcW w:w="4580" w:type="dxa"/>
            <w:vAlign w:val="bottom"/>
          </w:tcPr>
          <w:p>
            <w:pPr>
              <w:jc w:val="right"/>
              <w:ind w:right="335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45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4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11,700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Amortization expense of $3.2 million and $6.4 million related to these intangible assets was recorded for the three and six months ended June 30, 2025, respectively. The entire value of goodwill was assigned to the Federal Solutions reporting unit and represents synergies expected to be realized from this business combination. $17.1 million of goodwill is deductible for tax purposes.</w:t>
      </w:r>
    </w:p>
    <w:p>
      <w:pPr>
        <w:spacing w:after="0" w:line="16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amount of revenue generated by BlackSignal and included within consolidated revenue is $16.7 million and $29.8 million for the three and six months June 30, 2025, respectively.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BlackSignal acquisition had been consummated as of the beginning of fiscal year 2023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1,584,323</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1,684,129</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3,138,683</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3,231,871</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71,076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77,041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153,818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128,423</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379" w:lineRule="exact"/>
        <w:rPr>
          <w:sz w:val="20"/>
          <w:szCs w:val="20"/>
          <w:color w:val="auto"/>
        </w:rPr>
      </w:pPr>
    </w:p>
    <w:p>
      <w:pPr>
        <w:ind w:left="640" w:right="826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6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5"/>
          </w:tcPr>
          <w:p>
            <w:pPr>
              <w:ind w:left="520"/>
              <w:spacing w:after="0"/>
              <w:rPr>
                <w:sz w:val="20"/>
                <w:szCs w:val="20"/>
                <w:color w:val="auto"/>
              </w:rPr>
            </w:pPr>
            <w:r>
              <w:rPr>
                <w:rFonts w:ascii="Arial" w:cs="Arial" w:eastAsia="Arial" w:hAnsi="Arial"/>
                <w:sz w:val="14"/>
                <w:szCs w:val="14"/>
                <w:b w:val="1"/>
                <w:bCs w:val="1"/>
                <w:color w:val="auto"/>
              </w:rPr>
              <w:t>For the Six Months Ended</w:t>
            </w:r>
          </w:p>
        </w:tc>
      </w:tr>
      <w:tr>
        <w:trPr>
          <w:trHeight w:val="155"/>
        </w:trPr>
        <w:tc>
          <w:tcPr>
            <w:tcW w:w="41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June 30, 2025</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532,135</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707,235</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1,106,708</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1,338,454</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372,945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347,275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720,035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697,926</w:t>
            </w:r>
          </w:p>
        </w:tc>
        <w:tc>
          <w:tcPr>
            <w:tcW w:w="100" w:type="dxa"/>
            <w:vAlign w:val="bottom"/>
          </w:tcPr>
          <w:p>
            <w:pPr>
              <w:spacing w:after="0"/>
              <w:rPr>
                <w:sz w:val="17"/>
                <w:szCs w:val="17"/>
                <w:color w:val="auto"/>
              </w:rPr>
            </w:pPr>
          </w:p>
        </w:tc>
      </w:tr>
      <w:tr>
        <w:trPr>
          <w:trHeight w:val="203"/>
        </w:trPr>
        <w:tc>
          <w:tcPr>
            <w:tcW w:w="4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679,243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615,957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1,311,940</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1,169,763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18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1,584,323</w:t>
            </w:r>
          </w:p>
        </w:tc>
        <w:tc>
          <w:tcPr>
            <w:tcW w:w="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1,670,467</w:t>
            </w:r>
          </w:p>
        </w:tc>
        <w:tc>
          <w:tcPr>
            <w:tcW w:w="4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3,138,683</w:t>
            </w:r>
          </w:p>
        </w:tc>
        <w:tc>
          <w:tcPr>
            <w:tcW w:w="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3,206,143</w:t>
            </w:r>
          </w:p>
        </w:tc>
        <w:tc>
          <w:tcPr>
            <w:tcW w:w="100" w:type="dxa"/>
            <w:vAlign w:val="bottom"/>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-144780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-144780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-144780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June 30, 2025 and December 31, 2024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assets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836,366</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741,504</w:t>
            </w:r>
          </w:p>
        </w:tc>
        <w:tc>
          <w:tcPr>
            <w:tcW w:w="5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94,862</w:t>
            </w:r>
          </w:p>
        </w:tc>
        <w:tc>
          <w:tcPr>
            <w:tcW w:w="19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12.8%</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320,295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289,799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30,496</w:t>
            </w:r>
          </w:p>
        </w:tc>
        <w:tc>
          <w:tcPr>
            <w:tcW w:w="220" w:type="dxa"/>
            <w:vAlign w:val="bottom"/>
          </w:tcPr>
          <w:p>
            <w:pPr>
              <w:spacing w:after="0"/>
              <w:rPr>
                <w:sz w:val="17"/>
                <w:szCs w:val="17"/>
                <w:color w:val="auto"/>
              </w:rPr>
            </w:pP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w:t>
            </w:r>
          </w:p>
        </w:tc>
      </w:tr>
      <w:tr>
        <w:trPr>
          <w:trHeight w:val="20"/>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contract assets (liabilities) (1)</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516,071</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451,705</w:t>
            </w:r>
          </w:p>
        </w:tc>
        <w:tc>
          <w:tcPr>
            <w:tcW w:w="5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64,366</w:t>
            </w:r>
          </w:p>
        </w:tc>
        <w:tc>
          <w:tcPr>
            <w:tcW w:w="19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14.2%</w:t>
            </w: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12" w:lineRule="exact"/>
        <w:rPr>
          <w:sz w:val="20"/>
          <w:szCs w:val="20"/>
          <w:color w:val="auto"/>
        </w:rPr>
      </w:pPr>
    </w:p>
    <w:p>
      <w:pPr>
        <w:ind w:left="660" w:right="140" w:hanging="652"/>
        <w:spacing w:after="0" w:line="26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contract retentions included in net contract assets (liabilities) were $103.6 million as of June 30, 2025, of which $48.1 million are not expected to be paid in the next 12 months. Total contract retentions included in net contract assets (liabilities) were $89.8 million as of December 31, 2024. Contract assets at June 30, 2025 and December 31, 2024 include $70.3 million and $70.7 million, respectively, related to net claim recoveries. For the three and six months ended June 30, 2025 and June 30, 2024, there were no material losses recognized related to the collectability of claims, unapproved change orders, and requests for equitable adjustment.</w:t>
      </w:r>
    </w:p>
    <w:p>
      <w:pPr>
        <w:spacing w:after="0" w:line="16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During the three months ended June 30, 2025 and June 30, 2024, the Company recognized revenue of $47.8 million and $30.9 million, respectively, and $165.1 million and $169.2 million during the six months ended June 30, 2025 and June 30, 2024, respectively that was included in the corresponding contract liability balances at December 31, 2024 and December 31, 2023, respectively.</w:t>
      </w:r>
    </w:p>
    <w:p>
      <w:pPr>
        <w:spacing w:after="0" w:line="196" w:lineRule="exact"/>
        <w:rPr>
          <w:sz w:val="20"/>
          <w:szCs w:val="20"/>
          <w:color w:val="auto"/>
        </w:rPr>
      </w:pPr>
    </w:p>
    <w:p>
      <w:pPr>
        <w:ind w:right="160" w:firstLine="698"/>
        <w:spacing w:after="0" w:line="287" w:lineRule="auto"/>
        <w:rPr>
          <w:sz w:val="20"/>
          <w:szCs w:val="20"/>
          <w:color w:val="auto"/>
        </w:rPr>
      </w:pPr>
      <w:r>
        <w:rPr>
          <w:rFonts w:ascii="Arial" w:cs="Arial" w:eastAsia="Arial" w:hAnsi="Arial"/>
          <w:sz w:val="18"/>
          <w:szCs w:val="18"/>
          <w:color w:val="auto"/>
        </w:rPr>
        <w:t>There was no significant impairment of contract assets recognized during the three and six months ended June 30, 2025 and June 30, 2024.</w:t>
      </w:r>
    </w:p>
    <w:p>
      <w:pPr>
        <w:spacing w:after="0" w:line="126" w:lineRule="exact"/>
        <w:rPr>
          <w:sz w:val="20"/>
          <w:szCs w:val="20"/>
          <w:color w:val="auto"/>
        </w:rPr>
      </w:pPr>
    </w:p>
    <w:p>
      <w:pPr>
        <w:ind w:right="120" w:firstLine="644"/>
        <w:spacing w:after="0" w:line="247" w:lineRule="auto"/>
        <w:rPr>
          <w:sz w:val="20"/>
          <w:szCs w:val="20"/>
          <w:color w:val="auto"/>
        </w:rPr>
      </w:pPr>
      <w:r>
        <w:rPr>
          <w:rFonts w:ascii="Arial" w:cs="Arial" w:eastAsia="Arial" w:hAnsi="Arial"/>
          <w:sz w:val="18"/>
          <w:szCs w:val="18"/>
          <w:color w:val="auto"/>
        </w:rPr>
        <w:t>The following table presents certain financial statement impacts from revisions in estimates, such as changes in estimated claims or incentives, related to performance obligations partially satisfied in previous periods that individually had an impact of $5 million or more on revenue. In certain instances, revisions in estimates on a contract do not exceed the threshold in any particular quarter but exceed the threshold on a year-to-date basis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3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June 30, 2025</w:t>
            </w:r>
          </w:p>
        </w:tc>
        <w:tc>
          <w:tcPr>
            <w:tcW w:w="2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June 30, 2024</w:t>
            </w:r>
          </w:p>
        </w:tc>
        <w:tc>
          <w:tcPr>
            <w:tcW w:w="20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June 30, 2025</w:t>
            </w: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3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 impact, net</w:t>
            </w:r>
          </w:p>
        </w:tc>
        <w:tc>
          <w:tcPr>
            <w:tcW w:w="2240" w:type="dxa"/>
            <w:vAlign w:val="bottom"/>
            <w:gridSpan w:val="2"/>
            <w:shd w:val="clear" w:color="auto" w:fill="CFF0FC"/>
          </w:tcPr>
          <w:p>
            <w:pPr>
              <w:jc w:val="right"/>
              <w:ind w:right="1228"/>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228"/>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108"/>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(8,939)</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(8,939)</w:t>
            </w:r>
          </w:p>
        </w:tc>
      </w:tr>
      <w:tr>
        <w:trPr>
          <w:trHeight w:val="203"/>
        </w:trPr>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8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(6,677)</w:t>
            </w:r>
          </w:p>
        </w:tc>
      </w:tr>
      <w:tr>
        <w:trPr>
          <w:trHeight w:val="239"/>
        </w:trPr>
        <w:tc>
          <w:tcPr>
            <w:tcW w:w="334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224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r>
    </w:tbl>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June 30, 2025 and December 31, 2024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717,761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712,046</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453,966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392,236</w:t>
            </w:r>
          </w:p>
        </w:tc>
        <w:tc>
          <w:tcPr>
            <w:tcW w:w="120" w:type="dxa"/>
            <w:vAlign w:val="bottom"/>
          </w:tcPr>
          <w:p>
            <w:pPr>
              <w:spacing w:after="0"/>
              <w:rPr>
                <w:sz w:val="17"/>
                <w:szCs w:val="17"/>
                <w:color w:val="auto"/>
              </w:rPr>
            </w:pPr>
          </w:p>
        </w:tc>
      </w:tr>
      <w:tr>
        <w:trPr>
          <w:trHeight w:val="196"/>
        </w:trPr>
        <w:tc>
          <w:tcPr>
            <w:tcW w:w="73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1,171,727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1,104,282</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(3,886)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(3,886)</w:t>
            </w:r>
          </w:p>
        </w:tc>
      </w:tr>
      <w:tr>
        <w:trPr>
          <w:trHeight w:val="236"/>
        </w:trPr>
        <w:tc>
          <w:tcPr>
            <w:tcW w:w="730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1,167,841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1,100,396</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16% and 23% as of June 30, 2025 and December 31, 2024, respectively.</w:t>
      </w:r>
    </w:p>
    <w:p>
      <w:pPr>
        <w:spacing w:after="0" w:line="174" w:lineRule="exact"/>
        <w:rPr>
          <w:sz w:val="20"/>
          <w:szCs w:val="20"/>
          <w:color w:val="auto"/>
        </w:rPr>
      </w:pPr>
    </w:p>
    <w:p>
      <w:pPr>
        <w:ind w:right="38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The Company’s remaining unsatisfied performance obligations (“RUPO”) as of June 30, 2025 represent a measure of the total dollar value of work to be performed on contracts awarded and in-progress. The Company had $7.0 billion in RUPO as of June 30, 2025.</w:t>
      </w:r>
    </w:p>
    <w:p>
      <w:pPr>
        <w:spacing w:after="0" w:line="154"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June 30, 2025 over the following periods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Period RUPO Will Be Satisfied</w:t>
            </w: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Within One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39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Federal Solutions</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1,949,998</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291,682</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147,114</w:t>
            </w:r>
          </w:p>
        </w:tc>
      </w:tr>
      <w:tr>
        <w:trPr>
          <w:trHeight w:val="203"/>
        </w:trPr>
        <w:tc>
          <w:tcPr>
            <w:tcW w:w="3940" w:type="dxa"/>
            <w:vAlign w:val="bottom"/>
          </w:tcPr>
          <w:p>
            <w:pPr>
              <w:ind w:left="60"/>
              <w:spacing w:after="0" w:line="202" w:lineRule="exact"/>
              <w:rPr>
                <w:sz w:val="20"/>
                <w:szCs w:val="20"/>
                <w:color w:val="auto"/>
              </w:rPr>
            </w:pPr>
            <w:r>
              <w:rPr>
                <w:rFonts w:ascii="Arial" w:cs="Arial" w:eastAsia="Arial" w:hAnsi="Arial"/>
                <w:sz w:val="18"/>
                <w:szCs w:val="18"/>
                <w:color w:val="auto"/>
              </w:rPr>
              <w:t>Critical Infrastructure</w:t>
            </w:r>
          </w:p>
        </w:tc>
        <w:tc>
          <w:tcPr>
            <w:tcW w:w="1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2,344,370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1,311,150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930,779</w:t>
            </w:r>
          </w:p>
        </w:tc>
        <w:tc>
          <w:tcPr>
            <w:tcW w:w="100" w:type="dxa"/>
            <w:vAlign w:val="bottom"/>
          </w:tcPr>
          <w:p>
            <w:pPr>
              <w:spacing w:after="0"/>
              <w:rPr>
                <w:sz w:val="17"/>
                <w:szCs w:val="17"/>
                <w:color w:val="auto"/>
              </w:rPr>
            </w:pPr>
          </w:p>
        </w:tc>
      </w:tr>
      <w:tr>
        <w:trPr>
          <w:trHeight w:val="216"/>
        </w:trPr>
        <w:tc>
          <w:tcPr>
            <w:tcW w:w="39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4,294,368</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1,602,832</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1,077,893</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140" w:firstLine="690"/>
        <w:spacing w:after="0" w:line="261"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eleven years, some of which may include options to extend the leases for up to five years, and some of which may include options to terminate the leases after the third year.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and six months ended June 30, 2025 and June 30, 2024 are as follows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4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June 30, 2025</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June 30, 2025</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46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16,709</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16,885</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33,264</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33,562</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120"/>
              <w:spacing w:after="0" w:line="202" w:lineRule="exact"/>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6,667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7,432</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Amortization of right-of-use assets</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1,612</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120"/>
              <w:spacing w:after="0" w:line="202" w:lineRule="exact"/>
              <w:rPr>
                <w:sz w:val="20"/>
                <w:szCs w:val="20"/>
                <w:color w:val="auto"/>
              </w:rPr>
            </w:pPr>
            <w:r>
              <w:rPr>
                <w:rFonts w:ascii="Arial" w:cs="Arial" w:eastAsia="Arial" w:hAnsi="Arial"/>
                <w:sz w:val="18"/>
                <w:szCs w:val="18"/>
                <w:color w:val="auto"/>
              </w:rPr>
              <w:t>Interest on lease liabilities</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Sublease income</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(898)</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(1,119)</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(1,822)</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(2,238)</w:t>
            </w:r>
          </w:p>
        </w:tc>
      </w:tr>
      <w:tr>
        <w:trPr>
          <w:trHeight w:val="196"/>
        </w:trPr>
        <w:tc>
          <w:tcPr>
            <w:tcW w:w="46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lease cost</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20,402</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20,485</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40,647</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40,566</w:t>
            </w:r>
          </w:p>
        </w:tc>
        <w:tc>
          <w:tcPr>
            <w:tcW w:w="100" w:type="dxa"/>
            <w:vAlign w:val="bottom"/>
            <w:tcBorders>
              <w:top w:val="single" w:sz="8" w:color="CFF0FC"/>
            </w:tcBorders>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-161925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-161925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-161925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June 30, 2025 and June 30, 2024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gridSpan w:val="6"/>
          </w:tcPr>
          <w:p>
            <w:pPr>
              <w:ind w:left="94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58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June 30, 2024</w:t>
            </w:r>
          </w:p>
        </w:tc>
        <w:tc>
          <w:tcPr>
            <w:tcW w:w="660" w:type="dxa"/>
            <w:vAlign w:val="bottom"/>
            <w:gridSpan w:val="2"/>
          </w:tcPr>
          <w:p>
            <w:pPr>
              <w:spacing w:after="0"/>
              <w:rPr>
                <w:sz w:val="13"/>
                <w:szCs w:val="13"/>
                <w:color w:val="auto"/>
              </w:rPr>
            </w:pPr>
          </w:p>
        </w:tc>
      </w:tr>
      <w:tr>
        <w:trPr>
          <w:trHeight w:val="196"/>
        </w:trPr>
        <w:tc>
          <w:tcPr>
            <w:tcW w:w="580" w:type="dxa"/>
            <w:vAlign w:val="bottom"/>
          </w:tcPr>
          <w:p>
            <w:pPr>
              <w:spacing w:after="0"/>
              <w:rPr>
                <w:sz w:val="17"/>
                <w:szCs w:val="17"/>
                <w:color w:val="auto"/>
              </w:rPr>
            </w:pPr>
          </w:p>
        </w:tc>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cash flows for operating leases</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33,068</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34,189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261</w:t>
            </w:r>
          </w:p>
        </w:tc>
        <w:tc>
          <w:tcPr>
            <w:tcW w:w="22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2,210</w:t>
            </w: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1,536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10,174</w:t>
            </w:r>
          </w:p>
        </w:tc>
        <w:tc>
          <w:tcPr>
            <w:tcW w:w="22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6,400</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1,591</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2,506</w:t>
            </w:r>
          </w:p>
        </w:tc>
        <w:tc>
          <w:tcPr>
            <w:tcW w:w="560" w:type="dxa"/>
            <w:vAlign w:val="bottom"/>
          </w:tcPr>
          <w:p>
            <w:pPr>
              <w:spacing w:after="0"/>
              <w:rPr>
                <w:sz w:val="17"/>
                <w:szCs w:val="17"/>
                <w:color w:val="auto"/>
              </w:rPr>
            </w:pPr>
          </w:p>
        </w:tc>
      </w:tr>
      <w:tr>
        <w:trPr>
          <w:trHeight w:val="652"/>
        </w:trPr>
        <w:tc>
          <w:tcPr>
            <w:tcW w:w="6780" w:type="dxa"/>
            <w:vAlign w:val="bottom"/>
            <w:gridSpan w:val="2"/>
          </w:tcPr>
          <w:p>
            <w:pPr>
              <w:jc w:val="right"/>
              <w:ind w:right="97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8" w:name="page19"/>
    <w:bookmarkEnd w:id="18"/>
    <w:p>
      <w:pPr>
        <w:ind w:right="200"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June 30, 2025 and December 31, 2024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139,985</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153,048</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52,763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52,725</w:t>
            </w:r>
          </w:p>
        </w:tc>
        <w:tc>
          <w:tcPr>
            <w:tcW w:w="18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Long-term</w:t>
            </w:r>
          </w:p>
        </w:tc>
        <w:tc>
          <w:tcPr>
            <w:tcW w:w="1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100,218</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114,386</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Total operating lease liabilities</w:t>
            </w:r>
          </w:p>
        </w:tc>
        <w:tc>
          <w:tcPr>
            <w:tcW w:w="15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152,981</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167,111</w:t>
            </w:r>
          </w:p>
        </w:tc>
        <w:tc>
          <w:tcPr>
            <w:tcW w:w="18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10,073</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9,864</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4,058</w:t>
            </w:r>
          </w:p>
        </w:tc>
        <w:tc>
          <w:tcPr>
            <w:tcW w:w="2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3,645</w:t>
            </w: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6,336</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6,441</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3.7 Years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3.9 Years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 Years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 Years</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-1576705</wp:posOffset>
            </wp:positionV>
            <wp:extent cx="1111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-1576705</wp:posOffset>
            </wp:positionV>
            <wp:extent cx="1117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2025, the Company has no operating leases that have not yet commenced.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2025 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4"/>
                <w:szCs w:val="14"/>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 (remaining)</w:t>
            </w:r>
          </w:p>
        </w:tc>
        <w:tc>
          <w:tcPr>
            <w:tcW w:w="19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31,445</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2,310</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46,267</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4,142</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32,651</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2,880</w:t>
            </w:r>
          </w:p>
        </w:tc>
      </w:tr>
      <w:tr>
        <w:trPr>
          <w:trHeight w:val="202"/>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27,008</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1,539</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20,108</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196</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8,983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166,462</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11,067</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(13,481)</w:t>
            </w:r>
          </w:p>
        </w:tc>
        <w:tc>
          <w:tcPr>
            <w:tcW w:w="2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(673)</w:t>
            </w: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152,981</w:t>
            </w: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10,394</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2024 to June 30, 2025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4"/>
                <w:szCs w:val="14"/>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1,806,564</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52,516</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1,859,080</w:t>
            </w:r>
          </w:p>
        </w:tc>
        <w:tc>
          <w:tcPr>
            <w:tcW w:w="100" w:type="dxa"/>
            <w:vAlign w:val="bottom"/>
            <w:shd w:val="clear" w:color="auto" w:fill="CFF0FC"/>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276,116</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24,012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302,859</w:t>
            </w:r>
          </w:p>
        </w:tc>
        <w:tc>
          <w:tcPr>
            <w:tcW w:w="100" w:type="dxa"/>
            <w:vAlign w:val="bottom"/>
          </w:tcPr>
          <w:p>
            <w:pPr>
              <w:spacing w:after="0"/>
              <w:rPr>
                <w:sz w:val="17"/>
                <w:szCs w:val="17"/>
                <w:color w:val="auto"/>
              </w:rPr>
            </w:pPr>
          </w:p>
        </w:tc>
      </w:tr>
      <w:tr>
        <w:trPr>
          <w:trHeight w:val="21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2,082,680</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76,528</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2,731</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2,161,939</w:t>
            </w:r>
          </w:p>
        </w:tc>
        <w:tc>
          <w:tcPr>
            <w:tcW w:w="100" w:type="dxa"/>
            <w:vAlign w:val="bottom"/>
            <w:shd w:val="clear" w:color="auto" w:fill="CFF0FC"/>
          </w:tcPr>
          <w:p>
            <w:pPr>
              <w:spacing w:after="0"/>
              <w:rPr>
                <w:sz w:val="18"/>
                <w:szCs w:val="18"/>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June 30, 2025 and concluded there has not been an impairment.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June 30, 2025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3"/>
                <w:szCs w:val="13"/>
                <w:b w:val="1"/>
                <w:bCs w:val="1"/>
                <w:color w:val="auto"/>
                <w:w w:val="99"/>
              </w:rPr>
              <w:t>December 31, 2024</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11"/>
        </w:trPr>
        <w:tc>
          <w:tcPr>
            <w:tcW w:w="386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Gross</w:t>
            </w:r>
          </w:p>
        </w:tc>
        <w:tc>
          <w:tcPr>
            <w:tcW w:w="200" w:type="dxa"/>
            <w:vAlign w:val="bottom"/>
          </w:tcPr>
          <w:p>
            <w:pPr>
              <w:spacing w:after="0"/>
              <w:rPr>
                <w:sz w:val="9"/>
                <w:szCs w:val="9"/>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9"/>
                <w:szCs w:val="9"/>
                <w:color w:val="auto"/>
              </w:rPr>
            </w:pPr>
          </w:p>
        </w:tc>
        <w:tc>
          <w:tcPr>
            <w:tcW w:w="8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08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Amortization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Backlog</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152,150</w:t>
            </w:r>
          </w:p>
        </w:tc>
        <w:tc>
          <w:tcPr>
            <w:tcW w:w="118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(66,721)</w:t>
            </w:r>
          </w:p>
        </w:tc>
        <w:tc>
          <w:tcPr>
            <w:tcW w:w="9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85,429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142,100</w:t>
            </w:r>
          </w:p>
        </w:tc>
        <w:tc>
          <w:tcPr>
            <w:tcW w:w="1240" w:type="dxa"/>
            <w:vAlign w:val="bottom"/>
            <w:gridSpan w:val="3"/>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(51,322)</w:t>
            </w:r>
          </w:p>
        </w:tc>
        <w:tc>
          <w:tcPr>
            <w:tcW w:w="8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90,778</w:t>
            </w:r>
          </w:p>
        </w:tc>
        <w:tc>
          <w:tcPr>
            <w:tcW w:w="1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Customer relationships</w:t>
            </w:r>
          </w:p>
        </w:tc>
        <w:tc>
          <w:tcPr>
            <w:tcW w:w="840" w:type="dxa"/>
            <w:vAlign w:val="bottom"/>
          </w:tcPr>
          <w:p>
            <w:pPr>
              <w:jc w:val="right"/>
              <w:spacing w:after="0"/>
              <w:rPr>
                <w:sz w:val="20"/>
                <w:szCs w:val="20"/>
                <w:color w:val="auto"/>
              </w:rPr>
            </w:pPr>
            <w:r>
              <w:rPr>
                <w:rFonts w:ascii="Arial" w:cs="Arial" w:eastAsia="Arial" w:hAnsi="Arial"/>
                <w:sz w:val="14"/>
                <w:szCs w:val="14"/>
                <w:color w:val="auto"/>
              </w:rPr>
              <w:t>397,380</w:t>
            </w: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(152,558)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244,822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372,930</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(139,568)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233,362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Developed technology</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31,800</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(10,266)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21,534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23,200</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(7,458)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15,742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Trade name</w:t>
            </w:r>
          </w:p>
        </w:tc>
        <w:tc>
          <w:tcPr>
            <w:tcW w:w="840" w:type="dxa"/>
            <w:vAlign w:val="bottom"/>
          </w:tcPr>
          <w:p>
            <w:pPr>
              <w:jc w:val="right"/>
              <w:spacing w:after="0"/>
              <w:rPr>
                <w:sz w:val="20"/>
                <w:szCs w:val="20"/>
                <w:color w:val="auto"/>
              </w:rPr>
            </w:pPr>
            <w:r>
              <w:rPr>
                <w:rFonts w:ascii="Arial" w:cs="Arial" w:eastAsia="Arial" w:hAnsi="Arial"/>
                <w:sz w:val="14"/>
                <w:szCs w:val="14"/>
                <w:color w:val="auto"/>
              </w:rPr>
              <w:t>1,800</w:t>
            </w: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(1,238)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1,500</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(367)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1,133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Non-compete agreements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8,300</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(2,568)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5,732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8,300</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(1,203)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7,097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In process research and development</w:t>
            </w:r>
          </w:p>
        </w:tc>
        <w:tc>
          <w:tcPr>
            <w:tcW w:w="840" w:type="dxa"/>
            <w:vAlign w:val="bottom"/>
          </w:tcPr>
          <w:p>
            <w:pPr>
              <w:jc w:val="right"/>
              <w:spacing w:after="0"/>
              <w:rPr>
                <w:sz w:val="20"/>
                <w:szCs w:val="20"/>
                <w:color w:val="auto"/>
              </w:rPr>
            </w:pPr>
            <w:r>
              <w:rPr>
                <w:rFonts w:ascii="Arial" w:cs="Arial" w:eastAsia="Arial" w:hAnsi="Arial"/>
                <w:sz w:val="14"/>
                <w:szCs w:val="14"/>
                <w:color w:val="auto"/>
              </w:rPr>
              <w:t>1,800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intangibles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1,424</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gridSpan w:val="2"/>
            <w:shd w:val="clear" w:color="auto" w:fill="CFF0FC"/>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3860" w:type="dxa"/>
            <w:vAlign w:val="bottom"/>
          </w:tcPr>
          <w:p>
            <w:pPr>
              <w:ind w:left="80"/>
              <w:spacing w:after="0" w:line="155" w:lineRule="exact"/>
              <w:rPr>
                <w:sz w:val="20"/>
                <w:szCs w:val="20"/>
                <w:color w:val="auto"/>
              </w:rPr>
            </w:pPr>
            <w:r>
              <w:rPr>
                <w:rFonts w:ascii="Arial" w:cs="Arial" w:eastAsia="Arial" w:hAnsi="Arial"/>
                <w:sz w:val="14"/>
                <w:szCs w:val="14"/>
                <w:color w:val="auto"/>
              </w:rPr>
              <w:t>Total intangible assets</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   594,654</w:t>
            </w:r>
          </w:p>
        </w:tc>
        <w:tc>
          <w:tcPr>
            <w:tcW w:w="200" w:type="dxa"/>
            <w:vAlign w:val="bottom"/>
          </w:tcPr>
          <w:p>
            <w:pPr>
              <w:spacing w:after="0"/>
              <w:rPr>
                <w:sz w:val="13"/>
                <w:szCs w:val="13"/>
                <w:color w:val="auto"/>
              </w:rPr>
            </w:pPr>
          </w:p>
        </w:tc>
        <w:tc>
          <w:tcPr>
            <w:tcW w:w="9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  (233,351)</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361,303</w:t>
            </w: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549,855</w:t>
            </w:r>
          </w:p>
        </w:tc>
        <w:tc>
          <w:tcPr>
            <w:tcW w:w="124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   (199,918)</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349,937</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-119380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-119380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-119380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-119380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260" w:firstLine="636"/>
        <w:spacing w:after="0" w:line="253" w:lineRule="auto"/>
        <w:rPr>
          <w:sz w:val="20"/>
          <w:szCs w:val="20"/>
          <w:color w:val="auto"/>
        </w:rPr>
      </w:pPr>
      <w:r>
        <w:rPr>
          <w:rFonts w:ascii="Arial" w:cs="Arial" w:eastAsia="Arial" w:hAnsi="Arial"/>
          <w:sz w:val="18"/>
          <w:szCs w:val="18"/>
          <w:color w:val="auto"/>
        </w:rPr>
        <w:t>The aggregate amortization expense of intangible assets for the three months ended June 30, 2025 and June 30, 2024 was $17.1 million and $13.8 million, respectively and for the six months ended June 30, 2025 and June 30, 2024 was $33.4 million and $27.5 million, respectively.</w:t>
      </w:r>
    </w:p>
    <w:p>
      <w:pPr>
        <w:spacing w:after="0" w:line="169" w:lineRule="exact"/>
        <w:rPr>
          <w:sz w:val="20"/>
          <w:szCs w:val="20"/>
          <w:color w:val="auto"/>
        </w:rPr>
      </w:pPr>
    </w:p>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4"/>
                <w:szCs w:val="14"/>
                <w:color w:val="auto"/>
              </w:rPr>
            </w:pPr>
          </w:p>
        </w:tc>
      </w:tr>
      <w:tr>
        <w:trPr>
          <w:trHeight w:val="196"/>
        </w:trPr>
        <w:tc>
          <w:tcPr>
            <w:tcW w:w="8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36,038</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300" w:type="dxa"/>
            <w:vAlign w:val="bottom"/>
          </w:tcPr>
          <w:p>
            <w:pPr>
              <w:spacing w:after="0"/>
              <w:rPr>
                <w:sz w:val="17"/>
                <w:szCs w:val="17"/>
                <w:color w:val="auto"/>
              </w:rPr>
            </w:pPr>
          </w:p>
        </w:tc>
        <w:tc>
          <w:tcPr>
            <w:tcW w:w="1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64,583</w:t>
            </w:r>
          </w:p>
        </w:tc>
      </w:tr>
      <w:tr>
        <w:trPr>
          <w:trHeight w:val="202"/>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57,769</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300" w:type="dxa"/>
            <w:vAlign w:val="bottom"/>
          </w:tcPr>
          <w:p>
            <w:pPr>
              <w:spacing w:after="0"/>
              <w:rPr>
                <w:sz w:val="17"/>
                <w:szCs w:val="17"/>
                <w:color w:val="auto"/>
              </w:rPr>
            </w:pPr>
          </w:p>
        </w:tc>
        <w:tc>
          <w:tcPr>
            <w:tcW w:w="1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41,788</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26,009</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133,316</w:t>
            </w:r>
          </w:p>
        </w:tc>
        <w:tc>
          <w:tcPr>
            <w:tcW w:w="10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359,503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June 30, 2025 and December 31, 2024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Buildings and leasehold improvements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112,007</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103,945</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87,534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84,720</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systems and equipment</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179,887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172,437</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Construction equipment</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16,484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6,463</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28,215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30,342</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424,127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397,907</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(301,390)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(286,332)</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ind w:left="160"/>
              <w:spacing w:after="0" w:line="196"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122,737</w:t>
            </w:r>
          </w:p>
        </w:tc>
        <w:tc>
          <w:tcPr>
            <w:tcW w:w="16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111,575</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-427990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220" w:firstLine="636"/>
        <w:spacing w:after="0" w:line="271" w:lineRule="auto"/>
        <w:rPr>
          <w:sz w:val="20"/>
          <w:szCs w:val="20"/>
          <w:color w:val="auto"/>
        </w:rPr>
      </w:pPr>
      <w:r>
        <w:rPr>
          <w:rFonts w:ascii="Arial" w:cs="Arial" w:eastAsia="Arial" w:hAnsi="Arial"/>
          <w:sz w:val="18"/>
          <w:szCs w:val="18"/>
          <w:color w:val="auto"/>
        </w:rPr>
        <w:t>Depreciation expense for the three months ended June 30, 2025 and June 30, 2024 was $9.5 million and $9.2 million, respectively and for the six months ended June 30, 2025 and June 30, 2024 was $18.6 million and $18.7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2024</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2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ind w:left="80"/>
              <w:spacing w:after="0"/>
              <w:rPr>
                <w:sz w:val="20"/>
                <w:szCs w:val="20"/>
                <w:color w:val="auto"/>
              </w:rPr>
            </w:pPr>
            <w:r>
              <w:rPr>
                <w:rFonts w:ascii="Arial" w:cs="Arial" w:eastAsia="Arial" w:hAnsi="Arial"/>
                <w:sz w:val="18"/>
                <w:szCs w:val="18"/>
                <w:color w:val="auto"/>
              </w:rPr>
              <w:t>Delayed draw term loan due 2025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r>
      <w:tr>
        <w:trPr>
          <w:trHeight w:val="203"/>
        </w:trPr>
        <w:tc>
          <w:tcPr>
            <w:tcW w:w="61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Convertible senior notes due 2025</w:t>
            </w:r>
          </w:p>
        </w:tc>
        <w:tc>
          <w:tcPr>
            <w:tcW w:w="2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84,919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113,405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Total Short-Term Debt</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463,405</w:t>
            </w:r>
          </w:p>
        </w:tc>
        <w:tc>
          <w:tcPr>
            <w:tcW w:w="100" w:type="dxa"/>
            <w:vAlign w:val="bottom"/>
          </w:tcPr>
          <w:p>
            <w:pPr>
              <w:spacing w:after="0"/>
              <w:rPr>
                <w:sz w:val="18"/>
                <w:szCs w:val="18"/>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Convertible senior notes due 2029</w:t>
            </w:r>
          </w:p>
        </w:tc>
        <w:tc>
          <w:tcPr>
            <w:tcW w:w="2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Term loan due 2028</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(14,416)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(15,904)</w:t>
            </w:r>
          </w:p>
        </w:tc>
      </w:tr>
      <w:tr>
        <w:trPr>
          <w:trHeight w:val="196"/>
        </w:trPr>
        <w:tc>
          <w:tcPr>
            <w:tcW w:w="6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1,235,584</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784,096</w:t>
            </w:r>
          </w:p>
        </w:tc>
        <w:tc>
          <w:tcPr>
            <w:tcW w:w="100" w:type="dxa"/>
            <w:vAlign w:val="bottom"/>
            <w:tcBorders>
              <w:top w:val="single" w:sz="8" w:color="CFF0FC"/>
            </w:tcBorders>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1,320,503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1,247,501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-1113790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-1113790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-299720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9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June 2025, the Company terminated its $350 million Delayed Draw Term Loan due 2025 and its $650 million Revolving Credit Facility due 2026 and replaced these credit facilities with a $450 million Term Loan due 2028 and a $750 million Revolving Credit Facility due 2030. Proceeds from the Term Loan were used to payoff the outstanding balance of the Delayed Draw Term Loan.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Term Loan</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June 2025, the Company entered into a $450 million unsecured Term Loan with an increase option of up to $150 million. Proceeds of the Term Loan Agreement may be used (a) to pay off in full, or partially payoff, the Company’s existing Convertible Senior Notes, (b) to prepay revolving loans outstanding under the Revolving Credit Agreement (as defined below), or (c) for working capital, capital expenditures and other lawful corporate purposes. The Company incurred $0.9 million of debt issuance costs in connection with the Term Loan. These costs are presented as a direct deduction from long-term debt on the face of the balance sheet. Interest expense related to the Term Loan for the three and six months ended June 30, 2025 was $1.7 million. The amortization of debt issuance costs and interest expense is recorded in “Interest expense” on the consolidated statements of income. As of June 30, 2025 there was $450.0 million outstanding under the Term Loan.</w:t>
      </w:r>
    </w:p>
    <w:p>
      <w:pPr>
        <w:spacing w:after="0" w:line="180"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Term Loan has a three-year maturity and permits the Company to borrow in U.S. dollars. The Term Loan does not require any amortization payments by the Company. Depending on the Company’s consolidated leverage ratio (or debt rating after such time as the Company has such rating), borrowings under the Term Loan Agreement will bear interest at either an adjusted Term SOFR benchmark rate plus a margin between 0.875% and 1.500% or a base rate plus a margin of between 0% and 0.500% and will initially bear interest at the middle of this range. Amounts outstanding under the Term Loan Agreement may be prepaid at the option of the Company without premium or penalty, subject to customary breakage fees in connection with the prepayment of benchmark rate loans. The interest rate on June 30, 2025 was 5.5%.</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 (Terminated June 2025)</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Proceeds of the 2022 Delayed Draw Term Loan Agreement may be used (a) to pay off in</w:t>
      </w:r>
    </w:p>
    <w:p>
      <w:pPr>
        <w:spacing w:after="0" w:line="234" w:lineRule="auto"/>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5"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incurred $0.9 million of</w:t>
      </w:r>
    </w:p>
    <w:p>
      <w:pPr>
        <w:spacing w:after="0" w:line="235" w:lineRule="auto"/>
        <w:rPr>
          <w:sz w:val="20"/>
          <w:szCs w:val="20"/>
          <w:color w:val="auto"/>
        </w:rPr>
      </w:pPr>
      <w:r>
        <w:rPr>
          <w:rFonts w:ascii="Arial" w:cs="Arial" w:eastAsia="Arial" w:hAnsi="Arial"/>
          <w:sz w:val="18"/>
          <w:szCs w:val="18"/>
          <w:color w:val="auto"/>
        </w:rPr>
        <w:t>debt issuance costs in connection with the delayed draw term loan. These costs are presented as a direct deduction from long-term debt on</w:t>
      </w:r>
    </w:p>
    <w:p>
      <w:pPr>
        <w:spacing w:after="0" w:line="235" w:lineRule="auto"/>
        <w:rPr>
          <w:sz w:val="20"/>
          <w:szCs w:val="20"/>
          <w:color w:val="auto"/>
        </w:rPr>
      </w:pPr>
      <w:r>
        <w:rPr>
          <w:rFonts w:ascii="Arial" w:cs="Arial" w:eastAsia="Arial" w:hAnsi="Arial"/>
          <w:sz w:val="18"/>
          <w:szCs w:val="18"/>
          <w:color w:val="auto"/>
        </w:rPr>
        <w:t>the face of the balance sheet. Interest expense related to the Delayed Draw Term Loan for the three months ended June 30, 2025 and June</w:t>
      </w:r>
    </w:p>
    <w:p>
      <w:pPr>
        <w:spacing w:after="0" w:line="235" w:lineRule="auto"/>
        <w:rPr>
          <w:sz w:val="20"/>
          <w:szCs w:val="20"/>
          <w:color w:val="auto"/>
        </w:rPr>
      </w:pPr>
      <w:r>
        <w:rPr>
          <w:rFonts w:ascii="Arial" w:cs="Arial" w:eastAsia="Arial" w:hAnsi="Arial"/>
          <w:sz w:val="18"/>
          <w:szCs w:val="18"/>
          <w:color w:val="auto"/>
        </w:rPr>
        <w:t>30, 2024 were $3.3 million and $5.8 million, respectively and $8.2 million and $11.8 million for the six months ended June 30, 2025 and June</w:t>
      </w:r>
    </w:p>
    <w:p>
      <w:pPr>
        <w:spacing w:after="0" w:line="234" w:lineRule="auto"/>
        <w:rPr>
          <w:sz w:val="20"/>
          <w:szCs w:val="20"/>
          <w:color w:val="auto"/>
        </w:rPr>
      </w:pPr>
      <w:r>
        <w:rPr>
          <w:rFonts w:ascii="Arial" w:cs="Arial" w:eastAsia="Arial" w:hAnsi="Arial"/>
          <w:sz w:val="18"/>
          <w:szCs w:val="18"/>
          <w:color w:val="auto"/>
        </w:rPr>
        <w:t>30, 2024, respectively. The amortization of debt issuance costs and interest expense is recorded in “Interest expense” on the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 At December 31, 2024, there was $350.0 million outstanding under the Delayed Draw Term Loan.</w:t>
      </w:r>
    </w:p>
    <w:p>
      <w:pPr>
        <w:spacing w:after="0" w:line="19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June 30, 2025 and December 31, 2024 were 5.6% and 5.6%, respectively.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02" w:lineRule="exact"/>
        <w:rPr>
          <w:sz w:val="20"/>
          <w:szCs w:val="20"/>
          <w:color w:val="auto"/>
        </w:rPr>
      </w:pPr>
    </w:p>
    <w:p>
      <w:pPr>
        <w:ind w:right="8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1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400" w:right="10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4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60" w:firstLine="644"/>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3" w:lineRule="exact"/>
        <w:rPr>
          <w:sz w:val="20"/>
          <w:szCs w:val="20"/>
          <w:color w:val="auto"/>
        </w:rPr>
      </w:pPr>
    </w:p>
    <w:p>
      <w:pPr>
        <w:ind w:right="180" w:firstLine="644"/>
        <w:spacing w:after="0" w:line="271"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520"/>
        <w:spacing w:after="0" w:line="271" w:lineRule="auto"/>
        <w:rPr>
          <w:sz w:val="20"/>
          <w:szCs w:val="20"/>
          <w:color w:val="auto"/>
        </w:rPr>
      </w:pPr>
      <w:r>
        <w:rPr>
          <w:rFonts w:ascii="Arial" w:cs="Arial" w:eastAsia="Arial" w:hAnsi="Arial"/>
          <w:sz w:val="18"/>
          <w:szCs w:val="18"/>
          <w:color w:val="auto"/>
        </w:rPr>
        <w:t>cash at a price equal to 100% of the principal amount of the Convertible Senior Notes to be repurchased, plus any accrued and unpaid interest to, but excluding, the fundamental change repurchase date.</w:t>
      </w:r>
    </w:p>
    <w:p>
      <w:pPr>
        <w:spacing w:after="0" w:line="154"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The Company recognized interest expense of $0.07 million and $0.1 million for the three months ended June 30, 2025 and June 30, 2024, respectively and $0.1 million and $3.7 million for the six months ended June 30, 2025 and June 30, 2024, respectively. The net, carrying value of the Convertible Senior Notes were $84.9 million and $113.4 million as of June 30, 2025 and December 31, 2024, respectively.</w:t>
      </w:r>
    </w:p>
    <w:p>
      <w:pPr>
        <w:spacing w:after="0" w:line="174" w:lineRule="exact"/>
        <w:rPr>
          <w:sz w:val="20"/>
          <w:szCs w:val="20"/>
          <w:color w:val="auto"/>
        </w:rPr>
      </w:pPr>
    </w:p>
    <w:p>
      <w:pPr>
        <w:ind w:right="340" w:firstLine="644"/>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both"/>
        <w:ind w:right="30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6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6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8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20" w:firstLine="644"/>
        <w:spacing w:after="0" w:line="245"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each year beginning on September 1, 2024, and will mature on March 1, 2029, unless earlier repurchased, redeemed or converted.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jc w:val="both"/>
        <w:ind w:left="1400" w:right="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The Company recognized interest expense with respect to the Convertible Senior Notes Due 2029 of $6.3 million and $6.3 million for the three months ended June 30, 2025 and June 30, 2024, respectively and $12.6 million and $8.7 million for the six months ended June 30, 2025 and June 30, 2024, respectively. As of June 30, 2025 and December 31, 2024, the net, carrying value of the Convertible Senior Notes Due 2029 were $786.4 million and $784.3 million, respectively.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16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48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firstLine="644"/>
        <w:spacing w:after="0" w:line="239" w:lineRule="auto"/>
        <w:rPr>
          <w:sz w:val="20"/>
          <w:szCs w:val="20"/>
          <w:color w:val="auto"/>
        </w:rPr>
      </w:pPr>
      <w:r>
        <w:rPr>
          <w:rFonts w:ascii="Arial" w:cs="Arial" w:eastAsia="Arial" w:hAnsi="Arial"/>
          <w:sz w:val="18"/>
          <w:szCs w:val="18"/>
          <w:color w:val="auto"/>
        </w:rPr>
        <w:t>In connection with the issuance of the Convertible Senior Notes due 2029, we used $391.8 million of the net proceeds to purchase approximately $228.1 million aggregate principal amount of 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 from the note hedge counterparties for the partial termination of the existing bond hedge relating to the Convertible Senior Notes due 2025 repurchased, net of our obligations to the counterparties in 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89" w:lineRule="exact"/>
        <w:rPr>
          <w:sz w:val="20"/>
          <w:szCs w:val="20"/>
          <w:color w:val="auto"/>
        </w:rPr>
      </w:pPr>
    </w:p>
    <w:p>
      <w:pPr>
        <w:ind w:right="240" w:firstLine="644"/>
        <w:spacing w:after="0" w:line="228" w:lineRule="auto"/>
        <w:rPr>
          <w:sz w:val="20"/>
          <w:szCs w:val="20"/>
          <w:color w:val="auto"/>
        </w:rPr>
      </w:pPr>
      <w:r>
        <w:rPr>
          <w:rFonts w:ascii="Arial" w:cs="Arial" w:eastAsia="Arial" w:hAnsi="Arial"/>
          <w:sz w:val="18"/>
          <w:szCs w:val="18"/>
          <w:color w:val="auto"/>
        </w:rPr>
        <w:t>The partial repurchase, during the six months ended June 30, 2024, resulted in a $18.4 million repurchase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a $3.2 million charge to interest expense for the acceleration of the amortization of debt issuance costs associated with the 0.25% Convertible Senior Notes due 2025. The tax effect of the repurchase loss, excluding the interest expense, was recognized as a discrete event during the six months ended June 30, 2024 with a tax benefit of $4.3 million recognized in the income statement.</w:t>
      </w:r>
    </w:p>
    <w:p>
      <w:pPr>
        <w:spacing w:after="0" w:line="187" w:lineRule="exact"/>
        <w:rPr>
          <w:sz w:val="20"/>
          <w:szCs w:val="20"/>
          <w:color w:val="auto"/>
        </w:rPr>
      </w:pPr>
    </w:p>
    <w:p>
      <w:pPr>
        <w:ind w:right="60" w:firstLine="644"/>
        <w:spacing w:after="0" w:line="23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 Please see "Note 2—Basis of Presentation and Principles of Consolidation—Adoption of Accounting Standards Update 2024-04" for a discussion of the Company's adoption of ASU 2024-04. The extinguishment charge and related income tax impacts were reversed from the Company's consolidated financial statements and recorded as a convertible debt repurchase loss as described above.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 due 2030</w:t>
      </w:r>
    </w:p>
    <w:p>
      <w:pPr>
        <w:spacing w:after="0" w:line="210" w:lineRule="exact"/>
        <w:rPr>
          <w:sz w:val="20"/>
          <w:szCs w:val="20"/>
          <w:color w:val="auto"/>
        </w:rPr>
      </w:pPr>
    </w:p>
    <w:p>
      <w:pPr>
        <w:ind w:right="100" w:firstLine="644"/>
        <w:spacing w:after="0" w:line="239" w:lineRule="auto"/>
        <w:rPr>
          <w:sz w:val="20"/>
          <w:szCs w:val="20"/>
          <w:color w:val="auto"/>
        </w:rPr>
      </w:pPr>
      <w:r>
        <w:rPr>
          <w:rFonts w:ascii="Arial" w:cs="Arial" w:eastAsia="Arial" w:hAnsi="Arial"/>
          <w:sz w:val="18"/>
          <w:szCs w:val="18"/>
          <w:color w:val="auto"/>
        </w:rPr>
        <w:t>In June 2025, the Company entered into a $750 million unsecured revolving credit facility (the “Credit Agreement”). The Company incurred $1.7 million of costs in connection with this Credit Agreement. The 2025 Credit Agreement replaced an existing Credit Agreement dated as of June 25, 2021. Under the new agreement, the Company’s revolving credit facility was increased from $650 million to $750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2025 Facility. The borrowings under the Credit Agreement bear interest at either the Term SOFR rate plus a margin between 1.0% and 1.625% or a base rate (as defined in the Credit Agreement) plus a margin of between 0% and 0.625%. The rate on June 30, 2025 was 5.6%. Letters of credit commitments outstanding under this agreement aggregated to $41.8 million at June 30, 2025 which reduced borrowing limits available to the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20" w:firstLine="644"/>
        <w:spacing w:after="0" w:line="253" w:lineRule="auto"/>
        <w:rPr>
          <w:sz w:val="20"/>
          <w:szCs w:val="20"/>
          <w:color w:val="auto"/>
        </w:rPr>
      </w:pPr>
      <w:r>
        <w:rPr>
          <w:rFonts w:ascii="Arial" w:cs="Arial" w:eastAsia="Arial" w:hAnsi="Arial"/>
          <w:sz w:val="18"/>
          <w:szCs w:val="18"/>
          <w:color w:val="auto"/>
        </w:rPr>
        <w:t>Interest expense related to the Credit Agreements (due 2030 and due 2026) was $0.2 million and $0.2 million for the three months ended June 30, 2025 and June 30, 2024, respectively and $0.5 million and $0.5 million for the six months ended June 30, 2025 and June 30, 2024.</w:t>
      </w:r>
    </w:p>
    <w:p>
      <w:pPr>
        <w:spacing w:after="0" w:line="169"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June 30, 2025.</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 due 2026 (Terminated June 2025)</w:t>
      </w:r>
    </w:p>
    <w:p>
      <w:pPr>
        <w:spacing w:after="0" w:line="210" w:lineRule="exact"/>
        <w:rPr>
          <w:sz w:val="20"/>
          <w:szCs w:val="20"/>
          <w:color w:val="auto"/>
        </w:rPr>
      </w:pPr>
    </w:p>
    <w:p>
      <w:pPr>
        <w:ind w:right="140" w:firstLine="644"/>
        <w:spacing w:after="0" w:line="24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spacing w:after="0" w:line="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June 30, 2025 and December 31, 2024 were 5.7% and 5.7%, respectively. Borrowings under this Credit Agreement are guaranteed by certain Company operating subsidiaries. Letters of credit commitments outstanding under this agreement aggregated to $43.0 million at December 31, 2024, respectively, which reduced borrowing limits available to the Company.</w:t>
      </w:r>
    </w:p>
    <w:p>
      <w:pPr>
        <w:spacing w:after="0" w:line="172"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December 31, 2024.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6"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$353.8 million and $328.4 million at June 30, 2025 and December 31, 2024, respectively.</w:t>
      </w:r>
    </w:p>
    <w:p>
      <w:pPr>
        <w:spacing w:after="0" w:line="2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On July 4th 2025, President Trump signed into law the “One Big Beautiful Bill Act” (“OBBBA” or “the Bill”) which includes a broad range of tax reform provisions affecting businesses, including extending and modifying certain domestic and international provisions of the 2017 Tax Cuts &amp; Jobs Act. Due to the timing of the Bill enactment, the impact of the Bill is not reflected in the Company’s Q2 income tax provision. Based on the Company’s review, this new Act will not result in a material change to the Company’s income tax provision for 2025 other than potentially reclassifying current tax liabilities and non-current deferred tax assets. The Company is still analyzing the provisions of the OBBBA and expects to update its Q3 2025 tax provision accordingly.</w:t>
      </w:r>
    </w:p>
    <w:p>
      <w:pPr>
        <w:spacing w:after="0" w:line="17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Company’s effective tax rate was 21.0% and 21.7% for the three months ended June 30, 2025 and June 30, 2024, respectively. The decrease in the effective tax rate was due primarily to a change in the jurisdictional mix of earnings, an increase in untaxed income attributed to noncontrolling interests, and an increase in general business tax credits resulting from a 2024 tax return to provision adjustment, partially offset by decreases in the foreign-derived intangible income (FDII) deduction and in the deduction for equity-based compensation. The Company’s effective tax rate was 19.8% and 20.9% for the six months ended June 30, 2025 and June 30, 2024, respectively. The change in effective tax rate was primarily due to a change in the jurisdictional mix of earnings and an increase in untaxed income attributed to noncontrolling interests, partially offset by decreases in the FDII deduction and the windfall equity-based compensation deduction. The difference between the effective tax rate and the statutory U.S. Federal income tax rate of 21% for the three months ended June 30, 2025 primarily relates to the tax benefit related to untaxed income attributed to noncontrolling interests, and general business tax credits including tax credits from a tax return to provision adjustment, offset by state income taxes and foreign withholding taxes. The difference between the effective tax rate and the statutory U.S. Federal income tax rate of 21% for the six months ended June 30, 2025 primarily relates to a discrete windfall tax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220"/>
        <w:spacing w:after="0" w:line="271" w:lineRule="auto"/>
        <w:rPr>
          <w:sz w:val="20"/>
          <w:szCs w:val="20"/>
          <w:color w:val="auto"/>
        </w:rPr>
      </w:pPr>
      <w:r>
        <w:rPr>
          <w:rFonts w:ascii="Arial" w:cs="Arial" w:eastAsia="Arial" w:hAnsi="Arial"/>
          <w:sz w:val="18"/>
          <w:szCs w:val="18"/>
          <w:color w:val="auto"/>
        </w:rPr>
        <w:t>benefit from equity-based compensation, and the tax benefit related to untaxed income attributed to noncontrolling interests, partially offset by state income taxes and foreign withholding taxes.</w:t>
      </w:r>
    </w:p>
    <w:p>
      <w:pPr>
        <w:spacing w:after="0" w:line="154"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As of June 30, 2025, the Company’s deferred tax assets were subject to a valuation allowance of $46.4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As of June 30, 2025 and December 31, 2024, the liability for income taxes associated with uncertain tax positions was $30.1 million and $29.5 million, respectively.</w:t>
      </w:r>
    </w:p>
    <w:p>
      <w:pPr>
        <w:spacing w:after="0" w:line="15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w:t>
      </w:r>
    </w:p>
    <w:p>
      <w:pPr>
        <w:spacing w:after="0" w:line="174"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Different non-US tax jurisdictions continue to enact legislation to adopt components of the Organization for Economic Co-operation and Development (OECD) Base Erosion and Profit Shifting (BEPS) Pillar Two Model Rules. The Company has evaluated the impact of the enacted legislation to date and has determined there is no material impact to the Company’s income tax provision. We are continuing to evaluate the potential impact on future periods of the Pillar Two Framework, pending enactment of legislation by individual countries.</w:t>
      </w:r>
    </w:p>
    <w:p>
      <w:pPr>
        <w:spacing w:after="0" w:line="28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7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100" w:firstLine="674"/>
        <w:spacing w:after="0" w:line="253" w:lineRule="auto"/>
        <w:rPr>
          <w:sz w:val="20"/>
          <w:szCs w:val="20"/>
          <w:color w:val="auto"/>
        </w:rPr>
      </w:pPr>
      <w:r>
        <w:rPr>
          <w:rFonts w:ascii="Arial" w:cs="Arial" w:eastAsia="Arial" w:hAnsi="Arial"/>
          <w:sz w:val="17"/>
          <w:szCs w:val="17"/>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On March 19, 2025, the court granted Parsons’ motion for summary judgment. The Relator filed a notice of appeal on April 9, 2025. Parsons’ appellate brief will be filed on or before August 27, 2025.</w:t>
      </w:r>
    </w:p>
    <w:p>
      <w:pPr>
        <w:spacing w:after="0" w:line="177" w:lineRule="exact"/>
        <w:rPr>
          <w:sz w:val="20"/>
          <w:szCs w:val="20"/>
          <w:color w:val="auto"/>
        </w:rPr>
      </w:pPr>
    </w:p>
    <w:p>
      <w:pPr>
        <w:ind w:right="20" w:firstLine="674"/>
        <w:spacing w:after="0" w:line="253" w:lineRule="auto"/>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160"/>
        <w:spacing w:after="0" w:line="242" w:lineRule="auto"/>
        <w:rPr>
          <w:sz w:val="20"/>
          <w:szCs w:val="20"/>
          <w:color w:val="auto"/>
        </w:rPr>
      </w:pPr>
      <w:r>
        <w:rPr>
          <w:rFonts w:ascii="Arial" w:cs="Arial" w:eastAsia="Arial" w:hAnsi="Arial"/>
          <w:sz w:val="18"/>
          <w:szCs w:val="18"/>
          <w:color w:val="auto"/>
        </w:rPr>
        <w:t>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 Alstom’s appellate brief was filed on April 18, 2025. Parsons’ appellate brief will be filed on or before August 18, 2025.</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firstLine="674"/>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2014 have been closed, and years thereafter remain open. All of Parsons operating systems have been deemed adequate by the U.S. federal government.</w:t>
      </w:r>
    </w:p>
    <w:p>
      <w:pPr>
        <w:spacing w:after="0" w:line="180" w:lineRule="exact"/>
        <w:rPr>
          <w:sz w:val="20"/>
          <w:szCs w:val="20"/>
          <w:color w:val="auto"/>
        </w:rPr>
      </w:pPr>
    </w:p>
    <w:p>
      <w:pPr>
        <w:ind w:right="420" w:firstLine="67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300" w:firstLine="636"/>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June 30, 2025 and December 31, 2024, total shares of the</w:t>
      </w:r>
    </w:p>
    <w:p>
      <w:pPr>
        <w:spacing w:after="0" w:line="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Company’s common stock outstanding were 106,795,525 and 106,775,350, respectively, of which 52,106,092 and 54,117,903, respectively, were held by the ESOP.</w:t>
      </w:r>
    </w:p>
    <w:p>
      <w:pPr>
        <w:spacing w:after="0" w:line="149" w:lineRule="exact"/>
        <w:rPr>
          <w:sz w:val="20"/>
          <w:szCs w:val="20"/>
          <w:color w:val="auto"/>
        </w:rPr>
      </w:pPr>
    </w:p>
    <w:p>
      <w:pPr>
        <w:ind w:right="38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40" w:firstLine="644"/>
        <w:spacing w:after="0" w:line="262" w:lineRule="auto"/>
        <w:rPr>
          <w:sz w:val="20"/>
          <w:szCs w:val="20"/>
          <w:color w:val="auto"/>
        </w:rPr>
      </w:pPr>
      <w:r>
        <w:rPr>
          <w:rFonts w:ascii="Arial" w:cs="Arial" w:eastAsia="Arial" w:hAnsi="Arial"/>
          <w:sz w:val="18"/>
          <w:szCs w:val="18"/>
          <w:color w:val="auto"/>
        </w:rPr>
        <w:t>Total ESOP contribution expense was $17.6 million and $15.1 million for the three months ended June 30, 2025 and June 30, 2024, respectively and $35.4 million and $30.1 million for the six months ended June 30, 2025 and June 30, 2024, respectively. The expense is recorded in “Direct costs of contracts” and “Selling, general and administrative expense” in the consolidated statements of income. The fiscal 2025 ESOP contribution has not yet been made. The amount is currently included in accrued liabilities.</w:t>
      </w:r>
    </w:p>
    <w:p>
      <w:pPr>
        <w:spacing w:after="0" w:line="2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of the VIE and the obligation to absorb losses or the right to receive benefits that could potentially be significant to the VIE.</w:t>
      </w:r>
    </w:p>
    <w:p>
      <w:pPr>
        <w:spacing w:after="0" w:line="212" w:lineRule="exact"/>
        <w:rPr>
          <w:sz w:val="20"/>
          <w:szCs w:val="20"/>
          <w:color w:val="auto"/>
        </w:rPr>
      </w:pPr>
    </w:p>
    <w:p>
      <w:pPr>
        <w:ind w:right="30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14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$183.3 million and $176.7 million at June 30, 2025 and December 31, 2024.</w:t>
      </w:r>
    </w:p>
    <w:p>
      <w:pPr>
        <w:spacing w:after="0" w:line="139" w:lineRule="exact"/>
        <w:rPr>
          <w:sz w:val="20"/>
          <w:szCs w:val="20"/>
          <w:color w:val="auto"/>
        </w:rPr>
      </w:pPr>
    </w:p>
    <w:p>
      <w:pPr>
        <w:jc w:val="both"/>
        <w:ind w:right="32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30, 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511,620</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519,450</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7,245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9,841</w:t>
            </w:r>
          </w:p>
        </w:tc>
      </w:tr>
      <w:tr>
        <w:trPr>
          <w:trHeight w:val="20"/>
        </w:trPr>
        <w:tc>
          <w:tcPr>
            <w:tcW w:w="6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518,865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529,291</w:t>
            </w:r>
          </w:p>
        </w:tc>
      </w:tr>
      <w:tr>
        <w:trPr>
          <w:trHeight w:val="20"/>
        </w:trPr>
        <w:tc>
          <w:tcPr>
            <w:tcW w:w="6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306,812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296,774</w:t>
            </w:r>
          </w:p>
        </w:tc>
      </w:tr>
      <w:tr>
        <w:trPr>
          <w:trHeight w:val="20"/>
        </w:trPr>
        <w:tc>
          <w:tcPr>
            <w:tcW w:w="6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3,063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2,203</w:t>
            </w:r>
          </w:p>
        </w:tc>
      </w:tr>
      <w:tr>
        <w:trPr>
          <w:trHeight w:val="20"/>
        </w:trPr>
        <w:tc>
          <w:tcPr>
            <w:tcW w:w="6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309,875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298,977</w:t>
            </w: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208,990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230,314</w:t>
            </w:r>
          </w:p>
        </w:tc>
        <w:tc>
          <w:tcPr>
            <w:tcW w:w="1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-574040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-574040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-299720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-299720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5"/>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ind w:left="70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4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2025</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June 30, 2025</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3"/>
                <w:szCs w:val="13"/>
                <w:color w:val="auto"/>
              </w:rPr>
            </w:pP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192,795</w:t>
            </w:r>
          </w:p>
        </w:tc>
        <w:tc>
          <w:tcPr>
            <w:tcW w:w="38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186,731</w:t>
            </w:r>
          </w:p>
        </w:tc>
        <w:tc>
          <w:tcPr>
            <w:tcW w:w="40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389,153</w:t>
            </w:r>
          </w:p>
        </w:tc>
        <w:tc>
          <w:tcPr>
            <w:tcW w:w="38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388,748</w:t>
            </w:r>
          </w:p>
        </w:tc>
        <w:tc>
          <w:tcPr>
            <w:tcW w:w="1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162,068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163,287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334,435</w:t>
            </w:r>
          </w:p>
        </w:tc>
        <w:tc>
          <w:tcPr>
            <w:tcW w:w="120" w:type="dxa"/>
            <w:vAlign w:val="bottom"/>
          </w:tcPr>
          <w:p>
            <w:pPr>
              <w:spacing w:after="0"/>
              <w:rPr>
                <w:sz w:val="17"/>
                <w:szCs w:val="17"/>
                <w:color w:val="auto"/>
              </w:rPr>
            </w:pPr>
          </w:p>
        </w:tc>
      </w:tr>
      <w:tr>
        <w:trPr>
          <w:trHeight w:val="21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30,727</w:t>
            </w:r>
          </w:p>
        </w:tc>
        <w:tc>
          <w:tcPr>
            <w:tcW w:w="38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23,444</w:t>
            </w:r>
          </w:p>
        </w:tc>
        <w:tc>
          <w:tcPr>
            <w:tcW w:w="40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62,131</w:t>
            </w:r>
          </w:p>
        </w:tc>
        <w:tc>
          <w:tcPr>
            <w:tcW w:w="38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54,313</w:t>
            </w:r>
          </w:p>
        </w:tc>
        <w:tc>
          <w:tcPr>
            <w:tcW w:w="120" w:type="dxa"/>
            <w:vAlign w:val="bottom"/>
            <w:shd w:val="clear" w:color="auto" w:fill="CFF0FC"/>
          </w:tcPr>
          <w:p>
            <w:pPr>
              <w:spacing w:after="0"/>
              <w:rPr>
                <w:sz w:val="18"/>
                <w:szCs w:val="18"/>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15,259</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11,547</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30,843</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26,790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-176530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-159385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-176530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-176530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8"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2025</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9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1,449,797</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1,477,950</w:t>
            </w:r>
          </w:p>
        </w:tc>
        <w:tc>
          <w:tcPr>
            <w:tcW w:w="12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447,725</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431,476</w:t>
            </w:r>
          </w:p>
        </w:tc>
        <w:tc>
          <w:tcPr>
            <w:tcW w:w="120" w:type="dxa"/>
            <w:vAlign w:val="bottom"/>
          </w:tcPr>
          <w:p>
            <w:pPr>
              <w:spacing w:after="0"/>
              <w:rPr>
                <w:sz w:val="17"/>
                <w:szCs w:val="17"/>
                <w:color w:val="auto"/>
              </w:rPr>
            </w:pPr>
          </w:p>
        </w:tc>
      </w:tr>
      <w:tr>
        <w:trPr>
          <w:trHeight w:val="196"/>
        </w:trPr>
        <w:tc>
          <w:tcPr>
            <w:tcW w:w="554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1,897,522</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1,909,426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960,893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947,072</w:t>
            </w:r>
          </w:p>
        </w:tc>
        <w:tc>
          <w:tcPr>
            <w:tcW w:w="120" w:type="dxa"/>
            <w:vAlign w:val="bottom"/>
          </w:tcPr>
          <w:p>
            <w:pPr>
              <w:spacing w:after="0"/>
              <w:rPr>
                <w:sz w:val="17"/>
                <w:szCs w:val="17"/>
                <w:color w:val="auto"/>
              </w:rPr>
            </w:pPr>
          </w:p>
        </w:tc>
      </w:tr>
      <w:tr>
        <w:trPr>
          <w:trHeight w:val="203"/>
        </w:trPr>
        <w:tc>
          <w:tcPr>
            <w:tcW w:w="55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500,834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469,808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1,461,727</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1,416,880</w:t>
            </w:r>
          </w:p>
        </w:tc>
        <w:tc>
          <w:tcPr>
            <w:tcW w:w="120" w:type="dxa"/>
            <w:vAlign w:val="bottom"/>
          </w:tcPr>
          <w:p>
            <w:pPr>
              <w:spacing w:after="0"/>
              <w:rPr>
                <w:sz w:val="17"/>
                <w:szCs w:val="17"/>
                <w:color w:val="auto"/>
              </w:rPr>
            </w:pPr>
          </w:p>
        </w:tc>
      </w:tr>
      <w:tr>
        <w:trPr>
          <w:trHeight w:val="216"/>
        </w:trPr>
        <w:tc>
          <w:tcPr>
            <w:tcW w:w="55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9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435,795</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492,546</w:t>
            </w:r>
          </w:p>
        </w:tc>
        <w:tc>
          <w:tcPr>
            <w:tcW w:w="120" w:type="dxa"/>
            <w:vAlign w:val="bottom"/>
            <w:shd w:val="clear" w:color="auto" w:fill="CFF0FC"/>
          </w:tcPr>
          <w:p>
            <w:pPr>
              <w:spacing w:after="0"/>
              <w:rPr>
                <w:sz w:val="18"/>
                <w:szCs w:val="18"/>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28"/>
        </w:trPr>
        <w:tc>
          <w:tcPr>
            <w:tcW w:w="554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150,721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138,759</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-721995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-721995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-455930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-455930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-182245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-165100</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-182245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-165100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7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4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June 30, 2025</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June 30, 2025</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3"/>
                <w:szCs w:val="13"/>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425,795</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544,000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950,351</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1,017,532</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391,301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555,971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912,177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1,032,721</w:t>
            </w:r>
          </w:p>
        </w:tc>
        <w:tc>
          <w:tcPr>
            <w:tcW w:w="120" w:type="dxa"/>
            <w:vAlign w:val="bottom"/>
          </w:tcPr>
          <w:p>
            <w:pPr>
              <w:spacing w:after="0"/>
              <w:rPr>
                <w:sz w:val="17"/>
                <w:szCs w:val="17"/>
                <w:color w:val="auto"/>
              </w:rPr>
            </w:pPr>
          </w:p>
        </w:tc>
      </w:tr>
      <w:tr>
        <w:trPr>
          <w:trHeight w:val="21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34,494</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(11,971)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38,174</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(15,189)</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440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-176530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-159385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-176530</wp:posOffset>
            </wp:positionV>
            <wp:extent cx="59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-159385</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-176530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-159385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-176530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-159385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300" w:firstLine="636"/>
        <w:spacing w:after="0" w:line="253" w:lineRule="auto"/>
        <w:rPr>
          <w:sz w:val="20"/>
          <w:szCs w:val="20"/>
          <w:color w:val="auto"/>
        </w:rPr>
      </w:pPr>
      <w:r>
        <w:rPr>
          <w:rFonts w:ascii="Arial" w:cs="Arial" w:eastAsia="Arial" w:hAnsi="Arial"/>
          <w:sz w:val="18"/>
          <w:szCs w:val="18"/>
          <w:color w:val="auto"/>
        </w:rPr>
        <w:t>The Company had net contributions to its unconsolidated joint ventures for the three months ended June 30, 2025 and June 30, 2024 of $4.0 million and of $29.2 million, respectively and $7.7 million and $49.2 million for the six months ended June 30, 2025 and June 30, 2024, respectively.</w:t>
      </w:r>
    </w:p>
    <w:p>
      <w:pPr>
        <w:spacing w:after="0" w:line="169" w:lineRule="exact"/>
        <w:rPr>
          <w:sz w:val="20"/>
          <w:szCs w:val="20"/>
          <w:color w:val="auto"/>
        </w:rPr>
      </w:pPr>
    </w:p>
    <w:p>
      <w:pPr>
        <w:jc w:val="both"/>
        <w:ind w:right="260" w:firstLine="644"/>
        <w:spacing w:after="0" w:line="253" w:lineRule="auto"/>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 Critical Infrastructure segment. In certain instances, revisions in estimates on unconsolidated joint ventures do not exceed the threshold in any particular quarter but exceed the threshold on a year-to-date basis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9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3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June 30, 2025</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June 30, 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3"/>
                <w:szCs w:val="13"/>
                <w:color w:val="auto"/>
              </w:rPr>
            </w:pPr>
          </w:p>
        </w:tc>
      </w:tr>
      <w:tr>
        <w:trPr>
          <w:trHeight w:val="196"/>
        </w:trPr>
        <w:tc>
          <w:tcPr>
            <w:tcW w:w="3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loss</w:t>
            </w:r>
          </w:p>
        </w:tc>
        <w:tc>
          <w:tcPr>
            <w:tcW w:w="2760" w:type="dxa"/>
            <w:vAlign w:val="bottom"/>
            <w:gridSpan w:val="2"/>
            <w:shd w:val="clear" w:color="auto" w:fill="CFF0FC"/>
          </w:tcPr>
          <w:p>
            <w:pPr>
              <w:jc w:val="right"/>
              <w:ind w:right="988"/>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(22,433)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(12,841)</w:t>
            </w:r>
          </w:p>
        </w:tc>
        <w:tc>
          <w:tcPr>
            <w:tcW w:w="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(30,793)</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(22,433)</w:t>
            </w:r>
          </w:p>
        </w:tc>
        <w:tc>
          <w:tcPr>
            <w:tcW w:w="160" w:type="dxa"/>
            <w:vAlign w:val="bottom"/>
          </w:tcPr>
          <w:p>
            <w:pPr>
              <w:spacing w:after="0"/>
              <w:rPr>
                <w:sz w:val="17"/>
                <w:szCs w:val="17"/>
                <w:color w:val="auto"/>
              </w:rPr>
            </w:pP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(9,608)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(30,793)</w:t>
            </w:r>
          </w:p>
        </w:tc>
      </w:tr>
      <w:tr>
        <w:trPr>
          <w:trHeight w:val="203"/>
        </w:trPr>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 loss per share</w:t>
            </w:r>
          </w:p>
        </w:tc>
        <w:tc>
          <w:tcPr>
            <w:tcW w:w="2760" w:type="dxa"/>
            <w:vAlign w:val="bottom"/>
            <w:gridSpan w:val="2"/>
            <w:shd w:val="clear" w:color="auto" w:fill="CFF0FC"/>
          </w:tcPr>
          <w:p>
            <w:pPr>
              <w:jc w:val="right"/>
              <w:ind w:right="988"/>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(0.20)</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(0.29)</w:t>
            </w:r>
          </w:p>
        </w:tc>
      </w:tr>
      <w:tr>
        <w:trPr>
          <w:trHeight w:val="652"/>
        </w:trPr>
        <w:tc>
          <w:tcPr>
            <w:tcW w:w="3340" w:type="dxa"/>
            <w:vAlign w:val="bottom"/>
          </w:tcPr>
          <w:p>
            <w:pPr>
              <w:spacing w:after="0"/>
              <w:rPr>
                <w:sz w:val="24"/>
                <w:szCs w:val="24"/>
                <w:color w:val="auto"/>
              </w:rPr>
            </w:pPr>
          </w:p>
        </w:tc>
        <w:tc>
          <w:tcPr>
            <w:tcW w:w="2760" w:type="dxa"/>
            <w:vAlign w:val="bottom"/>
            <w:gridSpan w:val="2"/>
          </w:tcPr>
          <w:p>
            <w:pPr>
              <w:jc w:val="right"/>
              <w:ind w:right="308"/>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6"/>
        </w:trPr>
        <w:tc>
          <w:tcPr>
            <w:tcW w:w="3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0" w:name="page31"/>
    <w:bookmarkEnd w:id="30"/>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June 30, 2025 and June 30, 2024 were $42.0 million and $50.5 million, respectively and $87.5 million and $97.3 million for the six months ended June 30, 2025 and June 30, 2024, respectively.</w:t>
      </w:r>
    </w:p>
    <w:p>
      <w:pPr>
        <w:spacing w:after="0" w:line="66"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For the three months ended June 30, 2025 and June 30, 2024, the Company incurred reimbursable costs of $34.0 million and $36.1 million, respectively, and $67.8 million and $71.5 million for the six months ended June 30, 2025 and June 30, 2024, respectively.</w:t>
      </w:r>
    </w:p>
    <w:p>
      <w:pPr>
        <w:spacing w:after="0" w:line="46"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Amounts included in the consolidated balance sheets related to services the Company provided to unconsolidated joint ventures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38,981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38,443</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7"/>
                <w:szCs w:val="17"/>
                <w:color w:val="auto"/>
              </w:rPr>
            </w:pPr>
          </w:p>
        </w:tc>
        <w:tc>
          <w:tcPr>
            <w:tcW w:w="1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16,669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11,540</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9,860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10,776</w:t>
            </w: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June 30, 2025 and December 31, 2024,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Fair value is determined by using one or more of the following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0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ind w:right="400" w:firstLine="644"/>
        <w:spacing w:after="0" w:line="271"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2 inputs,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6"/>
          </w:tcPr>
          <w:p>
            <w:pPr>
              <w:ind w:left="400"/>
              <w:spacing w:after="0"/>
              <w:rPr>
                <w:sz w:val="20"/>
                <w:szCs w:val="20"/>
                <w:color w:val="auto"/>
              </w:rPr>
            </w:pPr>
            <w:r>
              <w:rPr>
                <w:rFonts w:ascii="Arial" w:cs="Arial" w:eastAsia="Arial" w:hAnsi="Arial"/>
                <w:sz w:val="14"/>
                <w:szCs w:val="14"/>
                <w:b w:val="1"/>
                <w:bCs w:val="1"/>
                <w:color w:val="auto"/>
              </w:rPr>
              <w:t>December 31, 2024</w:t>
            </w:r>
          </w:p>
        </w:tc>
      </w:tr>
      <w:tr>
        <w:trPr>
          <w:trHeight w:val="171"/>
        </w:trPr>
        <w:tc>
          <w:tcPr>
            <w:tcW w:w="58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Convertible senior notes due 2025</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84,919</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133,807</w:t>
            </w:r>
          </w:p>
        </w:tc>
        <w:tc>
          <w:tcPr>
            <w:tcW w:w="4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113,405</w:t>
            </w:r>
          </w:p>
        </w:tc>
        <w:tc>
          <w:tcPr>
            <w:tcW w:w="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233,206</w:t>
            </w:r>
          </w:p>
        </w:tc>
        <w:tc>
          <w:tcPr>
            <w:tcW w:w="12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senior notes due 2029</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848,480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939,280</w:t>
            </w:r>
          </w:p>
        </w:tc>
        <w:tc>
          <w:tcPr>
            <w:tcW w:w="12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Term loan due 2028</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03"/>
        </w:trPr>
        <w:tc>
          <w:tcPr>
            <w:tcW w:w="5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Delayed draw term loan due 2025</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1,334,919</w:t>
            </w:r>
          </w:p>
        </w:tc>
        <w:tc>
          <w:tcPr>
            <w:tcW w:w="4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1,432,287</w:t>
            </w:r>
          </w:p>
        </w:tc>
        <w:tc>
          <w:tcPr>
            <w:tcW w:w="46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1,263,405</w:t>
            </w:r>
          </w:p>
        </w:tc>
        <w:tc>
          <w:tcPr>
            <w:tcW w:w="4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1,522,486</w:t>
            </w:r>
          </w:p>
        </w:tc>
        <w:tc>
          <w:tcPr>
            <w:tcW w:w="12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underlying the warrants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and six months ended June 30, 2025 and June 30, 2024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June 30, 2025</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 for Basic and Diluted EPS:</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Net income attributable to Parsons Corporation - basic</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55,230</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69,172</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121,433</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108,922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Convertible senior notes if-converted method interest</w:t>
            </w:r>
          </w:p>
        </w:tc>
        <w:tc>
          <w:tcPr>
            <w:tcW w:w="1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adjustment</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color w:val="auto"/>
              </w:rPr>
              <w:t>Net income attributable to Parsons Corporation - diluted</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55,284</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69,226</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121,541</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111,742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b w:val="1"/>
                <w:bCs w:val="1"/>
                <w:color w:val="auto"/>
              </w:rPr>
              <w:t>Denominator for Basic and Diluted EPS: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106,914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warrants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Dilutive effect of convertible senior notes due 2025</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2,006</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110,102</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110,524</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110,557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112,429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0.52</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0.50</w:t>
            </w:r>
          </w:p>
        </w:tc>
        <w:tc>
          <w:tcPr>
            <w:tcW w:w="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0.63</w:t>
            </w:r>
          </w:p>
        </w:tc>
        <w:tc>
          <w:tcPr>
            <w:tcW w:w="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w:t>
            </w:r>
          </w:p>
        </w:tc>
        <w:tc>
          <w:tcPr>
            <w:tcW w:w="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-1816735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-1816735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-1816735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-574040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-556895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-574040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-556895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-574040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-556895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80" w:firstLine="644"/>
        <w:spacing w:after="0" w:line="253"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June 30, 2025 and June 30, 2024 were 22,554 and 15,400, respectively and for the six months ended June 30, 2025 and June 30, 2024 were 16,689 and 22,580,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 The Board further amended this authorization in March 2025 to increase and reset the repurchase capacity to $250 million. Any purchases made by the Company during Q1 of 2025 would be deducted from the reset capacity.</w:t>
      </w:r>
    </w:p>
    <w:p>
      <w:pPr>
        <w:spacing w:after="0" w:line="77"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180" w:firstLine="644"/>
        <w:spacing w:after="0" w:line="271" w:lineRule="auto"/>
        <w:rPr>
          <w:sz w:val="20"/>
          <w:szCs w:val="20"/>
          <w:color w:val="auto"/>
        </w:rPr>
      </w:pPr>
      <w:r>
        <w:rPr>
          <w:rFonts w:ascii="Arial" w:cs="Arial" w:eastAsia="Arial" w:hAnsi="Arial"/>
          <w:sz w:val="18"/>
          <w:szCs w:val="18"/>
          <w:color w:val="auto"/>
        </w:rPr>
        <w:t>As of June 30, 2025, the Company has spent $119.7 million repurchasing 2,356,246 shares of Common Stock at an average price of $50.80 per share.</w:t>
      </w:r>
    </w:p>
    <w:p>
      <w:pPr>
        <w:spacing w:after="0" w:line="46" w:lineRule="exact"/>
        <w:rPr>
          <w:sz w:val="20"/>
          <w:szCs w:val="20"/>
          <w:color w:val="auto"/>
        </w:rPr>
      </w:pPr>
    </w:p>
    <w:p>
      <w:pPr>
        <w:ind w:right="140" w:firstLine="644"/>
        <w:spacing w:after="0" w:line="247"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280"/>
        <w:spacing w:after="0" w:line="271" w:lineRule="auto"/>
        <w:rPr>
          <w:sz w:val="20"/>
          <w:szCs w:val="20"/>
          <w:color w:val="auto"/>
        </w:rPr>
      </w:pPr>
      <w:r>
        <w:rPr>
          <w:rFonts w:ascii="Arial" w:cs="Arial" w:eastAsia="Arial" w:hAnsi="Arial"/>
          <w:sz w:val="18"/>
          <w:szCs w:val="18"/>
          <w:color w:val="auto"/>
        </w:rPr>
        <w:t>circumstances, availability of investment opportunities, the availability and costs of financing, the market price of the Company's common stock, other uses of capital and other factors.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3"/>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June 30, 2024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June 30, 2024</w:t>
            </w: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shares repurchased</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218,785</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131,053</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642,765</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131,053</w:t>
            </w:r>
          </w:p>
        </w:tc>
        <w:tc>
          <w:tcPr>
            <w:tcW w:w="100" w:type="dxa"/>
            <w:vAlign w:val="bottom"/>
            <w:shd w:val="clear" w:color="auto" w:fill="CFF0FC"/>
          </w:tcPr>
          <w:p>
            <w:pPr>
              <w:spacing w:after="0"/>
              <w:rPr>
                <w:sz w:val="17"/>
                <w:szCs w:val="17"/>
                <w:color w:val="auto"/>
              </w:rPr>
            </w:pPr>
          </w:p>
        </w:tc>
      </w:tr>
      <w:tr>
        <w:trPr>
          <w:trHeight w:val="202"/>
        </w:trPr>
        <w:tc>
          <w:tcPr>
            <w:tcW w:w="4800" w:type="dxa"/>
            <w:vAlign w:val="bottom"/>
          </w:tcPr>
          <w:p>
            <w:pPr>
              <w:spacing w:after="0" w:line="202" w:lineRule="exact"/>
              <w:rPr>
                <w:sz w:val="20"/>
                <w:szCs w:val="20"/>
                <w:color w:val="auto"/>
              </w:rPr>
            </w:pPr>
            <w:r>
              <w:rPr>
                <w:rFonts w:ascii="Arial" w:cs="Arial" w:eastAsia="Arial" w:hAnsi="Arial"/>
                <w:sz w:val="18"/>
                <w:szCs w:val="18"/>
                <w:color w:val="auto"/>
              </w:rPr>
              <w:t>Total shares retired</w:t>
            </w: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218,785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131,053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642,765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131,053</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price paid per share (1)</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68.56</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76.30</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62.22</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76.30</w:t>
            </w:r>
          </w:p>
        </w:tc>
        <w:tc>
          <w:tcPr>
            <w:tcW w:w="100" w:type="dxa"/>
            <w:vAlign w:val="bottom"/>
            <w:shd w:val="clear" w:color="auto" w:fill="CFF0FC"/>
          </w:tcPr>
          <w:p>
            <w:pPr>
              <w:spacing w:after="0"/>
              <w:rPr>
                <w:sz w:val="17"/>
                <w:szCs w:val="17"/>
                <w:color w:val="auto"/>
              </w:rPr>
            </w:pPr>
          </w:p>
        </w:tc>
      </w:tr>
    </w:tbl>
    <w:p>
      <w:pPr>
        <w:spacing w:after="0" w:line="137" w:lineRule="exact"/>
        <w:rPr>
          <w:sz w:val="20"/>
          <w:szCs w:val="20"/>
          <w:color w:val="auto"/>
        </w:rPr>
      </w:pPr>
    </w:p>
    <w:p>
      <w:pPr>
        <w:ind w:left="520" w:hanging="112"/>
        <w:spacing w:after="0"/>
        <w:tabs>
          <w:tab w:leader="none" w:pos="520" w:val="left"/>
        </w:tabs>
        <w:numPr>
          <w:ilvl w:val="1"/>
          <w:numId w:val="25"/>
        </w:numPr>
        <w:rPr>
          <w:rFonts w:ascii="Arial" w:cs="Arial" w:eastAsia="Arial" w:hAnsi="Arial"/>
          <w:sz w:val="29"/>
          <w:szCs w:val="29"/>
          <w:color w:val="auto"/>
          <w:vertAlign w:val="superscript"/>
        </w:rPr>
      </w:pPr>
      <w:r>
        <w:rPr>
          <w:rFonts w:ascii="Arial" w:cs="Arial" w:eastAsia="Arial" w:hAnsi="Arial"/>
          <w:sz w:val="16"/>
          <w:szCs w:val="16"/>
          <w:color w:val="auto"/>
        </w:rPr>
        <w:t>Includes commissions in the calculation of average price per share</w:t>
      </w:r>
    </w:p>
    <w:p>
      <w:pPr>
        <w:spacing w:after="0" w:line="293" w:lineRule="exact"/>
        <w:rPr>
          <w:rFonts w:ascii="Arial" w:cs="Arial" w:eastAsia="Arial" w:hAnsi="Arial"/>
          <w:sz w:val="29"/>
          <w:szCs w:val="29"/>
          <w:color w:val="auto"/>
          <w:vertAlign w:val="superscript"/>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4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 operations, missile defense, and military facility modernization, logistics support, hazardous material remediation and engineering services.</w:t>
      </w:r>
    </w:p>
    <w:p>
      <w:pPr>
        <w:spacing w:after="0" w:line="17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segment direct cost of contracts, segment Selling, General and Administrative expense and segment Adjusted EBITDA attributable to Parsons Corporation.</w:t>
      </w:r>
    </w:p>
    <w:p>
      <w:pPr>
        <w:spacing w:after="0" w:line="17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spacing w:after="0" w:line="185" w:lineRule="exact"/>
        <w:rPr>
          <w:sz w:val="20"/>
          <w:szCs w:val="20"/>
          <w:color w:val="auto"/>
        </w:rPr>
      </w:pPr>
    </w:p>
    <w:p>
      <w:pPr>
        <w:jc w:val="both"/>
        <w:ind w:right="120" w:firstLine="644"/>
        <w:spacing w:after="0" w:line="253" w:lineRule="auto"/>
        <w:rPr>
          <w:sz w:val="20"/>
          <w:szCs w:val="20"/>
          <w:color w:val="auto"/>
        </w:rPr>
      </w:pPr>
      <w:r>
        <w:rPr>
          <w:rFonts w:ascii="Arial" w:cs="Arial" w:eastAsia="Arial" w:hAnsi="Arial"/>
          <w:sz w:val="18"/>
          <w:szCs w:val="18"/>
          <w:color w:val="auto"/>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4" w:name="page35"/>
    <w:bookmarkEnd w:id="34"/>
    <w:p>
      <w:pPr>
        <w:ind w:firstLine="644"/>
        <w:spacing w:after="0" w:line="253" w:lineRule="auto"/>
        <w:rPr>
          <w:sz w:val="20"/>
          <w:szCs w:val="20"/>
          <w:color w:val="auto"/>
        </w:rPr>
      </w:pPr>
      <w:r>
        <w:rPr>
          <w:rFonts w:ascii="Arial" w:cs="Arial" w:eastAsia="Arial" w:hAnsi="Arial"/>
          <w:sz w:val="18"/>
          <w:szCs w:val="18"/>
          <w:color w:val="auto"/>
        </w:rPr>
        <w:t>The following tables present segment information provided to the CODM, as of each period presented, along with a reconciliation of segment adjusted EBITDA attributable to Parsons Corporation to net income attributable to Parsons Corporation for the periods presented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805,464</w:t>
            </w: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778,859</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1,584,323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(642,807)</w:t>
            </w:r>
          </w:p>
        </w:tc>
        <w:tc>
          <w:tcPr>
            <w:tcW w:w="32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(593,163)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(1,235,970)</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(43,208)</w:t>
            </w:r>
          </w:p>
        </w:tc>
        <w:tc>
          <w:tcPr>
            <w:tcW w:w="3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(48,563)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(91,771)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989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(642)</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(53,366)</w:t>
            </w:r>
          </w:p>
        </w:tc>
        <w:tc>
          <w:tcPr>
            <w:tcW w:w="3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(69,309)</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(122,675)</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67,072</w:t>
            </w: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66,193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133,265</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15,866</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(28,592)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(11,501)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(18,690)</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(11,519)</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(5,135)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(2,361)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(844)</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4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70,489</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(15,259)</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4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55,230</w:t>
            </w:r>
          </w:p>
        </w:tc>
        <w:tc>
          <w:tcPr>
            <w:tcW w:w="100" w:type="dxa"/>
            <w:vAlign w:val="bottom"/>
            <w:tcBorders>
              <w:top w:val="single" w:sz="8" w:color="CFF0FC"/>
            </w:tcBorders>
          </w:tcPr>
          <w:p>
            <w:pPr>
              <w:spacing w:after="0"/>
              <w:rPr>
                <w:sz w:val="17"/>
                <w:szCs w:val="17"/>
                <w:color w:val="auto"/>
              </w:rPr>
            </w:pPr>
          </w:p>
        </w:tc>
      </w:tr>
      <w:tr>
        <w:trPr>
          <w:trHeight w:val="551"/>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988,603</w:t>
            </w: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681,864</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1,670,467</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(789,153)</w:t>
            </w:r>
          </w:p>
        </w:tc>
        <w:tc>
          <w:tcPr>
            <w:tcW w:w="32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(529,778)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(1,318,931)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(35,487)</w:t>
            </w:r>
          </w:p>
        </w:tc>
        <w:tc>
          <w:tcPr>
            <w:tcW w:w="3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(34,258)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(69,745)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(18,303)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(16,837)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(62,648)</w:t>
            </w:r>
          </w:p>
        </w:tc>
        <w:tc>
          <w:tcPr>
            <w:tcW w:w="3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(63,913)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(126,561)</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102,781</w:t>
            </w: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35,612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138,393</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11,837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(24,440)</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(9,183)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(22,415)</w:t>
            </w:r>
          </w:p>
        </w:tc>
      </w:tr>
      <w:tr>
        <w:trPr>
          <w:trHeight w:val="202"/>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(10,647)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(2,302)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(524)</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80,719</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(11,547)</w:t>
            </w:r>
          </w:p>
        </w:tc>
      </w:tr>
      <w:tr>
        <w:trPr>
          <w:trHeight w:val="19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69,172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-5777230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-5777230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-2613660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-2613660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2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1,648,021</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1,490,662</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3,138,683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(1,304,719)</w:t>
            </w: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(1,131,628)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(2,436,347)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(88,617)</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(94,646)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(183,263)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losses of unconsolidated joint ventures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(1,326)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(1,329)</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(112,078)</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(138,682)</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(250,760)</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142,604</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124,380</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266,984</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30,923</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(55,995)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(21,605)</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(37,667)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(18,622)</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(8,836)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(2,361)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(545)</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152,276</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(30,843)</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121,433</w:t>
            </w:r>
          </w:p>
        </w:tc>
        <w:tc>
          <w:tcPr>
            <w:tcW w:w="100" w:type="dxa"/>
            <w:vAlign w:val="bottom"/>
            <w:tcBorders>
              <w:top w:val="single" w:sz="8" w:color="CFF0FC"/>
            </w:tcBorders>
          </w:tcPr>
          <w:p>
            <w:pPr>
              <w:spacing w:after="0"/>
              <w:rPr>
                <w:sz w:val="17"/>
                <w:szCs w:val="17"/>
                <w:color w:val="auto"/>
              </w:rPr>
            </w:pPr>
          </w:p>
        </w:tc>
      </w:tr>
      <w:tr>
        <w:trPr>
          <w:trHeight w:val="551"/>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2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1,898,211</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1,307,932</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3,206,143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(1,513,038)</w:t>
            </w: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(1,016,720)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(2,529,758)</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(70,632)</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(68,836)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(139,468)</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(19,894)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(18,897)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(120,216)</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(133,907)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(254,123)</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195,322</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68,575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263,897</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27,426</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(48,971)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(21,029)</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(35,739)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(23,303)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(18,355)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(5,188)</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(3,026)</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135,712</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(26,790)</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108,922</w:t>
            </w:r>
          </w:p>
        </w:tc>
        <w:tc>
          <w:tcPr>
            <w:tcW w:w="100" w:type="dxa"/>
            <w:vAlign w:val="bottom"/>
            <w:tcBorders>
              <w:top w:val="single" w:sz="8" w:color="CFF0FC"/>
            </w:tcBorders>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-5905500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-2742565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-2742565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selling, general and administrative expenses (“SG&amp;A”) is total SG&amp;A excluding allocations.</w:t>
      </w:r>
    </w:p>
    <w:p>
      <w:pPr>
        <w:spacing w:after="0" w:line="103" w:lineRule="exact"/>
        <w:rPr>
          <w:rFonts w:ascii="Arial" w:cs="Arial" w:eastAsia="Arial" w:hAnsi="Arial"/>
          <w:sz w:val="18"/>
          <w:szCs w:val="18"/>
          <w:color w:val="auto"/>
        </w:rPr>
      </w:pPr>
    </w:p>
    <w:p>
      <w:pPr>
        <w:ind w:left="1020" w:right="320" w:hanging="503"/>
        <w:spacing w:after="0" w:line="25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Corporate and shared segment SG&amp;A (excluding Adjusted EBITDA items)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Noncontrolling interests attributable to operating income and other income/expense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Bad debt expense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Sublease income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Foreign currency gain/loss, and</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Certain other income/expense items</w:t>
      </w:r>
    </w:p>
    <w:p>
      <w:pPr>
        <w:spacing w:after="0" w:line="103" w:lineRule="exact"/>
        <w:rPr>
          <w:rFonts w:ascii="Arial" w:cs="Arial" w:eastAsia="Arial" w:hAnsi="Arial"/>
          <w:sz w:val="18"/>
          <w:szCs w:val="18"/>
          <w:color w:val="auto"/>
        </w:rPr>
      </w:pPr>
    </w:p>
    <w:p>
      <w:pPr>
        <w:ind w:left="1020" w:right="720" w:hanging="503"/>
        <w:spacing w:after="0" w:line="27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45" w:lineRule="exact"/>
        <w:rPr>
          <w:rFonts w:ascii="Arial" w:cs="Arial" w:eastAsia="Arial" w:hAnsi="Arial"/>
          <w:sz w:val="18"/>
          <w:szCs w:val="18"/>
          <w:color w:val="auto"/>
        </w:rPr>
      </w:pPr>
    </w:p>
    <w:p>
      <w:pPr>
        <w:ind w:left="1020" w:right="720" w:hanging="503"/>
        <w:spacing w:after="0" w:line="27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58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June 30, 2025</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39"/>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4"/>
          </w:tcPr>
          <w:p>
            <w:pPr>
              <w:jc w:val="right"/>
              <w:ind w:right="28"/>
              <w:spacing w:after="0" w:line="155" w:lineRule="exact"/>
              <w:rPr>
                <w:sz w:val="20"/>
                <w:szCs w:val="20"/>
                <w:color w:val="auto"/>
              </w:rPr>
            </w:pPr>
            <w:r>
              <w:rPr>
                <w:rFonts w:ascii="Arial" w:cs="Arial" w:eastAsia="Arial" w:hAnsi="Arial"/>
                <w:sz w:val="14"/>
                <w:szCs w:val="14"/>
                <w:b w:val="1"/>
                <w:bCs w:val="1"/>
                <w:color w:val="auto"/>
              </w:rPr>
              <w:t>June 30, 2025</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8"/>
              </w:rPr>
              <w:t>June 30, 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1,309,098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1,419,327</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2,593,330</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2,691,577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Middle East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270,687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246,063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535,770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504,984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Rest of World</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4,538</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5,077</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9,583</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1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1,584,323</w:t>
            </w:r>
          </w:p>
        </w:tc>
        <w:tc>
          <w:tcPr>
            <w:tcW w:w="2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1,670,467</w:t>
            </w:r>
          </w:p>
        </w:tc>
        <w:tc>
          <w:tcPr>
            <w:tcW w:w="2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3,138,683</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3,206,143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180" w:type="dxa"/>
            <w:vAlign w:val="bottom"/>
            <w:gridSpan w:val="5"/>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8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5"/>
          </w:tcPr>
          <w:p>
            <w:pPr>
              <w:ind w:left="32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Pr>
          <w:p>
            <w:pPr>
              <w:spacing w:after="0"/>
              <w:rPr>
                <w:sz w:val="24"/>
                <w:szCs w:val="24"/>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111,813</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101,044</w:t>
            </w:r>
          </w:p>
        </w:tc>
        <w:tc>
          <w:tcPr>
            <w:tcW w:w="0" w:type="dxa"/>
            <w:vAlign w:val="bottom"/>
          </w:tcPr>
          <w:p>
            <w:pPr>
              <w:spacing w:after="0"/>
              <w:rPr>
                <w:sz w:val="1"/>
                <w:szCs w:val="1"/>
                <w:color w:val="auto"/>
              </w:rPr>
            </w:pPr>
          </w:p>
        </w:tc>
      </w:tr>
      <w:tr>
        <w:trPr>
          <w:trHeight w:val="203"/>
        </w:trPr>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Middle East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9"/>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122,737</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111,575</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-1259840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-1259840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-1259840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-1259840</wp:posOffset>
            </wp:positionV>
            <wp:extent cx="774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20" w:firstLine="636"/>
        <w:spacing w:after="0" w:line="262" w:lineRule="auto"/>
        <w:rPr>
          <w:sz w:val="20"/>
          <w:szCs w:val="20"/>
          <w:color w:val="auto"/>
        </w:rPr>
      </w:pPr>
      <w:r>
        <w:rPr>
          <w:rFonts w:ascii="Arial" w:cs="Arial" w:eastAsia="Arial" w:hAnsi="Arial"/>
          <w:sz w:val="18"/>
          <w:szCs w:val="18"/>
          <w:color w:val="auto"/>
        </w:rPr>
        <w:t>North America includes revenue in the United States for the three months ended June 30, 2025 and June 30, 2024 of $1.2 billion and $1.3 billion, respectively and $2.4 million and $2.5 million for the six months ended June 30, 2025 and June 30, 2024, respectively. North America property and equipment, net includes $104.0 million and $94.0 million of property and equipment, net in the United States at June 30, 2025 and December 31, 2024, respectively.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47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0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June 30, 2025</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8"/>
              </w:rPr>
              <w:t>June 30,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Defense and Intelligence</w:t>
            </w: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457,576</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420,396</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900,897</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828,784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300"/>
              <w:spacing w:after="0" w:line="202" w:lineRule="exact"/>
              <w:rPr>
                <w:sz w:val="20"/>
                <w:szCs w:val="20"/>
                <w:color w:val="auto"/>
              </w:rPr>
            </w:pPr>
            <w:r>
              <w:rPr>
                <w:rFonts w:ascii="Arial" w:cs="Arial" w:eastAsia="Arial" w:hAnsi="Arial"/>
                <w:sz w:val="18"/>
                <w:szCs w:val="18"/>
                <w:color w:val="auto"/>
              </w:rPr>
              <w:t>Engineered Systems</w:t>
            </w:r>
          </w:p>
        </w:tc>
        <w:tc>
          <w:tcPr>
            <w:tcW w:w="1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347,888</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568,207</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747,124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1,069,427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Federal Solutions revenues</w:t>
            </w: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805,464</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988,603</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1,648,021</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1,898,211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300"/>
              <w:spacing w:after="0" w:line="196" w:lineRule="exact"/>
              <w:rPr>
                <w:sz w:val="20"/>
                <w:szCs w:val="20"/>
                <w:color w:val="auto"/>
              </w:rPr>
            </w:pPr>
            <w:r>
              <w:rPr>
                <w:rFonts w:ascii="Arial" w:cs="Arial" w:eastAsia="Arial" w:hAnsi="Arial"/>
                <w:sz w:val="18"/>
                <w:szCs w:val="18"/>
                <w:color w:val="auto"/>
              </w:rPr>
              <w:t>Infrastructure – North America</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506,248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434,163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951,156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799,445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Infrastructure – Europe, Middle East and Africa</w:t>
            </w: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272,611</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247,701</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539,506</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508,487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160"/>
              <w:spacing w:after="0" w:line="196" w:lineRule="exact"/>
              <w:rPr>
                <w:sz w:val="20"/>
                <w:szCs w:val="20"/>
                <w:color w:val="auto"/>
              </w:rPr>
            </w:pPr>
            <w:r>
              <w:rPr>
                <w:rFonts w:ascii="Arial" w:cs="Arial" w:eastAsia="Arial" w:hAnsi="Arial"/>
                <w:sz w:val="18"/>
                <w:szCs w:val="18"/>
                <w:color w:val="auto"/>
              </w:rPr>
              <w:t>Critical Infrastructure revenues</w:t>
            </w:r>
          </w:p>
        </w:tc>
        <w:tc>
          <w:tcPr>
            <w:tcW w:w="1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778,859</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681,864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1,490,662</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1,307,932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11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1,584,323</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1,670,467</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3,138,683</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3,206,143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33"/>
        </w:trPr>
        <w:tc>
          <w:tcPr>
            <w:tcW w:w="478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-1464945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-1464945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-1199515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-1199515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-925195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-908050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-925195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-908050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-925195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-908050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line="288" w:lineRule="exact"/>
        <w:rPr>
          <w:sz w:val="20"/>
          <w:szCs w:val="20"/>
          <w:color w:val="auto"/>
        </w:rPr>
      </w:pPr>
    </w:p>
    <w:p>
      <w:pPr>
        <w:ind w:left="660" w:right="8920" w:hanging="652"/>
        <w:spacing w:after="0" w:line="396"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153" w:lineRule="exact"/>
        <w:rPr>
          <w:rFonts w:ascii="Arial" w:cs="Arial" w:eastAsia="Arial" w:hAnsi="Arial"/>
          <w:sz w:val="18"/>
          <w:szCs w:val="18"/>
          <w:b w:val="1"/>
          <w:bCs w:val="1"/>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 Unaudited</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selected quarterly financial information (in thousands except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Before Adoption of ASU 2024-</w:t>
            </w:r>
          </w:p>
        </w:tc>
        <w:tc>
          <w:tcPr>
            <w:tcW w:w="2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After Adoption of ASU 2024-04</w:t>
            </w:r>
          </w:p>
        </w:tc>
      </w:tr>
      <w:tr>
        <w:trPr>
          <w:trHeight w:val="162"/>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center"/>
              <w:ind w:right="208"/>
              <w:spacing w:after="0"/>
              <w:rPr>
                <w:sz w:val="20"/>
                <w:szCs w:val="20"/>
                <w:color w:val="auto"/>
              </w:rPr>
            </w:pPr>
            <w:r>
              <w:rPr>
                <w:rFonts w:ascii="Arial" w:cs="Arial" w:eastAsia="Arial" w:hAnsi="Arial"/>
                <w:sz w:val="14"/>
                <w:szCs w:val="14"/>
                <w:b w:val="1"/>
                <w:bCs w:val="1"/>
                <w:color w:val="auto"/>
              </w:rPr>
              <w:t>04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2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4"/>
                <w:szCs w:val="14"/>
                <w:color w:val="auto"/>
              </w:rPr>
            </w:pPr>
          </w:p>
        </w:tc>
      </w:tr>
      <w:tr>
        <w:trPr>
          <w:trHeight w:val="156"/>
        </w:trPr>
        <w:tc>
          <w:tcPr>
            <w:tcW w:w="50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Federal Solutions revenue</w:t>
            </w:r>
          </w:p>
        </w:tc>
        <w:tc>
          <w:tcPr>
            <w:tcW w:w="168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1,898,211</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1,898,211</w:t>
            </w:r>
          </w:p>
        </w:tc>
        <w:tc>
          <w:tcPr>
            <w:tcW w:w="100" w:type="dxa"/>
            <w:vAlign w:val="bottom"/>
            <w:shd w:val="clear" w:color="auto" w:fill="CFF0FC"/>
          </w:tcPr>
          <w:p>
            <w:pPr>
              <w:spacing w:after="0"/>
              <w:rPr>
                <w:sz w:val="13"/>
                <w:szCs w:val="13"/>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Critical Infrastructure revenue</w:t>
            </w:r>
          </w:p>
        </w:tc>
        <w:tc>
          <w:tcPr>
            <w:tcW w:w="1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1,307,932</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1,307,932</w:t>
            </w:r>
          </w:p>
        </w:tc>
        <w:tc>
          <w:tcPr>
            <w:tcW w:w="100" w:type="dxa"/>
            <w:vAlign w:val="bottom"/>
          </w:tcPr>
          <w:p>
            <w:pPr>
              <w:spacing w:after="0"/>
              <w:rPr>
                <w:sz w:val="14"/>
                <w:szCs w:val="14"/>
                <w:color w:val="auto"/>
              </w:rPr>
            </w:pPr>
          </w:p>
        </w:tc>
      </w:tr>
      <w:tr>
        <w:trPr>
          <w:trHeight w:val="156"/>
        </w:trPr>
        <w:tc>
          <w:tcPr>
            <w:tcW w:w="50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revenue</w:t>
            </w:r>
          </w:p>
        </w:tc>
        <w:tc>
          <w:tcPr>
            <w:tcW w:w="1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3,206,143</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3,206,143</w:t>
            </w:r>
          </w:p>
        </w:tc>
        <w:tc>
          <w:tcPr>
            <w:tcW w:w="100" w:type="dxa"/>
            <w:vAlign w:val="bottom"/>
            <w:shd w:val="clear" w:color="auto" w:fill="CFF0FC"/>
          </w:tcPr>
          <w:p>
            <w:pPr>
              <w:spacing w:after="0"/>
              <w:rPr>
                <w:sz w:val="13"/>
                <w:szCs w:val="13"/>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Operating income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213,266</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213,266</w:t>
            </w:r>
          </w:p>
        </w:tc>
        <w:tc>
          <w:tcPr>
            <w:tcW w:w="100" w:type="dxa"/>
            <w:vAlign w:val="bottom"/>
          </w:tcPr>
          <w:p>
            <w:pPr>
              <w:spacing w:after="0"/>
              <w:rPr>
                <w:sz w:val="14"/>
                <w:szCs w:val="14"/>
                <w:color w:val="auto"/>
              </w:rPr>
            </w:pPr>
          </w:p>
        </w:tc>
      </w:tr>
      <w:tr>
        <w:trPr>
          <w:trHeight w:val="162"/>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Convertible debt repurchase loss (1)</w:t>
            </w:r>
          </w:p>
        </w:tc>
        <w:tc>
          <w:tcPr>
            <w:tcW w:w="1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(211,018)</w:t>
            </w:r>
          </w:p>
        </w:tc>
        <w:tc>
          <w:tcPr>
            <w:tcW w:w="280" w:type="dxa"/>
            <w:vAlign w:val="bottom"/>
            <w:shd w:val="clear" w:color="auto" w:fill="CFF0FC"/>
          </w:tcPr>
          <w:p>
            <w:pPr>
              <w:spacing w:after="0"/>
              <w:rPr>
                <w:sz w:val="14"/>
                <w:szCs w:val="14"/>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(18,355)</w:t>
            </w: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Income tax benefit (expense) (1)</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9,819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(35,739)</w:t>
            </w:r>
          </w:p>
        </w:tc>
      </w:tr>
      <w:tr>
        <w:trPr>
          <w:trHeight w:val="162"/>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 attributable to Parsons Corporation (1)</w:t>
            </w:r>
          </w:p>
        </w:tc>
        <w:tc>
          <w:tcPr>
            <w:tcW w:w="1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(11,393)</w:t>
            </w:r>
          </w:p>
        </w:tc>
        <w:tc>
          <w:tcPr>
            <w:tcW w:w="280" w:type="dxa"/>
            <w:vAlign w:val="bottom"/>
            <w:shd w:val="clear" w:color="auto" w:fill="CFF0FC"/>
          </w:tcPr>
          <w:p>
            <w:pPr>
              <w:spacing w:after="0"/>
              <w:rPr>
                <w:sz w:val="14"/>
                <w:szCs w:val="14"/>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108,922</w:t>
            </w:r>
          </w:p>
        </w:tc>
        <w:tc>
          <w:tcPr>
            <w:tcW w:w="100" w:type="dxa"/>
            <w:vAlign w:val="bottom"/>
            <w:shd w:val="clear" w:color="auto" w:fill="CFF0FC"/>
          </w:tcPr>
          <w:p>
            <w:pPr>
              <w:spacing w:after="0"/>
              <w:rPr>
                <w:sz w:val="14"/>
                <w:szCs w:val="14"/>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(Loss) earnings per share: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4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Basic</w:t>
            </w:r>
          </w:p>
        </w:tc>
        <w:tc>
          <w:tcPr>
            <w:tcW w:w="16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(0.36)</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4"/>
                <w:szCs w:val="14"/>
                <w:color w:val="auto"/>
              </w:rPr>
            </w:pPr>
          </w:p>
        </w:tc>
      </w:tr>
      <w:tr>
        <w:trPr>
          <w:trHeight w:val="190"/>
        </w:trPr>
        <w:tc>
          <w:tcPr>
            <w:tcW w:w="5040" w:type="dxa"/>
            <w:vAlign w:val="bottom"/>
          </w:tcPr>
          <w:p>
            <w:pPr>
              <w:ind w:left="60"/>
              <w:spacing w:after="0"/>
              <w:rPr>
                <w:sz w:val="20"/>
                <w:szCs w:val="20"/>
                <w:color w:val="auto"/>
              </w:rPr>
            </w:pPr>
            <w:r>
              <w:rPr>
                <w:rFonts w:ascii="Arial" w:cs="Arial" w:eastAsia="Arial" w:hAnsi="Arial"/>
                <w:sz w:val="14"/>
                <w:szCs w:val="14"/>
                <w:color w:val="auto"/>
              </w:rPr>
              <w:t>Diluted (2)</w:t>
            </w: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gridSpan w:val="2"/>
          </w:tcPr>
          <w:p>
            <w:pPr>
              <w:jc w:val="right"/>
              <w:ind w:right="240"/>
              <w:spacing w:after="0"/>
              <w:rPr>
                <w:sz w:val="20"/>
                <w:szCs w:val="20"/>
                <w:color w:val="auto"/>
              </w:rPr>
            </w:pPr>
            <w:r>
              <w:rPr>
                <w:rFonts w:ascii="Arial" w:cs="Arial" w:eastAsia="Arial" w:hAnsi="Arial"/>
                <w:sz w:val="14"/>
                <w:szCs w:val="14"/>
                <w:color w:val="auto"/>
              </w:rPr>
              <w:t>(0.36)</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203" w:lineRule="exact"/>
        <w:rPr>
          <w:sz w:val="20"/>
          <w:szCs w:val="20"/>
          <w:color w:val="auto"/>
        </w:rPr>
      </w:pPr>
    </w:p>
    <w:p>
      <w:pPr>
        <w:ind w:right="20" w:firstLine="652"/>
        <w:spacing w:after="0" w:line="234" w:lineRule="auto"/>
        <w:tabs>
          <w:tab w:leader="none" w:pos="76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Presents the revised quarterly financial data resulting from the adoption of Accounting Standards Update (“ASU”) 2024-04 as of January 1, 2024 on a prospective basis. As a result of the adoption of ASU 2024-04, the Company reversed a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2—Basis of Presentation and Principles of Consolidation" for a further discussion of the first quarter 2024 extinguishment accounting and subsequent change to inducement accounting.</w:t>
      </w:r>
    </w:p>
    <w:p>
      <w:pPr>
        <w:spacing w:after="0" w:line="99" w:lineRule="exact"/>
        <w:rPr>
          <w:sz w:val="20"/>
          <w:szCs w:val="20"/>
          <w:color w:val="auto"/>
        </w:rPr>
      </w:pPr>
    </w:p>
    <w:p>
      <w:pPr>
        <w:ind w:right="220" w:firstLine="652"/>
        <w:spacing w:after="0" w:line="235" w:lineRule="auto"/>
        <w:tabs>
          <w:tab w:leader="none" w:pos="749"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Diluted earnings per share prior to the adoption of ASU 2024-04 did not include certain adjustments as their inclusion would have been antidilutive. Subsequent to the adoption of ASU 2024-04 these adjustments are no longer antidilutive. Dilutive adjustments include if converted interest of $2.8 million, 1.4 million shares related to stock based awards and 4.7 million shares related to convertible senior notes. Inclusion of these dilution adjustments resulted in dilutive net income attributable to Parsons Corporation of $111.7 million and total diluted shares of 112.4 million for the six months ended June 30, 2024.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2024.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2024.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85725" cy="1454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454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5"/>
                <w:szCs w:val="15"/>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Awards (year to date)</w:t>
            </w:r>
          </w:p>
        </w:tc>
        <w:tc>
          <w:tcPr>
            <w:tcW w:w="25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3,272,551</w:t>
            </w:r>
          </w:p>
        </w:tc>
        <w:tc>
          <w:tcPr>
            <w:tcW w:w="440" w:type="dxa"/>
            <w:vAlign w:val="bottom"/>
            <w:gridSpan w:val="3"/>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3,582,373</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Backlog (1)</w:t>
            </w:r>
          </w:p>
        </w:tc>
        <w:tc>
          <w:tcPr>
            <w:tcW w:w="2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8,943,038</w:t>
            </w:r>
          </w:p>
        </w:tc>
        <w:tc>
          <w:tcPr>
            <w:tcW w:w="4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8,831,606</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Book-to-Bill (year to date)</w:t>
            </w:r>
          </w:p>
        </w:tc>
        <w:tc>
          <w:tcPr>
            <w:tcW w:w="2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660" w:right="80" w:hanging="652"/>
        <w:spacing w:after="0" w:line="25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$8.9 billion and our remaining unsatisfied performance obligations, or RUPO, of $7.0 billion, each as of June 30, 2025,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4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3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June 30, 2025</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3"/>
                <w:szCs w:val="13"/>
                <w:color w:val="auto"/>
              </w:rPr>
            </w:pPr>
          </w:p>
        </w:tc>
        <w:tc>
          <w:tcPr>
            <w:tcW w:w="10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June 30, 2025</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880" w:type="dxa"/>
            <w:vAlign w:val="bottom"/>
            <w:gridSpan w:val="2"/>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650,770</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805,170</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1,395,479</w:t>
            </w:r>
          </w:p>
        </w:tc>
        <w:tc>
          <w:tcPr>
            <w:tcW w:w="4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2,087,810</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855,275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694,894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1,877,072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1,494,563</w:t>
            </w:r>
          </w:p>
        </w:tc>
        <w:tc>
          <w:tcPr>
            <w:tcW w:w="100" w:type="dxa"/>
            <w:vAlign w:val="bottom"/>
          </w:tcPr>
          <w:p>
            <w:pPr>
              <w:spacing w:after="0"/>
              <w:rPr>
                <w:sz w:val="17"/>
                <w:szCs w:val="17"/>
                <w:color w:val="auto"/>
              </w:rPr>
            </w:pPr>
          </w:p>
        </w:tc>
      </w:tr>
      <w:tr>
        <w:trPr>
          <w:trHeight w:val="216"/>
        </w:trPr>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16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1,506,045</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1,500,064</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3,272,551</w:t>
            </w:r>
          </w:p>
        </w:tc>
        <w:tc>
          <w:tcPr>
            <w:tcW w:w="4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3,582,373</w:t>
            </w:r>
          </w:p>
        </w:tc>
        <w:tc>
          <w:tcPr>
            <w:tcW w:w="100" w:type="dxa"/>
            <w:vAlign w:val="bottom"/>
            <w:shd w:val="clear" w:color="auto" w:fill="CFF0FC"/>
          </w:tcPr>
          <w:p>
            <w:pPr>
              <w:spacing w:after="0"/>
              <w:rPr>
                <w:sz w:val="18"/>
                <w:szCs w:val="18"/>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596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40"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The increase in awards for the three and six months ended June 30, 2025 in our Critical Infrastructure segment when compared to the corresponding period last year was primarily driven by an overall increase in awards in the current year periods. The decrease in awards for the three and six months ended June 30, 2025 in our Federal Solutions segment when compared to the corresponding periods last year was primarily driven by a delay in the timing of awards of a number of contracts being pursued. The six months ended June 30, 2024 included significant option period awards from the confidential contract in the Federal Solutions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80" w:hanging="26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6"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150495</wp:posOffset>
            </wp:positionV>
            <wp:extent cx="85090" cy="145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090"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45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40" w:type="dxa"/>
            <w:vAlign w:val="bottom"/>
            <w:vMerge w:val="restart"/>
          </w:tcPr>
          <w:p>
            <w:pPr>
              <w:spacing w:after="0"/>
              <w:rPr>
                <w:sz w:val="20"/>
                <w:szCs w:val="20"/>
                <w:color w:val="auto"/>
              </w:rPr>
            </w:pPr>
            <w:r>
              <w:rPr>
                <w:rFonts w:ascii="Arial" w:cs="Arial" w:eastAsia="Arial" w:hAnsi="Arial"/>
                <w:sz w:val="18"/>
                <w:szCs w:val="18"/>
                <w:color w:val="auto"/>
              </w:rPr>
              <w:t>Federal Solutions:</w:t>
            </w: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2025</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Funded</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1,816,590</w:t>
            </w: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1,736,698</w:t>
            </w:r>
          </w:p>
        </w:tc>
        <w:tc>
          <w:tcPr>
            <w:tcW w:w="0" w:type="dxa"/>
            <w:vAlign w:val="bottom"/>
          </w:tcPr>
          <w:p>
            <w:pPr>
              <w:spacing w:after="0"/>
              <w:rPr>
                <w:sz w:val="1"/>
                <w:szCs w:val="1"/>
                <w:color w:val="auto"/>
              </w:rPr>
            </w:pPr>
          </w:p>
        </w:tc>
      </w:tr>
      <w:tr>
        <w:trPr>
          <w:trHeight w:val="203"/>
        </w:trPr>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Unfunded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2,656,547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3,284,801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Federal Solutions</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4,473,137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5,021,499</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Critical Infrastructure:</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Funded</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4,421,015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3,754,225</w:t>
            </w:r>
          </w:p>
        </w:tc>
        <w:tc>
          <w:tcPr>
            <w:tcW w:w="0" w:type="dxa"/>
            <w:vAlign w:val="bottom"/>
          </w:tcPr>
          <w:p>
            <w:pPr>
              <w:spacing w:after="0"/>
              <w:rPr>
                <w:sz w:val="1"/>
                <w:szCs w:val="1"/>
                <w:color w:val="auto"/>
              </w:rPr>
            </w:pPr>
          </w:p>
        </w:tc>
      </w:tr>
      <w:tr>
        <w:trPr>
          <w:trHeight w:val="203"/>
        </w:trPr>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Unfunded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4,469,901</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3,810,107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 Backlog (1)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8,943,038</w:t>
            </w:r>
          </w:p>
        </w:tc>
        <w:tc>
          <w:tcPr>
            <w:tcW w:w="80" w:type="dxa"/>
            <w:vAlign w:val="bottom"/>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8,831,606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-693420</wp:posOffset>
            </wp:positionV>
            <wp:extent cx="596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-693420</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right="40" w:hanging="638"/>
        <w:spacing w:after="0" w:line="25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Difference between our backlog of $8.9 billion and our RUPO of $7.0 billion, each as of June 30, 2025,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We expect to recognize $4.3 billion of our funded backlog at June 30, 2025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 than expected revenue” in the Company’s Form 10-K for the year ended December 31, 2024.</w:t>
      </w:r>
    </w:p>
    <w:p>
      <w:pPr>
        <w:spacing w:after="0" w:line="17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increase in backlog in the Critical Infrastructure segment was primarily from ordinary course fluctuations in our business and an overall increase in awards. The decrease in Federal Solutions backlog was primarily related to a reduction in work on our confidential contract as a result of the recent Department of State reorganization issued May 29, 2025 and a delay in the timing of awards of a number of contracts being pursued.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3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20" w:type="dxa"/>
            <w:vAlign w:val="bottom"/>
            <w:gridSpan w:val="4"/>
          </w:tcPr>
          <w:p>
            <w:pPr>
              <w:ind w:left="58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50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June 30, 2025</w:t>
            </w: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June 30, 2025</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2"/>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0.9</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1" w:name="page42"/>
    <w:bookmarkEnd w:id="41"/>
    <w:p>
      <w:pPr>
        <w:spacing w:after="0" w:line="271" w:lineRule="auto"/>
        <w:rPr>
          <w:sz w:val="20"/>
          <w:szCs w:val="20"/>
          <w:color w:val="auto"/>
        </w:rPr>
      </w:pPr>
      <w:r>
        <w:rPr>
          <w:rFonts w:ascii="Arial" w:cs="Arial" w:eastAsia="Arial" w:hAnsi="Arial"/>
          <w:sz w:val="18"/>
          <w:szCs w:val="18"/>
          <w:color w:val="auto"/>
        </w:rPr>
        <w:t>the success of our growth strategies and the timing and size of investments and expenditures that we choose to undertake, as well as market growth and other factors that are not within our control.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Chesapeake Technology International, Corp</w:t>
      </w:r>
    </w:p>
    <w:p>
      <w:pPr>
        <w:spacing w:after="0" w:line="102" w:lineRule="exact"/>
        <w:rPr>
          <w:sz w:val="20"/>
          <w:szCs w:val="20"/>
          <w:color w:val="auto"/>
        </w:rPr>
      </w:pPr>
    </w:p>
    <w:p>
      <w:pPr>
        <w:jc w:val="both"/>
        <w:ind w:right="460" w:firstLine="644"/>
        <w:spacing w:after="0" w:line="253" w:lineRule="auto"/>
        <w:rPr>
          <w:sz w:val="20"/>
          <w:szCs w:val="20"/>
          <w:color w:val="auto"/>
        </w:rPr>
      </w:pPr>
      <w:r>
        <w:rPr>
          <w:rFonts w:ascii="Arial" w:cs="Arial" w:eastAsia="Arial" w:hAnsi="Arial"/>
          <w:sz w:val="18"/>
          <w:szCs w:val="18"/>
          <w:color w:val="auto"/>
        </w:rPr>
        <w:t>On June 30, 2025, the Company acquired a 100% ownership interest in Chesapeake Technology International, Corp ("CTI"), a privately owned company, for $89.2 million from cash on hand. CTI brings extensive capabilities as an all-domain technology solutions provider, powered by cutting-edge products that enhance the warfighters’ ability to sense,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right="280"/>
        <w:spacing w:after="0" w:line="271" w:lineRule="auto"/>
        <w:rPr>
          <w:sz w:val="20"/>
          <w:szCs w:val="20"/>
          <w:color w:val="auto"/>
        </w:rPr>
      </w:pPr>
      <w:r>
        <w:rPr>
          <w:rFonts w:ascii="Arial" w:cs="Arial" w:eastAsia="Arial" w:hAnsi="Arial"/>
          <w:sz w:val="18"/>
          <w:szCs w:val="18"/>
          <w:color w:val="auto"/>
        </w:rPr>
        <w:t>evaluate and deliver effects within the invisible battlespaces. The financial results of CTI have been included in our consolidated results of operations from June 30, 2025 onward.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TRS Group, Inc.</w:t>
      </w:r>
    </w:p>
    <w:p>
      <w:pPr>
        <w:spacing w:after="0" w:line="102"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On January 31, 2025, the Company acquired a 100% ownership interest in TRS Group, Inc. ("TRS") a privately owned company, for $36.6 million. TRS is an environmental solutions firm that specializes in remediation technology. The acquisition of TRS significantly enhances Parsons’ environmental remediation capabilities. The financial results of TRS have been included in our consolidated results of operations from January 31, 2025 onward.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BCC Engineering, LLC</w:t>
      </w:r>
    </w:p>
    <w:p>
      <w:pPr>
        <w:spacing w:after="0" w:line="102" w:lineRule="exact"/>
        <w:rPr>
          <w:sz w:val="20"/>
          <w:szCs w:val="20"/>
          <w:color w:val="auto"/>
        </w:rPr>
      </w:pPr>
    </w:p>
    <w:p>
      <w:pPr>
        <w:ind w:right="540" w:firstLine="644"/>
        <w:spacing w:after="0" w:line="244" w:lineRule="auto"/>
        <w:rPr>
          <w:sz w:val="20"/>
          <w:szCs w:val="20"/>
          <w:color w:val="auto"/>
        </w:rPr>
      </w:pPr>
      <w:r>
        <w:rPr>
          <w:rFonts w:ascii="Arial" w:cs="Arial" w:eastAsia="Arial" w:hAnsi="Arial"/>
          <w:sz w:val="18"/>
          <w:szCs w:val="18"/>
          <w:color w:val="auto"/>
        </w:rPr>
        <w:t>On November 1, 2024, the Company acquired a 100% ownership interest in BCC Engineering, LLC ("BCC") a privately owned company, for $ 233.5 million.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The financial results of BCC have been included in our consolidated results of operations from October 18, 2024 onward.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BlackSignal Technologies, LLC</w:t>
      </w:r>
    </w:p>
    <w:p>
      <w:pPr>
        <w:spacing w:after="0" w:line="102" w:lineRule="exact"/>
        <w:rPr>
          <w:sz w:val="20"/>
          <w:szCs w:val="20"/>
          <w:color w:val="auto"/>
        </w:rPr>
      </w:pPr>
    </w:p>
    <w:p>
      <w:pPr>
        <w:ind w:right="100" w:firstLine="644"/>
        <w:spacing w:after="0" w:line="242" w:lineRule="auto"/>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The financial results of BlackSignal have been included in our consolidated results of operations from August 16, 2024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60" w:hanging="374"/>
        <w:spacing w:after="0" w:line="246" w:lineRule="auto"/>
        <w:tabs>
          <w:tab w:leader="none" w:pos="14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400" w:right="400" w:hanging="374"/>
        <w:spacing w:after="0" w:line="252" w:lineRule="auto"/>
        <w:tabs>
          <w:tab w:leader="none" w:pos="14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4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2024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040" w:type="dxa"/>
            <w:vAlign w:val="bottom"/>
          </w:tcPr>
          <w:p>
            <w:pPr>
              <w:spacing w:after="0"/>
              <w:rPr>
                <w:sz w:val="13"/>
                <w:szCs w:val="13"/>
                <w:color w:val="auto"/>
              </w:rPr>
            </w:pPr>
          </w:p>
        </w:tc>
        <w:tc>
          <w:tcPr>
            <w:tcW w:w="11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June 30, 2025</w:t>
            </w:r>
          </w:p>
        </w:tc>
        <w:tc>
          <w:tcPr>
            <w:tcW w:w="12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June 30, 2024</w:t>
            </w: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1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33.6%</w:t>
            </w:r>
          </w:p>
        </w:tc>
        <w:tc>
          <w:tcPr>
            <w:tcW w:w="130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42.3%</w:t>
            </w:r>
          </w:p>
        </w:tc>
        <w:tc>
          <w:tcPr>
            <w:tcW w:w="130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35.3%</w:t>
            </w:r>
          </w:p>
        </w:tc>
        <w:tc>
          <w:tcPr>
            <w:tcW w:w="130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41.7%</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23.5%</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rPr>
              <w:t>20.8%</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rPr>
              <w:t>22.9%</w:t>
            </w:r>
          </w:p>
        </w:tc>
        <w:tc>
          <w:tcPr>
            <w:tcW w:w="13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7"/>
              </w:rPr>
              <w:t>21.8%</w:t>
            </w: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1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42.9%</w:t>
            </w:r>
          </w:p>
        </w:tc>
        <w:tc>
          <w:tcPr>
            <w:tcW w:w="130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36.9%</w:t>
            </w:r>
          </w:p>
        </w:tc>
        <w:tc>
          <w:tcPr>
            <w:tcW w:w="130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41.8%</w:t>
            </w:r>
          </w:p>
        </w:tc>
        <w:tc>
          <w:tcPr>
            <w:tcW w:w="130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36.5%</w:t>
            </w:r>
          </w:p>
        </w:tc>
      </w:tr>
    </w:tbl>
    <w:p>
      <w:pPr>
        <w:spacing w:after="0" w:line="22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significant change in the contract mix for the three and six months ended June 30, 2025 compared to the</w:t>
      </w:r>
    </w:p>
    <w:p>
      <w:pPr>
        <w:spacing w:after="0" w:line="1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corresponding periods last year primarily relates to decreased business volume from a fixed price contract from a confidential contract in our Federal Solutions segment.</w:t>
      </w:r>
    </w:p>
    <w:p>
      <w:pPr>
        <w:spacing w:after="0" w:line="172"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140" w:firstLine="636"/>
        <w:spacing w:after="0" w:line="24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June 30, 2025 and June 30, 2024 of $42.0 million and $50.5 million, respectively and $87.5 million and $97.3 million for the six ended June 30, 2025 and June 30, 2024,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June 30, 2025 and June 30, 2024 was $17.6 million and $15.1 million, respectively, and $35.4 million and $30.1 million for the six months ended June 30, 2025 and June 30, 2024 , respectively and is recorded in “Direct cost of contracts” and “Selling, general and administrative expenses.”</w:t>
      </w:r>
    </w:p>
    <w:p>
      <w:pPr>
        <w:spacing w:after="0" w:line="176"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6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500"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six months ended June 30, 2025 and June 30, 2024.</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4800" w:type="dxa"/>
            <w:vAlign w:val="bottom"/>
            <w:vMerge w:val="continue"/>
          </w:tcPr>
          <w:p>
            <w:pPr>
              <w:spacing w:after="0"/>
              <w:rPr>
                <w:sz w:val="13"/>
                <w:szCs w:val="13"/>
                <w:color w:val="auto"/>
              </w:rPr>
            </w:pPr>
          </w:p>
        </w:tc>
        <w:tc>
          <w:tcPr>
            <w:tcW w:w="136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June 30, 2025</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June 30, 2025</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 (1)</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   149,131</w:t>
            </w:r>
          </w:p>
        </w:tc>
        <w:tc>
          <w:tcPr>
            <w:tcW w:w="3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   150,230</w:t>
            </w:r>
          </w:p>
        </w:tc>
        <w:tc>
          <w:tcPr>
            <w:tcW w:w="28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   297,907</w:t>
            </w:r>
          </w:p>
        </w:tc>
        <w:tc>
          <w:tcPr>
            <w:tcW w:w="3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   291,323</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Net Income Margin (2)</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(3)</w:t>
            </w: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9.4%</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9.5%</w:t>
            </w: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hanging="63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hanging="63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20" w:hanging="63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60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4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June 30, 2025</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55,230</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69,172</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121,433</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108,922</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11,501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9,183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21,605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21,029</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tax expense</w:t>
            </w: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18,690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22,415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37,667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35,739</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28,592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24,440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55,995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48,971</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15,259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11,547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26,790</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Equity-based compensation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11,519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10,647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18,622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23,303</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Convertible debt repurchase loss</w:t>
            </w: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18,355</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Transaction-related costs (a)</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8,836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5,188</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Restructuring (b)</w:t>
            </w: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Other (c)</w:t>
            </w:r>
          </w:p>
        </w:tc>
        <w:tc>
          <w:tcPr>
            <w:tcW w:w="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3,026</w:t>
            </w:r>
          </w:p>
        </w:tc>
        <w:tc>
          <w:tcPr>
            <w:tcW w:w="100" w:type="dxa"/>
            <w:vAlign w:val="bottom"/>
          </w:tcPr>
          <w:p>
            <w:pPr>
              <w:spacing w:after="0"/>
              <w:rPr>
                <w:sz w:val="17"/>
                <w:szCs w:val="17"/>
                <w:color w:val="auto"/>
              </w:rPr>
            </w:pPr>
          </w:p>
        </w:tc>
      </w:tr>
      <w:tr>
        <w:trPr>
          <w:trHeight w:val="232"/>
        </w:trPr>
        <w:tc>
          <w:tcPr>
            <w:tcW w:w="4860" w:type="dxa"/>
            <w:vAlign w:val="bottom"/>
          </w:tcPr>
          <w:p>
            <w:pPr>
              <w:ind w:left="140"/>
              <w:spacing w:after="0"/>
              <w:rPr>
                <w:sz w:val="20"/>
                <w:szCs w:val="20"/>
                <w:color w:val="auto"/>
              </w:rPr>
            </w:pPr>
            <w:r>
              <w:rPr>
                <w:rFonts w:ascii="Arial" w:cs="Arial" w:eastAsia="Arial" w:hAnsi="Arial"/>
                <w:sz w:val="18"/>
                <w:szCs w:val="18"/>
                <w:color w:val="auto"/>
              </w:rPr>
              <w:t>Adjusted EBITDA</w:t>
            </w: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149,131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150,230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297,907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291,323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660" w:right="120" w:hanging="652"/>
        <w:spacing w:after="0" w:line="23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ind w:left="660" w:right="100" w:hanging="652"/>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5" w:name="page46"/>
    <w:bookmarkEnd w:id="45"/>
    <w:p>
      <w:pPr>
        <w:ind w:right="80"/>
        <w:spacing w:after="0" w:line="238" w:lineRule="auto"/>
        <w:rPr>
          <w:sz w:val="20"/>
          <w:szCs w:val="20"/>
          <w:color w:val="auto"/>
        </w:rPr>
      </w:pPr>
      <w:r>
        <w:rPr>
          <w:rFonts w:ascii="Arial" w:cs="Arial" w:eastAsia="Arial" w:hAnsi="Arial"/>
          <w:sz w:val="18"/>
          <w:szCs w:val="18"/>
          <w:color w:val="auto"/>
        </w:rPr>
        <w:t>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3"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89"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table sets forth our results of operations for the three and six months ended June 30, 2025 and June 30, 2024 as a percentage of revenue.</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4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5"/>
                <w:szCs w:val="15"/>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2025</w:t>
            </w:r>
          </w:p>
        </w:tc>
        <w:tc>
          <w:tcPr>
            <w:tcW w:w="260" w:type="dxa"/>
            <w:vAlign w:val="bottom"/>
          </w:tcPr>
          <w:p>
            <w:pPr>
              <w:spacing w:after="0"/>
              <w:rPr>
                <w:sz w:val="15"/>
                <w:szCs w:val="15"/>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Direct costs of contracts</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78.0%</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79.0%</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77.6%</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15.9%</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13.4%</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15.8%</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120"/>
              <w:spacing w:after="0" w:line="196" w:lineRule="exact"/>
              <w:rPr>
                <w:sz w:val="20"/>
                <w:szCs w:val="20"/>
                <w:color w:val="auto"/>
              </w:rPr>
            </w:pPr>
            <w:r>
              <w:rPr>
                <w:rFonts w:ascii="Arial" w:cs="Arial" w:eastAsia="Arial" w:hAnsi="Arial"/>
                <w:sz w:val="18"/>
                <w:szCs w:val="18"/>
                <w:color w:val="auto"/>
              </w:rPr>
              <w:t>Operating income</w:t>
            </w: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6.0%</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6.7%</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6.5%</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income</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other income (expense)</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-0.5%</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120"/>
              <w:spacing w:after="0" w:line="196" w:lineRule="exact"/>
              <w:rPr>
                <w:sz w:val="20"/>
                <w:szCs w:val="20"/>
                <w:color w:val="auto"/>
              </w:rPr>
            </w:pPr>
            <w:r>
              <w:rPr>
                <w:rFonts w:ascii="Arial" w:cs="Arial" w:eastAsia="Arial" w:hAnsi="Arial"/>
                <w:sz w:val="18"/>
                <w:szCs w:val="18"/>
                <w:color w:val="auto"/>
              </w:rPr>
              <w:t>Income before income tax expense</w:t>
            </w: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12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4.8%</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4.9%</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12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3.5%</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-1490980</wp:posOffset>
            </wp:positionV>
            <wp:extent cx="1111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-1490980</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-1490980</wp:posOffset>
            </wp:positionV>
            <wp:extent cx="1111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-1490980</wp:posOffset>
            </wp:positionV>
            <wp:extent cx="1117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-693420</wp:posOffset>
            </wp:positionV>
            <wp:extent cx="1111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-693420</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-693420</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-693420</wp:posOffset>
            </wp:positionV>
            <wp:extent cx="1117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-427990</wp:posOffset>
            </wp:positionV>
            <wp:extent cx="1111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-427990</wp:posOffset>
            </wp:positionV>
            <wp:extent cx="1111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-427990</wp:posOffset>
            </wp:positionV>
            <wp:extent cx="1111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-427990</wp:posOffset>
            </wp:positionV>
            <wp:extent cx="1117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-161925</wp:posOffset>
            </wp:positionV>
            <wp:extent cx="1111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-161925</wp:posOffset>
            </wp:positionV>
            <wp:extent cx="111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-161925</wp:posOffset>
            </wp:positionV>
            <wp:extent cx="1111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-161925</wp:posOffset>
            </wp:positionV>
            <wp:extent cx="1117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05"/>
              <w:spacing w:after="0" w:line="155" w:lineRule="exact"/>
              <w:rPr>
                <w:sz w:val="20"/>
                <w:szCs w:val="20"/>
                <w:color w:val="auto"/>
              </w:rPr>
            </w:pPr>
            <w:r>
              <w:rPr>
                <w:rFonts w:ascii="Arial" w:cs="Arial" w:eastAsia="Arial" w:hAnsi="Arial"/>
                <w:sz w:val="14"/>
                <w:szCs w:val="14"/>
                <w:b w:val="1"/>
                <w:bCs w:val="1"/>
                <w:color w:val="auto"/>
              </w:rPr>
              <w:t>June 30, 2025</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1,584,323</w:t>
            </w:r>
          </w:p>
        </w:tc>
        <w:tc>
          <w:tcPr>
            <w:tcW w:w="4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1,670,467</w:t>
            </w:r>
          </w:p>
        </w:tc>
        <w:tc>
          <w:tcPr>
            <w:tcW w:w="5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(86,144)</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60" w:firstLine="644"/>
        <w:spacing w:after="0" w:line="253" w:lineRule="auto"/>
        <w:rPr>
          <w:sz w:val="20"/>
          <w:szCs w:val="20"/>
          <w:color w:val="auto"/>
        </w:rPr>
      </w:pPr>
      <w:r>
        <w:rPr>
          <w:rFonts w:ascii="Arial" w:cs="Arial" w:eastAsia="Arial" w:hAnsi="Arial"/>
          <w:sz w:val="18"/>
          <w:szCs w:val="18"/>
          <w:color w:val="auto"/>
        </w:rPr>
        <w:t>Revenue decreased $86.1 million for the three months ended June 30, 2025 when compared to the corresponding period last year, due to a decrease in revenue in our Federal Solutions segment of $183.1 million, offset by an increase in revenue in our Critical Infrastructure Segment of $97.0 million. See “Segment Results” below for a further discussion of the changes in the Company's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05"/>
              <w:spacing w:after="0" w:line="155" w:lineRule="exact"/>
              <w:rPr>
                <w:sz w:val="20"/>
                <w:szCs w:val="20"/>
                <w:color w:val="auto"/>
              </w:rPr>
            </w:pPr>
            <w:r>
              <w:rPr>
                <w:rFonts w:ascii="Arial" w:cs="Arial" w:eastAsia="Arial" w:hAnsi="Arial"/>
                <w:sz w:val="14"/>
                <w:szCs w:val="14"/>
                <w:b w:val="1"/>
                <w:bCs w:val="1"/>
                <w:color w:val="auto"/>
              </w:rPr>
              <w:t>June 30, 2025</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3,138,683</w:t>
            </w:r>
          </w:p>
        </w:tc>
        <w:tc>
          <w:tcPr>
            <w:tcW w:w="4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3,206,143</w:t>
            </w:r>
          </w:p>
        </w:tc>
        <w:tc>
          <w:tcPr>
            <w:tcW w:w="5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(67,460)</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ind w:right="120" w:firstLine="644"/>
        <w:spacing w:after="0" w:line="253" w:lineRule="auto"/>
        <w:rPr>
          <w:sz w:val="20"/>
          <w:szCs w:val="20"/>
          <w:color w:val="auto"/>
        </w:rPr>
      </w:pPr>
      <w:r>
        <w:rPr>
          <w:rFonts w:ascii="Arial" w:cs="Arial" w:eastAsia="Arial" w:hAnsi="Arial"/>
          <w:sz w:val="18"/>
          <w:szCs w:val="18"/>
          <w:color w:val="auto"/>
        </w:rPr>
        <w:t>The decrease in revenue of $67.5 million for the six months ended June 30, 2025 when compared to the corresponding period last year, was due to a decrease in our Federal Solutions segment of $250.2 million offset by an increase in revenue in our Critical Infrastructure segment of $182.7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10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1,235,970</w:t>
            </w:r>
          </w:p>
        </w:tc>
        <w:tc>
          <w:tcPr>
            <w:tcW w:w="5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1,318,931</w:t>
            </w:r>
          </w:p>
        </w:tc>
        <w:tc>
          <w:tcPr>
            <w:tcW w:w="1320" w:type="dxa"/>
            <w:vAlign w:val="bottom"/>
            <w:gridSpan w:val="2"/>
            <w:shd w:val="clear" w:color="auto" w:fill="CFF0FC"/>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(82,961)</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160" w:firstLine="644"/>
        <w:spacing w:after="0" w:line="244" w:lineRule="auto"/>
        <w:rPr>
          <w:sz w:val="20"/>
          <w:szCs w:val="20"/>
          <w:color w:val="auto"/>
        </w:rPr>
      </w:pPr>
      <w:r>
        <w:rPr>
          <w:rFonts w:ascii="Arial" w:cs="Arial" w:eastAsia="Arial" w:hAnsi="Arial"/>
          <w:sz w:val="18"/>
          <w:szCs w:val="18"/>
          <w:color w:val="auto"/>
        </w:rPr>
        <w:t>Direct cost of contracts decreased $ 83.0 million for the three months ended June 30, 2025 when compared to the corresponding period last year, primarily due to a decrease of $146.3 million in our Federal Solutions segment offset by an increase of $63.4 million in our Critical Infrastructure segment. The decrease in direct costs of contracts in the Federal Solutions segment is primarily related to reduced volume from our confidential contract, See “Segment Results” below for a further discussion. The increase in direct costs of contracts in the Critical Infrastructure segment is primarily related to increased volume from new and existing contracts.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10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2,436,347</w:t>
            </w:r>
          </w:p>
        </w:tc>
        <w:tc>
          <w:tcPr>
            <w:tcW w:w="5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2,529,758</w:t>
            </w:r>
          </w:p>
        </w:tc>
        <w:tc>
          <w:tcPr>
            <w:tcW w:w="1320" w:type="dxa"/>
            <w:vAlign w:val="bottom"/>
            <w:gridSpan w:val="2"/>
            <w:shd w:val="clear" w:color="auto" w:fill="CFF0FC"/>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(93,411)</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The decrease in direct cost of contracts $93.4 million for the six months ended June 30, 2025 when compared to the corresponding period last year, was primarily due to a decrease of $208.3 million in our Federal Solutions segment offset by an increase of $ 114.9 million in our Critical Infrastructure segment. The changes in direct cost of contracts for the six months ended June 30, 2025 compared to the corresponding period last year were primarily impacted by the factors noted above for both segments for the three months ended June 30, 2025.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unconsolidated joint ventures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640" w:type="dxa"/>
            <w:vAlign w:val="bottom"/>
            <w:gridSpan w:val="3"/>
          </w:tcPr>
          <w:p>
            <w:pPr>
              <w:ind w:left="92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June 30, 2025</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22"/>
              <w:spacing w:after="0" w:line="155" w:lineRule="exact"/>
              <w:rPr>
                <w:sz w:val="20"/>
                <w:szCs w:val="20"/>
                <w:color w:val="auto"/>
              </w:rPr>
            </w:pPr>
            <w:r>
              <w:rPr>
                <w:rFonts w:ascii="Arial" w:cs="Arial" w:eastAsia="Arial" w:hAnsi="Arial"/>
                <w:sz w:val="14"/>
                <w:szCs w:val="14"/>
                <w:b w:val="1"/>
                <w:bCs w:val="1"/>
                <w:color w:val="auto"/>
              </w:rPr>
              <w:t>Dollar</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losses of unconsolidated joint ventures</w:t>
            </w:r>
          </w:p>
        </w:tc>
        <w:tc>
          <w:tcPr>
            <w:tcW w:w="6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(642)</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(16,837)</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16,195</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firstLine="644"/>
        <w:spacing w:after="0" w:line="253" w:lineRule="auto"/>
        <w:rPr>
          <w:sz w:val="20"/>
          <w:szCs w:val="20"/>
          <w:color w:val="auto"/>
        </w:rPr>
      </w:pPr>
      <w:r>
        <w:rPr>
          <w:rFonts w:ascii="Arial" w:cs="Arial" w:eastAsia="Arial" w:hAnsi="Arial"/>
          <w:sz w:val="18"/>
          <w:szCs w:val="18"/>
          <w:color w:val="auto"/>
        </w:rPr>
        <w:t>Equity in losses of unconsolidated joint ventures improved by $16.2 million for the three months ended June 30, 2025 compared to the corresponding period last year. The improvement in equity in losses of unconsolidated joint ventures was primarily driven by the Company winding down its participation in construction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620" w:type="dxa"/>
            <w:vAlign w:val="bottom"/>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June 30, 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losses of unconsolidated joint ventures</w:t>
            </w:r>
          </w:p>
        </w:tc>
        <w:tc>
          <w:tcPr>
            <w:tcW w:w="6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(1,329)</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(18,897)</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17,568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644"/>
        <w:spacing w:after="0" w:line="253" w:lineRule="auto"/>
        <w:rPr>
          <w:sz w:val="20"/>
          <w:szCs w:val="20"/>
          <w:color w:val="auto"/>
        </w:rPr>
      </w:pPr>
      <w:r>
        <w:rPr>
          <w:rFonts w:ascii="Arial" w:cs="Arial" w:eastAsia="Arial" w:hAnsi="Arial"/>
          <w:sz w:val="18"/>
          <w:szCs w:val="18"/>
          <w:color w:val="auto"/>
        </w:rPr>
        <w:t>Equity in losses of unconsolidated joint ventures improved by $17.6 million for the six months ended June 30, 2025 compared to the corresponding period last year. The improvement in equity in losses of unconsolidated joint ventures was primarily driven by the Company winding down its participation in construction joint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June 30, 2025</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252,050</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223,277</w:t>
            </w:r>
          </w:p>
        </w:tc>
        <w:tc>
          <w:tcPr>
            <w:tcW w:w="4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28,773</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80" w:firstLine="636"/>
        <w:spacing w:after="0" w:line="253" w:lineRule="auto"/>
        <w:rPr>
          <w:sz w:val="20"/>
          <w:szCs w:val="20"/>
          <w:color w:val="auto"/>
        </w:rPr>
      </w:pPr>
      <w:r>
        <w:rPr>
          <w:rFonts w:ascii="Arial" w:cs="Arial" w:eastAsia="Arial" w:hAnsi="Arial"/>
          <w:sz w:val="18"/>
          <w:szCs w:val="18"/>
          <w:color w:val="auto"/>
        </w:rPr>
        <w:t>As a percentage of revenue, our SG&amp;A increased by 2.5% to 15.9% for the three months ended June 30, 2025 compared to 13.4% for the corresponding period last year. The increase in SG&amp;A was primarily due to an increase in segment level SG&amp;A, in particular from business acquisitions, increased investments in bid and proposal activity, critical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160"/>
        <w:spacing w:after="0" w:line="253" w:lineRule="auto"/>
        <w:rPr>
          <w:sz w:val="20"/>
          <w:szCs w:val="20"/>
          <w:color w:val="auto"/>
        </w:rPr>
      </w:pPr>
      <w:r>
        <w:rPr>
          <w:rFonts w:ascii="Arial" w:cs="Arial" w:eastAsia="Arial" w:hAnsi="Arial"/>
          <w:sz w:val="18"/>
          <w:szCs w:val="18"/>
          <w:color w:val="auto"/>
        </w:rPr>
        <w:t>hires in support of our strong pipeline, and large strategic pursuits aligned to the Trump administration’s priorities. Partially offsetting these increases in SG&amp;A was a decrease in incentive compensation cost. Partially driving the increase in SG&amp;A as a percent of revenue, was the decrease in business volume in the Federal Solutions segment discussed below.</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496,113</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444,222</w:t>
            </w:r>
          </w:p>
        </w:tc>
        <w:tc>
          <w:tcPr>
            <w:tcW w:w="1240" w:type="dxa"/>
            <w:vAlign w:val="bottom"/>
            <w:gridSpan w:val="2"/>
            <w:shd w:val="clear" w:color="auto" w:fill="CFF0FC"/>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51,891</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percentage of revenue, SG&amp;A increased by 2.0% to 15.8% for the six months ended June 30, 2025</w:t>
      </w:r>
    </w:p>
    <w:p>
      <w:pPr>
        <w:spacing w:after="0" w:line="1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compared to 13.9% for the corresponding period last year. The increase in SG&amp;A was primarily due to the factors noted above for the three months ended June 30, 2025.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6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3,825</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(2,757)</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(12,569)</w:t>
            </w:r>
          </w:p>
        </w:tc>
        <w:tc>
          <w:tcPr>
            <w:tcW w:w="24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(13,008)</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895</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4,124</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(6,482)</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(8,288)</w:t>
            </w:r>
          </w:p>
        </w:tc>
        <w:tc>
          <w:tcPr>
            <w:tcW w:w="1040" w:type="dxa"/>
            <w:vAlign w:val="bottom"/>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1,806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5"/>
          </w:tcPr>
          <w:p>
            <w:pPr>
              <w:jc w:val="right"/>
              <w:ind w:right="146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24"/>
                <w:szCs w:val="24"/>
                <w:color w:val="auto"/>
              </w:rPr>
            </w:pPr>
          </w:p>
        </w:tc>
        <w:tc>
          <w:tcPr>
            <w:tcW w:w="1220" w:type="dxa"/>
            <w:vAlign w:val="bottom"/>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4,976</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(1,766)</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(24,815)</w:t>
            </w:r>
          </w:p>
        </w:tc>
        <w:tc>
          <w:tcPr>
            <w:tcW w:w="24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(26,005)</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1,191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Convertible debt repurchase loss</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(18,355)</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18,355</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6,654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(2,431)</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9,085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6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(14,951)</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(41,815)</w:t>
            </w: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26,864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-1353820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-1353820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-1353820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-1353820</wp:posOffset>
            </wp:positionV>
            <wp:extent cx="1117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is related to interest earned on investments in government money funds.</w:t>
      </w:r>
    </w:p>
    <w:p>
      <w:pPr>
        <w:spacing w:after="0" w:line="212" w:lineRule="exact"/>
        <w:rPr>
          <w:sz w:val="20"/>
          <w:szCs w:val="20"/>
          <w:color w:val="auto"/>
        </w:rPr>
      </w:pPr>
    </w:p>
    <w:p>
      <w:pPr>
        <w:jc w:val="both"/>
        <w:ind w:right="220" w:firstLine="636"/>
        <w:spacing w:after="0" w:line="253" w:lineRule="auto"/>
        <w:rPr>
          <w:sz w:val="20"/>
          <w:szCs w:val="20"/>
          <w:color w:val="auto"/>
        </w:rPr>
      </w:pPr>
      <w:r>
        <w:rPr>
          <w:rFonts w:ascii="Arial" w:cs="Arial" w:eastAsia="Arial" w:hAnsi="Arial"/>
          <w:sz w:val="18"/>
          <w:szCs w:val="18"/>
          <w:color w:val="auto"/>
        </w:rPr>
        <w:t>Interest expense for the three and six months ended June 30, 2024 is primarily due to debt related to our Convertible Senior Notes and Term Loan. Interest expense for the six months ended June 30, 2024 included a $3.2 million charge related to the March 2024 partial repurchase of the Company's Convertible Senior Notes due 2025 (discussed in more detail below).</w:t>
      </w:r>
    </w:p>
    <w:p>
      <w:pPr>
        <w:spacing w:after="0" w:line="169" w:lineRule="exact"/>
        <w:rPr>
          <w:sz w:val="20"/>
          <w:szCs w:val="20"/>
          <w:color w:val="auto"/>
        </w:rPr>
      </w:pPr>
    </w:p>
    <w:p>
      <w:pPr>
        <w:ind w:right="20" w:firstLine="636"/>
        <w:spacing w:after="0" w:line="230" w:lineRule="auto"/>
        <w:rPr>
          <w:sz w:val="20"/>
          <w:szCs w:val="20"/>
          <w:color w:val="auto"/>
        </w:rPr>
      </w:pPr>
      <w:r>
        <w:rPr>
          <w:rFonts w:ascii="Arial" w:cs="Arial" w:eastAsia="Arial" w:hAnsi="Arial"/>
          <w:sz w:val="18"/>
          <w:szCs w:val="18"/>
          <w:color w:val="auto"/>
        </w:rPr>
        <w:t>During the six months ended June 30,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 $18.4 million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on debt extinguishment. The Repurchase Transaction is a partial repurchase of our Convertible Senior Notes due 2025. See </w:t>
      </w:r>
      <w:r>
        <w:rPr>
          <w:rFonts w:ascii="Arial" w:cs="Arial" w:eastAsia="Arial" w:hAnsi="Arial"/>
          <w:sz w:val="18"/>
          <w:szCs w:val="18"/>
          <w:color w:val="202124"/>
        </w:rPr>
        <w:t>“Note 10 – Debt and Credit Facilities,” for a further discussion of this</w:t>
      </w:r>
      <w:r>
        <w:rPr>
          <w:rFonts w:ascii="Arial" w:cs="Arial" w:eastAsia="Arial" w:hAnsi="Arial"/>
          <w:sz w:val="18"/>
          <w:szCs w:val="18"/>
          <w:color w:val="auto"/>
        </w:rPr>
        <w:t xml:space="preserve"> </w:t>
      </w:r>
      <w:r>
        <w:rPr>
          <w:rFonts w:ascii="Arial" w:cs="Arial" w:eastAsia="Arial" w:hAnsi="Arial"/>
          <w:sz w:val="18"/>
          <w:szCs w:val="18"/>
          <w:color w:val="202124"/>
        </w:rPr>
        <w:t>transaction</w:t>
      </w:r>
      <w:r>
        <w:rPr>
          <w:rFonts w:ascii="Arial" w:cs="Arial" w:eastAsia="Arial" w:hAnsi="Arial"/>
          <w:sz w:val="18"/>
          <w:szCs w:val="18"/>
          <w:color w:val="000000"/>
        </w:rPr>
        <w:t>.</w:t>
      </w:r>
    </w:p>
    <w:p>
      <w:pPr>
        <w:spacing w:after="0" w:line="189" w:lineRule="exact"/>
        <w:rPr>
          <w:sz w:val="20"/>
          <w:szCs w:val="20"/>
          <w:color w:val="auto"/>
        </w:rPr>
      </w:pPr>
    </w:p>
    <w:p>
      <w:pPr>
        <w:ind w:right="80" w:firstLine="636"/>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Please see "Note 2— Basis of Presentation and Principles of Consolidation" for a discussion of the Company's adoption of ASU 2024-04. As a result of the early adoption, the extinguishment charge was reversed from the Company's consolidated financial statements and a convertible debt repurchase loss was recorded as described above.</w:t>
      </w:r>
    </w:p>
    <w:p>
      <w:pPr>
        <w:spacing w:after="0" w:line="187"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and sublease income. Other income (expense), net for the six months ended June 30, 2024 included a $1.8 million change in the estimated fair value of contingent consideration which was settled in the prior fiscal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Income tax (benefit)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Pr>
          <w:p>
            <w:pPr>
              <w:spacing w:after="0"/>
              <w:rPr>
                <w:sz w:val="14"/>
                <w:szCs w:val="14"/>
                <w:color w:val="auto"/>
              </w:rPr>
            </w:pPr>
          </w:p>
        </w:tc>
        <w:tc>
          <w:tcPr>
            <w:tcW w:w="3820" w:type="dxa"/>
            <w:vAlign w:val="bottom"/>
            <w:gridSpan w:val="6"/>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June 30, 2025</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Dollar</w:t>
            </w: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ind w:left="980"/>
              <w:spacing w:after="0" w:line="196" w:lineRule="exact"/>
              <w:rPr>
                <w:sz w:val="20"/>
                <w:szCs w:val="20"/>
                <w:color w:val="auto"/>
              </w:rPr>
            </w:pPr>
            <w:r>
              <w:rPr>
                <w:rFonts w:ascii="Arial" w:cs="Arial" w:eastAsia="Arial" w:hAnsi="Arial"/>
                <w:sz w:val="18"/>
                <w:szCs w:val="18"/>
                <w:color w:val="auto"/>
              </w:rPr>
              <w:t>18,690</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22,415</w:t>
            </w:r>
          </w:p>
        </w:tc>
        <w:tc>
          <w:tcPr>
            <w:tcW w:w="1360" w:type="dxa"/>
            <w:vAlign w:val="bottom"/>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(3,725)</w:t>
            </w:r>
          </w:p>
        </w:tc>
        <w:tc>
          <w:tcPr>
            <w:tcW w:w="4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The Company’s effective tax rate was 21.0% and 21.7% and income tax expense was $18.7 million and $22.4 million for the three months ended June 30, 2025 and June 30, 2024, respectively. The decrease in tax expense for the three months ended June 30, 2025 compared to the three months ended June 30, 2024 was due primarily to the tax impact of a decrease in pre-tax income, a change in jurisdictional mix of earnings and an increase in untaxed income attributed to noncontrolling interests, partially offset by decreases in the foreign-derived intangible income (FDII) deduction and the windfall tax benefit from equity-based compensation deduction.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3"/>
                <w:szCs w:val="13"/>
                <w:color w:val="auto"/>
              </w:rPr>
            </w:pPr>
          </w:p>
        </w:tc>
        <w:tc>
          <w:tcPr>
            <w:tcW w:w="12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Dollar</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8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37,667</w:t>
            </w:r>
          </w:p>
        </w:tc>
        <w:tc>
          <w:tcPr>
            <w:tcW w:w="5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35,739</w:t>
            </w:r>
          </w:p>
        </w:tc>
        <w:tc>
          <w:tcPr>
            <w:tcW w:w="1520" w:type="dxa"/>
            <w:vAlign w:val="bottom"/>
            <w:gridSpan w:val="2"/>
            <w:shd w:val="clear" w:color="auto" w:fill="CFF0FC"/>
          </w:tcPr>
          <w:p>
            <w:pPr>
              <w:jc w:val="right"/>
              <w:ind w:right="106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40" w:firstLine="509"/>
        <w:spacing w:after="0" w:line="242" w:lineRule="auto"/>
        <w:rPr>
          <w:sz w:val="20"/>
          <w:szCs w:val="20"/>
          <w:color w:val="auto"/>
        </w:rPr>
      </w:pPr>
      <w:r>
        <w:rPr>
          <w:rFonts w:ascii="Arial" w:cs="Arial" w:eastAsia="Arial" w:hAnsi="Arial"/>
          <w:sz w:val="18"/>
          <w:szCs w:val="18"/>
          <w:color w:val="auto"/>
        </w:rPr>
        <w:t>The Company’s effective income tax rate was 19.8% and 20.9% for the six months ended June 30, 2025 and June 30, 2024, respectively. Income tax expense was 37.7 million and $35.7 million for the six months ended June 30, 2025 and June 30, 2024, respectively. The increase in tax expense for the six months ended June 30, 2025 compared to the six months ended June 30, 2024 was due primarily to the tax impact of an increase in pre-tax income, decreases in the FDII deduction and windfall equity-based compensation deduction, partially offset by the change in jurisdictional mix of earnings and an increase in untaxed income attributed to noncontrolling interests.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8"/>
                <w:szCs w:val="18"/>
                <w:color w:val="auto"/>
              </w:rPr>
            </w:pPr>
          </w:p>
        </w:tc>
        <w:tc>
          <w:tcPr>
            <w:tcW w:w="1340" w:type="dxa"/>
            <w:vAlign w:val="bottom"/>
            <w:gridSpan w:val="5"/>
          </w:tcPr>
          <w:p>
            <w:pPr>
              <w:ind w:left="80"/>
              <w:spacing w:after="0"/>
              <w:rPr>
                <w:sz w:val="20"/>
                <w:szCs w:val="20"/>
                <w:color w:val="auto"/>
              </w:rPr>
            </w:pPr>
            <w:r>
              <w:rPr>
                <w:rFonts w:ascii="Arial" w:cs="Arial" w:eastAsia="Arial" w:hAnsi="Arial"/>
                <w:sz w:val="14"/>
                <w:szCs w:val="14"/>
                <w:b w:val="1"/>
                <w:bCs w:val="1"/>
                <w:color w:val="auto"/>
              </w:rPr>
              <w:t>June 30, 2025</w:t>
            </w: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177"/>
        </w:trPr>
        <w:tc>
          <w:tcPr>
            <w:tcW w:w="49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 Parsons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67,072</w:t>
            </w:r>
          </w:p>
        </w:tc>
        <w:tc>
          <w:tcPr>
            <w:tcW w:w="66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8"/>
              </w:rPr>
              <w:t>102,781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142,604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40" w:type="dxa"/>
            <w:vAlign w:val="bottom"/>
            <w:gridSpan w:val="2"/>
          </w:tcPr>
          <w:p>
            <w:pPr>
              <w:spacing w:after="0" w:line="183" w:lineRule="exact"/>
              <w:rPr>
                <w:sz w:val="20"/>
                <w:szCs w:val="20"/>
                <w:color w:val="auto"/>
              </w:rPr>
            </w:pPr>
            <w:r>
              <w:rPr>
                <w:rFonts w:ascii="Arial" w:cs="Arial" w:eastAsia="Arial" w:hAnsi="Arial"/>
                <w:sz w:val="18"/>
                <w:szCs w:val="18"/>
                <w:color w:val="auto"/>
              </w:rPr>
              <w:t>Critical Infrastructure Adjusted EBITDA attributable to Parsons</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00" w:type="dxa"/>
            <w:vAlign w:val="bottom"/>
          </w:tcPr>
          <w:p>
            <w:pPr>
              <w:spacing w:after="0"/>
              <w:rPr>
                <w:sz w:val="20"/>
                <w:szCs w:val="20"/>
                <w:color w:val="auto"/>
              </w:rPr>
            </w:pPr>
            <w:r>
              <w:rPr>
                <w:rFonts w:ascii="Arial" w:cs="Arial" w:eastAsia="Arial" w:hAnsi="Arial"/>
                <w:sz w:val="18"/>
                <w:szCs w:val="18"/>
                <w:color w:val="auto"/>
              </w:rPr>
              <w:t>Corporation</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66,193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35,612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124,380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68,575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1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15,866</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8"/>
              </w:rPr>
              <w:t>11,837</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30,923</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27,426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160"/>
              <w:spacing w:after="0" w:line="196" w:lineRule="exact"/>
              <w:rPr>
                <w:sz w:val="20"/>
                <w:szCs w:val="20"/>
                <w:color w:val="auto"/>
              </w:rPr>
            </w:pPr>
            <w:r>
              <w:rPr>
                <w:rFonts w:ascii="Arial" w:cs="Arial" w:eastAsia="Arial" w:hAnsi="Arial"/>
                <w:sz w:val="18"/>
                <w:szCs w:val="18"/>
                <w:color w:val="auto"/>
              </w:rPr>
              <w:t>Total Adjusted EBITDA</w:t>
            </w:r>
          </w:p>
        </w:tc>
        <w:tc>
          <w:tcPr>
            <w:tcW w:w="140" w:type="dxa"/>
            <w:vAlign w:val="bottom"/>
          </w:tcPr>
          <w:p>
            <w:pPr>
              <w:spacing w:after="0"/>
              <w:rPr>
                <w:sz w:val="17"/>
                <w:szCs w:val="17"/>
                <w:color w:val="auto"/>
              </w:rPr>
            </w:pPr>
          </w:p>
        </w:tc>
        <w:tc>
          <w:tcPr>
            <w:tcW w:w="1220" w:type="dxa"/>
            <w:vAlign w:val="bottom"/>
            <w:gridSpan w:val="2"/>
          </w:tcPr>
          <w:p>
            <w:pPr>
              <w:jc w:val="right"/>
              <w:ind w:right="408"/>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149,131</w:t>
            </w:r>
          </w:p>
        </w:tc>
        <w:tc>
          <w:tcPr>
            <w:tcW w:w="66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8"/>
              </w:rPr>
              <w:t>150,230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297,907</w:t>
            </w:r>
          </w:p>
        </w:tc>
        <w:tc>
          <w:tcPr>
            <w:tcW w:w="2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291,323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48"/>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805,464</w:t>
            </w:r>
          </w:p>
        </w:tc>
        <w:tc>
          <w:tcPr>
            <w:tcW w:w="840" w:type="dxa"/>
            <w:vAlign w:val="bottom"/>
            <w:gridSpan w:val="2"/>
            <w:shd w:val="clear" w:color="auto" w:fill="CFF0FC"/>
          </w:tcPr>
          <w:p>
            <w:pPr>
              <w:jc w:val="right"/>
              <w:ind w:right="428"/>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988,603</w:t>
            </w:r>
          </w:p>
        </w:tc>
        <w:tc>
          <w:tcPr>
            <w:tcW w:w="5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4"/>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(183,139)</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67,072</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102,781</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(35,709)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-999490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-999490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-999490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-999490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1" w:lineRule="exact"/>
        <w:rPr>
          <w:sz w:val="20"/>
          <w:szCs w:val="20"/>
          <w:color w:val="auto"/>
        </w:rPr>
      </w:pPr>
    </w:p>
    <w:p>
      <w:pPr>
        <w:ind w:right="320" w:firstLine="644"/>
        <w:spacing w:after="0" w:line="271" w:lineRule="auto"/>
        <w:rPr>
          <w:sz w:val="20"/>
          <w:szCs w:val="20"/>
          <w:color w:val="auto"/>
        </w:rPr>
      </w:pPr>
      <w:r>
        <w:rPr>
          <w:rFonts w:ascii="Arial" w:cs="Arial" w:eastAsia="Arial" w:hAnsi="Arial"/>
          <w:sz w:val="18"/>
          <w:szCs w:val="18"/>
          <w:color w:val="auto"/>
        </w:rPr>
        <w:t>The decrease in Federal Solutions revenue for the three months ended June 30, 2025 compared to the corresponding period last year was primarily driven by our confidential contract operating at a reduced volume as a result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9" w:name="page50"/>
    <w:bookmarkEnd w:id="49"/>
    <w:p>
      <w:pPr>
        <w:jc w:val="both"/>
        <w:ind w:right="140"/>
        <w:spacing w:after="0" w:line="253" w:lineRule="auto"/>
        <w:rPr>
          <w:sz w:val="20"/>
          <w:szCs w:val="20"/>
          <w:color w:val="auto"/>
        </w:rPr>
      </w:pPr>
      <w:r>
        <w:rPr>
          <w:rFonts w:ascii="Arial" w:cs="Arial" w:eastAsia="Arial" w:hAnsi="Arial"/>
          <w:sz w:val="18"/>
          <w:szCs w:val="18"/>
          <w:color w:val="auto"/>
        </w:rPr>
        <w:t>of the recent Department of State reorganization issued May 29, 2025 (the confidential contract was terminated for convenience on July 16, 2025 with close out activity to commence at month end). This decrease was partially offset by growth on existing contracts and the ramp-up of new task orders.</w:t>
      </w:r>
    </w:p>
    <w:p>
      <w:pPr>
        <w:spacing w:after="0" w:line="169" w:lineRule="exact"/>
        <w:rPr>
          <w:sz w:val="20"/>
          <w:szCs w:val="20"/>
          <w:color w:val="auto"/>
        </w:rPr>
      </w:pPr>
    </w:p>
    <w:p>
      <w:pPr>
        <w:ind w:right="160" w:firstLine="644"/>
        <w:spacing w:after="0" w:line="253" w:lineRule="auto"/>
        <w:rPr>
          <w:sz w:val="20"/>
          <w:szCs w:val="20"/>
          <w:color w:val="auto"/>
        </w:rPr>
      </w:pPr>
      <w:r>
        <w:rPr>
          <w:rFonts w:ascii="Arial" w:cs="Arial" w:eastAsia="Arial" w:hAnsi="Arial"/>
          <w:sz w:val="18"/>
          <w:szCs w:val="18"/>
          <w:color w:val="auto"/>
        </w:rPr>
        <w:t>The decrease in Federal Solutions Adjusted EBITDA attributable to Parsons Corporation for the three months ended June 30, 2025 compared to the corresponding period last year was primarily due to the factors impacting revenue discussed above and an increase in SG&amp;A including investments made in key personnel and bid and proposal activity on strategic pursuits.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1,648,021</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1,898,211</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(250,190)</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142,604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195,322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(52,718)</w:t>
            </w: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firstLine="644"/>
        <w:spacing w:after="0" w:line="271" w:lineRule="auto"/>
        <w:rPr>
          <w:sz w:val="20"/>
          <w:szCs w:val="20"/>
          <w:color w:val="auto"/>
        </w:rPr>
      </w:pPr>
      <w:r>
        <w:rPr>
          <w:rFonts w:ascii="Arial" w:cs="Arial" w:eastAsia="Arial" w:hAnsi="Arial"/>
          <w:sz w:val="18"/>
          <w:szCs w:val="18"/>
          <w:color w:val="auto"/>
        </w:rPr>
        <w:t>The decrease in Federal Solutions revenue for the six months ended June 30, 2024 compared to the corresponding period last year was primarily related to the factors impacting revenue discussed above for the three months ended June 30, 2025.</w:t>
      </w:r>
    </w:p>
    <w:p>
      <w:pPr>
        <w:spacing w:after="0" w:line="154" w:lineRule="exact"/>
        <w:rPr>
          <w:sz w:val="20"/>
          <w:szCs w:val="20"/>
          <w:color w:val="auto"/>
        </w:rPr>
      </w:pPr>
    </w:p>
    <w:p>
      <w:pPr>
        <w:ind w:right="340" w:firstLine="644"/>
        <w:spacing w:after="0" w:line="253" w:lineRule="auto"/>
        <w:rPr>
          <w:sz w:val="20"/>
          <w:szCs w:val="20"/>
          <w:color w:val="auto"/>
        </w:rPr>
      </w:pPr>
      <w:r>
        <w:rPr>
          <w:rFonts w:ascii="Arial" w:cs="Arial" w:eastAsia="Arial" w:hAnsi="Arial"/>
          <w:sz w:val="18"/>
          <w:szCs w:val="18"/>
          <w:color w:val="auto"/>
        </w:rPr>
        <w:t>The decrease in Federal Solutions Adjusted EBITDA attributable to Parsons Corporation for the six months ended June 30, 2024 compared to the corresponding period last year was primarily due to the factors discussed above for Adjusted EBITDA attributable to Parsons Corporation for the three months ended June 30, 2025.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778,859</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681,864</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96,995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66,193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35,612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30,581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June 30, 2025 compared to the corresponding periods last year was primarily related to organic growth of 8% and $ 41.8 million from business acquisitions. Organic growth was primarily due to an increase in business volume from existing contracts and ramping up of recent awards.</w:t>
      </w:r>
    </w:p>
    <w:p>
      <w:pPr>
        <w:spacing w:after="0" w:line="169" w:lineRule="exact"/>
        <w:rPr>
          <w:sz w:val="20"/>
          <w:szCs w:val="20"/>
          <w:color w:val="auto"/>
        </w:rPr>
      </w:pPr>
    </w:p>
    <w:p>
      <w:pPr>
        <w:ind w:right="320" w:firstLine="644"/>
        <w:spacing w:after="0" w:line="247"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June 30, 2025 compared to the corresponding period last year was primarily due to the revenue impacts discussed above, recent business acquisitions, and improvement in equity in losses from unconsolidated joint ventures. These increases in Adjusted EBITDA, were partially offset by an increase in SG&amp;A.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1,490,662</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1,307,932</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182,730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124,380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68,575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55,805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560" w:firstLine="644"/>
        <w:spacing w:after="0" w:line="301" w:lineRule="auto"/>
        <w:rPr>
          <w:sz w:val="20"/>
          <w:szCs w:val="20"/>
          <w:color w:val="auto"/>
        </w:rPr>
      </w:pPr>
      <w:r>
        <w:rPr>
          <w:rFonts w:ascii="Arial" w:cs="Arial" w:eastAsia="Arial" w:hAnsi="Arial"/>
          <w:sz w:val="17"/>
          <w:szCs w:val="17"/>
          <w:color w:val="auto"/>
        </w:rPr>
        <w:t>The increase in Critical Infrastructure revenue for the six months ended June 30, 2024 compared to the corresponding period last year was primarily related to organic growth of 8% and $74.8 million from business acquisitions.</w:t>
      </w:r>
    </w:p>
    <w:p>
      <w:pPr>
        <w:spacing w:after="0" w:line="131" w:lineRule="exact"/>
        <w:rPr>
          <w:sz w:val="20"/>
          <w:szCs w:val="20"/>
          <w:color w:val="auto"/>
        </w:rPr>
      </w:pPr>
    </w:p>
    <w:p>
      <w:pPr>
        <w:ind w:right="1520" w:firstLine="644"/>
        <w:spacing w:after="0" w:line="25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six months ended June 30, 2024 compared to the corresponding period last year was primarily due to the factors discussed above for Adjusted EBITDA for the three months ended June 30, 2025.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center"/>
        <w:ind w:left="64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Term Loan and periodic borrowings under our Revolving Credit Facility.</w:t>
      </w:r>
    </w:p>
    <w:p>
      <w:pPr>
        <w:spacing w:after="0" w:line="15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As of June 30, 2025, we believe we have adequate liquidity and capital resources to fund our operations, support our debt service and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77"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Accounts receivable is the principal component of our working capital and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60 days at June 30, 2025 unchanged from June 30, 2024. Our working capital (current assets less current liabilities) was $986.1 million at June 30, 2025 and $546.8 million at December 31, 2024.</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cash and cash equivalents decreased by $42.2 million to $411.3 million at June 30, 2025 from $453.5 million at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5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June 30, 2025</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3"/>
                <w:szCs w:val="13"/>
                <w:color w:val="auto"/>
              </w:rPr>
            </w:pPr>
          </w:p>
        </w:tc>
      </w:tr>
      <w:tr>
        <w:trPr>
          <w:trHeight w:val="196"/>
        </w:trPr>
        <w:tc>
          <w:tcPr>
            <w:tcW w:w="5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148,014</w:t>
            </w: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97,807</w:t>
            </w:r>
          </w:p>
        </w:tc>
        <w:tc>
          <w:tcPr>
            <w:tcW w:w="100" w:type="dxa"/>
            <w:vAlign w:val="bottom"/>
            <w:shd w:val="clear" w:color="auto" w:fill="CFF0FC"/>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(164,308)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(88,715)</w:t>
            </w: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(29,193)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247,065</w:t>
            </w:r>
          </w:p>
        </w:tc>
        <w:tc>
          <w:tcPr>
            <w:tcW w:w="100" w:type="dxa"/>
            <w:vAlign w:val="bottom"/>
            <w:shd w:val="clear" w:color="auto" w:fill="CFF0FC"/>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3,266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(638)</w:t>
            </w:r>
          </w:p>
        </w:tc>
      </w:tr>
      <w:tr>
        <w:trPr>
          <w:trHeight w:val="20"/>
        </w:trPr>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(42,221)</w:t>
            </w: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255,519</w:t>
            </w:r>
          </w:p>
        </w:tc>
        <w:tc>
          <w:tcPr>
            <w:tcW w:w="100" w:type="dxa"/>
            <w:vAlign w:val="bottom"/>
            <w:shd w:val="clear" w:color="auto" w:fill="CFF0FC"/>
          </w:tcPr>
          <w:p>
            <w:pPr>
              <w:spacing w:after="0"/>
              <w:rPr>
                <w:sz w:val="18"/>
                <w:szCs w:val="18"/>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280" w:firstLine="636"/>
        <w:spacing w:after="0" w:line="247"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160"/>
        <w:spacing w:after="0" w:line="271" w:lineRule="auto"/>
        <w:rPr>
          <w:sz w:val="20"/>
          <w:szCs w:val="20"/>
          <w:color w:val="auto"/>
        </w:rPr>
      </w:pPr>
      <w:r>
        <w:rPr>
          <w:rFonts w:ascii="Arial" w:cs="Arial" w:eastAsia="Arial" w:hAnsi="Arial"/>
          <w:sz w:val="18"/>
          <w:szCs w:val="18"/>
          <w:color w:val="auto"/>
        </w:rPr>
        <w:t>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46"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Net cash provided by operating activities increased $50.2 million for the six months ended June 30, 2025 compared to the six months ended June 30, 2024. The primary driver of the increase in cash flows provided by operating activities was a $61.1 million increase in cash inflows from our working capital accounts (primarily from accounts receivable, and accounts payable offset by accrued expenses and other current liabilities and contract assets) and an increase in other long-term liabilities of $6.6 million offset in part by a $17.5 million decrease in net income after adjusting for non-cash items.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500" w:firstLine="636"/>
        <w:spacing w:after="0" w:line="247" w:lineRule="auto"/>
        <w:rPr>
          <w:sz w:val="20"/>
          <w:szCs w:val="20"/>
          <w:color w:val="auto"/>
        </w:rPr>
      </w:pPr>
      <w:r>
        <w:rPr>
          <w:rFonts w:ascii="Arial" w:cs="Arial" w:eastAsia="Arial" w:hAnsi="Arial"/>
          <w:sz w:val="18"/>
          <w:szCs w:val="18"/>
          <w:color w:val="auto"/>
        </w:rPr>
        <w:t>Net cash used in investing activities increased $75.6 million for the six months ended June 30, 2025, when compared to the six months ended June 30, 2024. This change was primarily driven by a $117.8 million increase in payments for acquisitions, net of cash acquired offset by a $34.5 million decrease in investments in unconsolidated joint ventures and a $11.9 million increase in return on investments in unconsolidated joint ventures.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600" w:firstLine="636"/>
        <w:spacing w:after="0" w:line="271" w:lineRule="auto"/>
        <w:rPr>
          <w:sz w:val="20"/>
          <w:szCs w:val="20"/>
          <w:color w:val="auto"/>
        </w:rPr>
      </w:pPr>
      <w:r>
        <w:rPr>
          <w:rFonts w:ascii="Arial" w:cs="Arial" w:eastAsia="Arial" w:hAnsi="Arial"/>
          <w:sz w:val="18"/>
          <w:szCs w:val="18"/>
          <w:color w:val="auto"/>
        </w:rPr>
        <w:t>Net cash (used in) provided by financing activities is primarily associated with proceeds from debt, the repayment thereof, and distributions to noncontrolling interests.</w:t>
      </w:r>
    </w:p>
    <w:p>
      <w:pPr>
        <w:spacing w:after="0" w:line="154" w:lineRule="exact"/>
        <w:rPr>
          <w:sz w:val="20"/>
          <w:szCs w:val="20"/>
          <w:color w:val="auto"/>
        </w:rPr>
      </w:pPr>
    </w:p>
    <w:p>
      <w:pPr>
        <w:ind w:right="20" w:firstLine="636"/>
        <w:spacing w:after="0" w:line="242" w:lineRule="auto"/>
        <w:rPr>
          <w:sz w:val="20"/>
          <w:szCs w:val="20"/>
          <w:color w:val="auto"/>
        </w:rPr>
      </w:pPr>
      <w:r>
        <w:rPr>
          <w:rFonts w:ascii="Arial" w:cs="Arial" w:eastAsia="Arial" w:hAnsi="Arial"/>
          <w:sz w:val="18"/>
          <w:szCs w:val="18"/>
          <w:color w:val="auto"/>
        </w:rPr>
        <w:t>Net cash used in financing activities increased $276.3 million for the six months ended June 30, 2025 compared to the six months ended June 30, 2024. The change in cash flows (used in) provided by financing activities is primarily driven by net cash inflows from our convertible bond transactions for the six months ended June 30, 2024 of $ 316.2 million. See “Note 10 – Debt and Credit Facilities,” for a further discussion of these transactions. Also impacting net cash (used in) provided by financing activities were $30.0 million of repurchase of common stock and a $29.8 million change in distributions to noncontrolling interest offset in part by net, proceeds from the term loan of $100 million.</w:t>
      </w:r>
    </w:p>
    <w:p>
      <w:pPr>
        <w:spacing w:after="0" w:line="179"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In June 2025, the Company terminated its $ 350 million Delayed Draw Term Loan due 2025 and its $650 million Revolving Credit Facility due 2026 and replaced these credit facilities with a $450 million Term Loan due 2028 and a $750 million Revolving Credit Facility due 2030. See “Note 10 – Debt and Credit Facilities and the Company's Form 8-K filed June 5, 2025 for a further discussion of these credit facilities. Proceeds from the Term Loan were used to payoff the outstanding balance of the Delayed Draw Term Loan.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$353.8 million as of June 30, 2025. Letters of credit outstanding under the Credit Agreement total $41.8 million as of June 30, 2025.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6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400" w:firstLine="636"/>
        <w:spacing w:after="0" w:line="253" w:lineRule="auto"/>
        <w:rPr>
          <w:sz w:val="20"/>
          <w:szCs w:val="20"/>
          <w:color w:val="auto"/>
        </w:rPr>
      </w:pPr>
      <w:r>
        <w:rPr>
          <w:rFonts w:ascii="Arial" w:cs="Arial" w:eastAsia="Arial" w:hAnsi="Arial"/>
          <w:sz w:val="18"/>
          <w:szCs w:val="18"/>
          <w:color w:val="auto"/>
        </w:rPr>
        <w:t>As of June 30, 2025,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risks related to the Company’s Revolving Credit Facility and Term Loan.</w:t>
      </w:r>
    </w:p>
    <w:p>
      <w:pPr>
        <w:spacing w:after="0" w:line="104" w:lineRule="exact"/>
        <w:rPr>
          <w:sz w:val="20"/>
          <w:szCs w:val="20"/>
          <w:color w:val="auto"/>
        </w:rPr>
      </w:pPr>
    </w:p>
    <w:p>
      <w:pPr>
        <w:ind w:right="280" w:firstLine="636"/>
        <w:spacing w:after="0" w:line="247" w:lineRule="auto"/>
        <w:rPr>
          <w:sz w:val="20"/>
          <w:szCs w:val="20"/>
          <w:color w:val="auto"/>
        </w:rPr>
      </w:pPr>
      <w:r>
        <w:rPr>
          <w:rFonts w:ascii="Arial" w:cs="Arial" w:eastAsia="Arial" w:hAnsi="Arial"/>
          <w:sz w:val="18"/>
          <w:szCs w:val="18"/>
          <w:color w:val="auto"/>
        </w:rPr>
        <w:t>As of June 30, 2025, there were no amounts outstanding under the Revolving Credit Facility. Borrowings under the Credit Facility effective June 2025 bear interest at either the Term SOFR rate plus a margin between 1.0% and 1.625% or a base rate (as defined in the Credit Agreement) plus a margin of between 0% and 0.625%. The rates on June 30, 2025 and December 31, 2024 were 5.7% and 5.7% (prior facility), respectively.</w:t>
      </w:r>
    </w:p>
    <w:p>
      <w:pPr>
        <w:spacing w:after="0" w:line="66" w:lineRule="exact"/>
        <w:rPr>
          <w:sz w:val="20"/>
          <w:szCs w:val="20"/>
          <w:color w:val="auto"/>
        </w:rPr>
      </w:pPr>
    </w:p>
    <w:p>
      <w:pPr>
        <w:ind w:right="340" w:firstLine="686"/>
        <w:spacing w:after="0" w:line="247" w:lineRule="auto"/>
        <w:rPr>
          <w:sz w:val="20"/>
          <w:szCs w:val="20"/>
          <w:color w:val="auto"/>
        </w:rPr>
      </w:pPr>
      <w:r>
        <w:rPr>
          <w:rFonts w:ascii="Arial" w:cs="Arial" w:eastAsia="Arial" w:hAnsi="Arial"/>
          <w:sz w:val="18"/>
          <w:szCs w:val="18"/>
          <w:color w:val="auto"/>
        </w:rPr>
        <w:t>As of June 30, 2025, there was $450.0 million outstanding under the Term Loan. Borrowings under the Term Loan Agreement effective June 2025 will bear interest at either an adjusted Term SOFR benchmark rate plus a margin between 0.875% and 1.500% or a base rate plus a margin of between 0% and 0.500% and will initially bear interest at the middle of this range. The interest rate at June 30, 2025 and December 31, 2024 were 5.6% and 5.6% (prior facility),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Our management carried out, as of June 30, 2025,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2025,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During the second quarter of 2025,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have been no material changes to our Risk Factors disclosed in the Company’s Form 10-K for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Any purchases made by the Company during Q1 of 2025 would be deducted from the reset capacity.</w:t>
      </w:r>
    </w:p>
    <w:p>
      <w:pPr>
        <w:spacing w:after="0" w:line="68"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180" w:firstLine="644"/>
        <w:spacing w:after="0" w:line="271" w:lineRule="auto"/>
        <w:rPr>
          <w:sz w:val="20"/>
          <w:szCs w:val="20"/>
          <w:color w:val="auto"/>
        </w:rPr>
      </w:pPr>
      <w:r>
        <w:rPr>
          <w:rFonts w:ascii="Arial" w:cs="Arial" w:eastAsia="Arial" w:hAnsi="Arial"/>
          <w:sz w:val="18"/>
          <w:szCs w:val="18"/>
          <w:color w:val="auto"/>
        </w:rPr>
        <w:t>As of June 30, 2025, the Company has spent $119.7 million repurchasing 2,356,246 shares of Common Stock at an average price of $50.80 per share.</w:t>
      </w:r>
    </w:p>
    <w:p>
      <w:pPr>
        <w:spacing w:after="0" w:line="46"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repurchases of equity securities for the three months ended June 30,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280" w:type="dxa"/>
            <w:vAlign w:val="bottom"/>
          </w:tcPr>
          <w:p>
            <w:pPr>
              <w:spacing w:after="0"/>
              <w:rPr>
                <w:sz w:val="10"/>
                <w:szCs w:val="1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 share (or unit)</w:t>
            </w:r>
          </w:p>
        </w:tc>
        <w:tc>
          <w:tcPr>
            <w:tcW w:w="24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0"/>
                <w:szCs w:val="10"/>
                <w:color w:val="auto"/>
              </w:rPr>
            </w:pPr>
          </w:p>
        </w:tc>
        <w:tc>
          <w:tcPr>
            <w:tcW w:w="16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shares (or units) that</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plans programs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April 1 to 30, 2025</w:t>
            </w:r>
          </w:p>
        </w:tc>
        <w:tc>
          <w:tcPr>
            <w:tcW w:w="27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225,005,478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May 1 to 31, 2025</w:t>
            </w:r>
          </w:p>
        </w:tc>
        <w:tc>
          <w:tcPr>
            <w:tcW w:w="27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225,005,478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June 1 to 30, 2025</w:t>
            </w:r>
          </w:p>
        </w:tc>
        <w:tc>
          <w:tcPr>
            <w:tcW w:w="27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218,785</w:t>
            </w:r>
          </w:p>
        </w:tc>
        <w:tc>
          <w:tcPr>
            <w:tcW w:w="640" w:type="dxa"/>
            <w:vAlign w:val="bottom"/>
            <w:tcBorders>
              <w:bottom w:val="single" w:sz="8" w:color="CFF0FC"/>
            </w:tcBorders>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68.56</w:t>
            </w:r>
          </w:p>
        </w:tc>
        <w:tc>
          <w:tcPr>
            <w:tcW w:w="24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218,785</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210,005,603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2720" w:type="dxa"/>
            <w:vAlign w:val="bottom"/>
          </w:tcPr>
          <w:p>
            <w:pPr>
              <w:spacing w:after="0"/>
              <w:rPr>
                <w:sz w:val="17"/>
                <w:szCs w:val="17"/>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218,785</w:t>
            </w:r>
          </w:p>
        </w:tc>
        <w:tc>
          <w:tcPr>
            <w:tcW w:w="640" w:type="dxa"/>
            <w:vAlign w:val="bottom"/>
            <w:gridSpan w:val="2"/>
          </w:tcPr>
          <w:p>
            <w:pPr>
              <w:jc w:val="right"/>
              <w:ind w:right="188"/>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68.56</w:t>
            </w:r>
          </w:p>
        </w:tc>
        <w:tc>
          <w:tcPr>
            <w:tcW w:w="1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218,785</w:t>
            </w:r>
          </w:p>
        </w:tc>
        <w:tc>
          <w:tcPr>
            <w:tcW w:w="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210,005,603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-162560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ind w:left="740" w:hanging="88"/>
        <w:spacing w:after="0"/>
        <w:tabs>
          <w:tab w:leader="none" w:pos="74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Includes commissions in the calculation of average price per share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60" w:firstLine="644"/>
        <w:spacing w:after="0" w:line="247"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Compensation</w:t>
      </w:r>
    </w:p>
    <w:p>
      <w:pPr>
        <w:spacing w:after="0" w:line="104" w:lineRule="exact"/>
        <w:rPr>
          <w:sz w:val="20"/>
          <w:szCs w:val="20"/>
          <w:color w:val="auto"/>
        </w:rPr>
      </w:pPr>
    </w:p>
    <w:p>
      <w:pPr>
        <w:ind w:right="120" w:firstLine="644"/>
        <w:spacing w:after="0" w:line="242" w:lineRule="auto"/>
        <w:rPr>
          <w:sz w:val="20"/>
          <w:szCs w:val="20"/>
          <w:color w:val="auto"/>
        </w:rPr>
      </w:pPr>
      <w:r>
        <w:rPr>
          <w:rFonts w:ascii="Arial" w:cs="Arial" w:eastAsia="Arial" w:hAnsi="Arial"/>
          <w:sz w:val="18"/>
          <w:szCs w:val="18"/>
          <w:color w:val="auto"/>
        </w:rPr>
        <w:t>As anticipated in the 8-K filed by Parsons Corporation on June 2, 2025, Parsons received notice of the termination for convenience of the material confidential contract with the Department of State on July 16, 2025. At the time of establishing the 2025 employee incentive plan, this termination was unforeseeable, and it was not within the control of the company nor its employees, having followed soon after the exercise of the contract option. Accordingly, the Parsons Board of Directors unanimously agreed that it is appropriate to modify certain 2025 short-term and long-term incentives for Parsons’ employees. Should the termination be revoked or the contract otherwise extended, any related financial benefit would be excluded from the incentive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9"/>
          </w:tcPr>
          <w:p>
            <w:pPr>
              <w:ind w:left="244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3"/>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7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45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20" w:type="dxa"/>
            <w:vAlign w:val="bottom"/>
            <w:tcBorders>
              <w:top w:val="single" w:sz="8" w:color="0000FF"/>
            </w:tcBorders>
            <w:gridSpan w:val="6"/>
          </w:tcPr>
          <w:p>
            <w:pPr>
              <w:spacing w:after="0"/>
              <w:rPr>
                <w:sz w:val="15"/>
                <w:szCs w:val="15"/>
                <w:color w:val="auto"/>
              </w:rPr>
            </w:pPr>
          </w:p>
        </w:tc>
        <w:tc>
          <w:tcPr>
            <w:tcW w:w="580" w:type="dxa"/>
            <w:vAlign w:val="bottom"/>
            <w:gridSpan w:val="3"/>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60" w:type="dxa"/>
            <w:vAlign w:val="bottom"/>
            <w:tcBorders>
              <w:top w:val="single" w:sz="8" w:color="0000FF"/>
            </w:tcBorders>
            <w:gridSpan w:val="5"/>
          </w:tcPr>
          <w:p>
            <w:pPr>
              <w:spacing w:after="0"/>
              <w:rPr>
                <w:sz w:val="15"/>
                <w:szCs w:val="15"/>
                <w:color w:val="auto"/>
              </w:rPr>
            </w:pPr>
          </w:p>
        </w:tc>
        <w:tc>
          <w:tcPr>
            <w:tcW w:w="640" w:type="dxa"/>
            <w:vAlign w:val="bottom"/>
            <w:gridSpan w:val="4"/>
          </w:tcPr>
          <w:p>
            <w:pPr>
              <w:spacing w:after="0"/>
              <w:rPr>
                <w:sz w:val="15"/>
                <w:szCs w:val="15"/>
                <w:color w:val="auto"/>
              </w:rPr>
            </w:pPr>
          </w:p>
        </w:tc>
      </w:tr>
    </w:tbl>
    <w:p>
      <w:pPr>
        <w:spacing w:after="0" w:line="116" w:lineRule="exact"/>
        <w:rPr>
          <w:sz w:val="20"/>
          <w:szCs w:val="20"/>
          <w:color w:val="auto"/>
        </w:rPr>
      </w:pPr>
    </w:p>
    <w:p>
      <w:pPr>
        <w:ind w:left="940" w:right="20" w:hanging="932"/>
        <w:spacing w:after="0" w:line="247"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June 30, 2025,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79" w:lineRule="exact"/>
        <w:rPr>
          <w:sz w:val="20"/>
          <w:szCs w:val="20"/>
          <w:color w:val="auto"/>
        </w:rPr>
      </w:pPr>
    </w:p>
    <w:p>
      <w:pPr>
        <w:ind w:left="940" w:right="80" w:hanging="932"/>
        <w:spacing w:after="0" w:line="271" w:lineRule="auto"/>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788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620" w:val="left"/>
          <w:tab w:leader="none" w:pos="842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740" w:val="left"/>
          <w:tab w:leader="none" w:pos="830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2025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14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2025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02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8890</wp:posOffset>
            </wp:positionV>
            <wp:extent cx="300037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5"/>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1."/>
      <w:numFmt w:val="decimal"/>
      <w:start w:val="8"/>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0"/>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1"/>
    </w:lvl>
  </w:abstractNum>
  <w:abstractNum w:abstractNumId="16">
    <w:nsid w:val="3A95F874"/>
    <w:multiLevelType w:val="hybridMultilevel"/>
    <w:lvl w:ilvl="0">
      <w:lvlJc w:val="left"/>
      <w:lvlText w:val="%1."/>
      <w:numFmt w:val="decimal"/>
      <w:start w:val="12"/>
    </w:lvl>
  </w:abstractNum>
  <w:abstractNum w:abstractNumId="17">
    <w:nsid w:val="8138641"/>
    <w:multiLevelType w:val="hybridMultilevel"/>
    <w:lvl w:ilvl="0">
      <w:lvlJc w:val="left"/>
      <w:lvlText w:val="%1."/>
      <w:numFmt w:val="decimal"/>
      <w:start w:val="13"/>
    </w:lvl>
  </w:abstractNum>
  <w:abstractNum w:abstractNumId="18">
    <w:nsid w:val="1E7FF521"/>
    <w:multiLevelType w:val="hybridMultilevel"/>
    <w:lvl w:ilvl="0">
      <w:lvlJc w:val="left"/>
      <w:lvlText w:val="%1."/>
      <w:numFmt w:val="decimal"/>
      <w:start w:val="14"/>
    </w:lvl>
  </w:abstractNum>
  <w:abstractNum w:abstractNumId="19">
    <w:nsid w:val="7C3DBD3D"/>
    <w:multiLevelType w:val="hybridMultilevel"/>
    <w:lvl w:ilvl="0">
      <w:lvlJc w:val="left"/>
      <w:lvlText w:val="%1."/>
      <w:numFmt w:val="decimal"/>
      <w:start w:val="15"/>
    </w:lvl>
  </w:abstractNum>
  <w:abstractNum w:abstractNumId="20">
    <w:nsid w:val="737B8DDC"/>
    <w:multiLevelType w:val="hybridMultilevel"/>
    <w:lvl w:ilvl="0">
      <w:lvlJc w:val="left"/>
      <w:lvlText w:val="%1."/>
      <w:numFmt w:val="decimal"/>
      <w:start w:val="16"/>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7"/>
    </w:lvl>
  </w:abstractNum>
  <w:abstractNum w:abstractNumId="23">
    <w:nsid w:val="4516DDE9"/>
    <w:multiLevelType w:val="hybridMultilevel"/>
    <w:lvl w:ilvl="0">
      <w:lvlJc w:val="left"/>
      <w:lvlText w:val="%1."/>
      <w:numFmt w:val="decimal"/>
      <w:start w:val="1"/>
    </w:lvl>
    <w:lvl w:ilvl="1">
      <w:lvlJc w:val="left"/>
      <w:lvlText w:val="%2."/>
      <w:numFmt w:val="lowerLetter"/>
      <w:start w:val="1"/>
    </w:lvl>
  </w:abstractNum>
  <w:abstractNum w:abstractNumId="24">
    <w:nsid w:val="3006C83E"/>
    <w:multiLevelType w:val="hybridMultilevel"/>
    <w:lvl w:ilvl="0">
      <w:lvlJc w:val="left"/>
      <w:lvlText w:val="%1."/>
      <w:numFmt w:val="decimal"/>
      <w:start w:val="17"/>
    </w:lvl>
    <w:lvl w:ilvl="1">
      <w:lvlJc w:val="left"/>
      <w:lvlText w:val="1"/>
      <w:numFmt w:val="bullet"/>
      <w:start w:val="1"/>
    </w:lvl>
  </w:abstractNum>
  <w:abstractNum w:abstractNumId="25">
    <w:nsid w:val="614FD4A1"/>
    <w:multiLevelType w:val="hybridMultilevel"/>
    <w:lvl w:ilvl="0">
      <w:lvlJc w:val="left"/>
      <w:lvlText w:val="(%1)"/>
      <w:numFmt w:val="lowerLetter"/>
      <w:start w:val="1"/>
    </w:lvl>
    <w:lvl w:ilvl="1">
      <w:lvlJc w:val="left"/>
      <w:lvlText w:val="%2."/>
      <w:numFmt w:val="lowerRoman"/>
      <w:start w:val="1"/>
    </w:lvl>
  </w:abstractNum>
  <w:abstractNum w:abstractNumId="26">
    <w:nsid w:val="419AC241"/>
    <w:multiLevelType w:val="hybridMultilevel"/>
    <w:lvl w:ilvl="0">
      <w:lvlJc w:val="left"/>
      <w:lvlText w:val="%1."/>
      <w:numFmt w:val="decimal"/>
      <w:start w:val="19"/>
    </w:lvl>
  </w:abstractNum>
  <w:abstractNum w:abstractNumId="27">
    <w:nsid w:val="5577F8E1"/>
    <w:multiLevelType w:val="hybridMultilevel"/>
    <w:lvl w:ilvl="0">
      <w:lvlJc w:val="left"/>
      <w:lvlText w:val="1"/>
      <w:numFmt w:val="bullet"/>
      <w:start w:val="1"/>
    </w:lvl>
  </w:abstractNum>
  <w:abstractNum w:abstractNumId="28">
    <w:nsid w:val="440BADFC"/>
    <w:multiLevelType w:val="hybridMultilevel"/>
    <w:lvl w:ilvl="0">
      <w:lvlJc w:val="left"/>
      <w:lvlText w:val="2"/>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bullet"/>
      <w:start w:val="1"/>
    </w:lvl>
  </w:abstractNum>
  <w:abstractNum w:abstractNumId="36">
    <w:nsid w:val="51EAD36B"/>
    <w:multiLevelType w:val="hybridMultilevel"/>
    <w:lvl w:ilvl="0">
      <w:lvlJc w:val="left"/>
      <w:lvlText w:val="%1"/>
      <w:numFmt w:val="decimal"/>
      <w:start w:val="101"/>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2025-08-06T05:42:18Z</dcterms:created>
  <dcterms:modified xsi:type="dcterms:W3CDTF">2025-08-06T05:42:18Z</dcterms:modified>
</cp:coreProperties>
</file>