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 w:lineRule="exact"/>
        <w:rPr>
          <w:sz w:val="24"/>
          <w:szCs w:val="24"/>
          <w:color w:val="auto"/>
        </w:rPr>
      </w:pPr>
    </w:p>
    <w:p>
      <w:pPr>
        <w:ind w:left="1860" w:hanging="788"/>
        <w:spacing w:after="0"/>
        <w:tabs>
          <w:tab w:leader="none" w:pos="18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860" w:hanging="787"/>
        <w:spacing w:after="0"/>
        <w:tabs>
          <w:tab w:leader="none" w:pos="18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80010</wp:posOffset>
            </wp:positionV>
            <wp:extent cx="252031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31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286"/>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5875 Trinity Parkway #300</w:t>
            </w:r>
          </w:p>
        </w:tc>
        <w:tc>
          <w:tcPr>
            <w:tcW w:w="3040" w:type="dxa"/>
            <w:vAlign w:val="bottom"/>
          </w:tcPr>
          <w:p>
            <w:pPr>
              <w:spacing w:after="0"/>
              <w:rPr>
                <w:sz w:val="24"/>
                <w:szCs w:val="24"/>
                <w:color w:val="auto"/>
              </w:rPr>
            </w:pPr>
          </w:p>
        </w:tc>
      </w:t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Centreville, Virginia</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20120</w:t>
            </w:r>
          </w:p>
        </w:tc>
      </w:tr>
      <w:tr>
        <w:trPr>
          <w:trHeight w:val="190"/>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30"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040" w:type="dxa"/>
            <w:vAlign w:val="bottom"/>
          </w:tcPr>
          <w:p>
            <w:pPr>
              <w:spacing w:after="0"/>
              <w:rPr>
                <w:sz w:val="14"/>
                <w:szCs w:val="14"/>
                <w:color w:val="auto"/>
              </w:rPr>
            </w:pPr>
          </w:p>
        </w:tc>
      </w:tr>
      <w:tr>
        <w:trPr>
          <w:trHeight w:val="17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0"/>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PSN</w:t>
            </w: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67" w:lineRule="exact"/>
        <w:rPr>
          <w:sz w:val="24"/>
          <w:szCs w:val="24"/>
          <w:color w:val="auto"/>
        </w:rPr>
      </w:pPr>
    </w:p>
    <w:p>
      <w:pPr>
        <w:ind w:right="6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26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440" w:firstLine="599"/>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ind w:right="460" w:firstLine="59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600" w:right="800" w:hanging="598"/>
        <w:spacing w:after="0" w:line="273"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28, 2021, the registrant had 102,408,608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36"/>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gridSpan w:val="6"/>
          </w:tcPr>
          <w:p>
            <w:pPr>
              <w:ind w:left="260"/>
              <w:spacing w:after="0"/>
              <w:rPr>
                <w:sz w:val="20"/>
                <w:szCs w:val="20"/>
                <w:color w:val="auto"/>
              </w:rPr>
            </w:pPr>
            <w:r>
              <w:rPr>
                <w:rFonts w:ascii="Arial" w:cs="Arial" w:eastAsia="Arial" w:hAnsi="Arial"/>
                <w:sz w:val="25"/>
                <w:szCs w:val="25"/>
                <w:b w:val="1"/>
                <w:bCs w:val="1"/>
                <w:color w:val="auto"/>
              </w:rPr>
              <w:t>Table of Contents</w:t>
            </w:r>
          </w:p>
        </w:tc>
      </w:tr>
      <w:tr>
        <w:trPr>
          <w:trHeight w:val="626"/>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FINANCIAL INFORMATION</w:t>
              </w:r>
            </w:hyperlink>
          </w:p>
        </w:tc>
        <w:tc>
          <w:tcPr>
            <w:tcW w:w="4840" w:type="dxa"/>
            <w:vAlign w:val="bottom"/>
            <w:gridSpan w:val="11"/>
          </w:tcPr>
          <w:p>
            <w:pPr>
              <w:spacing w:after="0"/>
              <w:rPr>
                <w:sz w:val="24"/>
                <w:szCs w:val="24"/>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23"/>
        </w:trPr>
        <w:tc>
          <w:tcPr>
            <w:tcW w:w="1120" w:type="dxa"/>
            <w:vAlign w:val="bottom"/>
          </w:tcPr>
          <w:p>
            <w:pPr>
              <w:spacing w:after="0"/>
              <w:rPr>
                <w:sz w:val="19"/>
                <w:szCs w:val="19"/>
                <w:color w:val="auto"/>
              </w:rPr>
            </w:pPr>
          </w:p>
        </w:tc>
        <w:tc>
          <w:tcPr>
            <w:tcW w:w="23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Balance Sheets</w:t>
              </w:r>
            </w:hyperlink>
          </w:p>
        </w:tc>
        <w:tc>
          <w:tcPr>
            <w:tcW w:w="300" w:type="dxa"/>
            <w:vAlign w:val="bottom"/>
            <w:tcBorders>
              <w:top w:val="single" w:sz="8" w:color="0000EE"/>
            </w:tcBorders>
            <w:gridSpan w:val="2"/>
          </w:tcPr>
          <w:p>
            <w:pPr>
              <w:spacing w:after="0"/>
              <w:rPr>
                <w:sz w:val="19"/>
                <w:szCs w:val="19"/>
                <w:color w:val="auto"/>
              </w:rPr>
            </w:pPr>
          </w:p>
        </w:tc>
        <w:tc>
          <w:tcPr>
            <w:tcW w:w="4420" w:type="dxa"/>
            <w:vAlign w:val="bottom"/>
            <w:gridSpan w:val="8"/>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70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416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Comprehensive Income</w:t>
              </w:r>
            </w:hyperlink>
          </w:p>
        </w:tc>
        <w:tc>
          <w:tcPr>
            <w:tcW w:w="2920" w:type="dxa"/>
            <w:vAlign w:val="bottom"/>
            <w:gridSpan w:val="4"/>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2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w:t>
              </w:r>
            </w:hyperlink>
          </w:p>
        </w:tc>
        <w:tc>
          <w:tcPr>
            <w:tcW w:w="3880" w:type="dxa"/>
            <w:vAlign w:val="bottom"/>
            <w:gridSpan w:val="6"/>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92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Shareholders’ Equity</w:t>
              </w:r>
            </w:hyperlink>
          </w:p>
        </w:tc>
        <w:tc>
          <w:tcPr>
            <w:tcW w:w="3160" w:type="dxa"/>
            <w:vAlign w:val="bottom"/>
            <w:gridSpan w:val="5"/>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708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Management’s Discussion and Analysis of Financial Condition and Results of Operations</w:t>
              </w:r>
            </w:hyperlink>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r>
      <w:tr>
        <w:trPr>
          <w:trHeight w:val="209"/>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2380" w:type="dxa"/>
            <w:vAlign w:val="bottom"/>
            <w:gridSpan w:val="2"/>
          </w:tcPr>
          <w:p>
            <w:pPr>
              <w:spacing w:after="0"/>
              <w:rPr>
                <w:sz w:val="18"/>
                <w:szCs w:val="18"/>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EE"/>
            </w:tcBorders>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5100" w:type="dxa"/>
            <w:vAlign w:val="bottom"/>
            <w:gridSpan w:val="12"/>
          </w:tcPr>
          <w:p>
            <w:pPr>
              <w:spacing w:after="0"/>
              <w:rPr>
                <w:sz w:val="20"/>
                <w:szCs w:val="20"/>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920" w:type="dxa"/>
            <w:vAlign w:val="bottom"/>
            <w:tcBorders>
              <w:top w:val="single" w:sz="8" w:color="0000EE"/>
            </w:tcBorders>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5160" w:type="dxa"/>
            <w:vAlign w:val="bottom"/>
            <w:gridSpan w:val="1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19"/>
                <w:szCs w:val="19"/>
                <w:color w:val="auto"/>
              </w:rPr>
            </w:pPr>
          </w:p>
        </w:tc>
        <w:tc>
          <w:tcPr>
            <w:tcW w:w="5600" w:type="dxa"/>
            <w:vAlign w:val="bottom"/>
            <w:gridSpan w:val="14"/>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2240" w:type="dxa"/>
            <w:vAlign w:val="bottom"/>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tcBorders>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4540" w:type="dxa"/>
            <w:vAlign w:val="bottom"/>
            <w:gridSpan w:val="9"/>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Other Information</w:t>
              </w:r>
            </w:hyperlink>
          </w:p>
        </w:tc>
        <w:tc>
          <w:tcPr>
            <w:tcW w:w="520" w:type="dxa"/>
            <w:vAlign w:val="bottom"/>
            <w:tcBorders>
              <w:top w:val="single" w:sz="8" w:color="0000EE"/>
            </w:tcBorders>
            <w:gridSpan w:val="2"/>
          </w:tcPr>
          <w:p>
            <w:pPr>
              <w:spacing w:after="0"/>
              <w:rPr>
                <w:sz w:val="19"/>
                <w:szCs w:val="19"/>
                <w:color w:val="auto"/>
              </w:rPr>
            </w:pPr>
          </w:p>
        </w:tc>
        <w:tc>
          <w:tcPr>
            <w:tcW w:w="5160" w:type="dxa"/>
            <w:vAlign w:val="bottom"/>
            <w:gridSpan w:val="1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708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gridSpan w:val="17"/>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86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Signatures</w:t>
              </w:r>
            </w:hyperlink>
          </w:p>
        </w:tc>
        <w:tc>
          <w:tcPr>
            <w:tcW w:w="6220" w:type="dxa"/>
            <w:vAlign w:val="bottom"/>
            <w:gridSpan w:val="17"/>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8890</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ectPr>
          <w:pgSz w:w="11900" w:h="16838" w:orient="portrait"/>
          <w:cols w:equalWidth="0" w:num="2">
            <w:col w:w="10020" w:space="720"/>
            <w:col w:w="480"/>
          </w:cols>
          <w:pgMar w:left="320" w:top="54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5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175"/>
        </w:trPr>
        <w:tc>
          <w:tcPr>
            <w:tcW w:w="736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$52,324 and $75,220 Cash of consolidated joint ventures)</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398,178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483,609</w:t>
            </w:r>
          </w:p>
        </w:tc>
        <w:tc>
          <w:tcPr>
            <w:tcW w:w="100" w:type="dxa"/>
            <w:vAlign w:val="bottom"/>
            <w:shd w:val="clear" w:color="auto" w:fill="CFF0FC"/>
          </w:tcPr>
          <w:p>
            <w:pPr>
              <w:spacing w:after="0"/>
              <w:rPr>
                <w:sz w:val="15"/>
                <w:szCs w:val="15"/>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Restricted cash and investments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1,233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3,606</w:t>
            </w:r>
          </w:p>
        </w:tc>
        <w:tc>
          <w:tcPr>
            <w:tcW w:w="100" w:type="dxa"/>
            <w:vAlign w:val="bottom"/>
          </w:tcPr>
          <w:p>
            <w:pPr>
              <w:spacing w:after="0"/>
              <w:rPr>
                <w:sz w:val="15"/>
                <w:szCs w:val="15"/>
                <w:color w:val="auto"/>
              </w:rPr>
            </w:pPr>
          </w:p>
        </w:tc>
      </w:tr>
      <w:tr>
        <w:trPr>
          <w:trHeight w:val="180"/>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net (including $215,641 and $190,643 Accounts receivable of consolidated joint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736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ventures, net)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693,584</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698,578</w:t>
            </w:r>
          </w:p>
        </w:tc>
        <w:tc>
          <w:tcPr>
            <w:tcW w:w="100" w:type="dxa"/>
            <w:vAlign w:val="bottom"/>
            <w:shd w:val="clear" w:color="auto" w:fill="CFF0FC"/>
          </w:tcPr>
          <w:p>
            <w:pPr>
              <w:spacing w:after="0"/>
              <w:rPr>
                <w:sz w:val="13"/>
                <w:szCs w:val="13"/>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Contract assets (including $24,539 and $23,498 Contract assets of consolidated joint ventures)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607,676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576,568</w:t>
            </w:r>
          </w:p>
        </w:tc>
        <w:tc>
          <w:tcPr>
            <w:tcW w:w="100" w:type="dxa"/>
            <w:vAlign w:val="bottom"/>
          </w:tcPr>
          <w:p>
            <w:pPr>
              <w:spacing w:after="0"/>
              <w:rPr>
                <w:sz w:val="15"/>
                <w:szCs w:val="15"/>
                <w:color w:val="auto"/>
              </w:rPr>
            </w:pPr>
          </w:p>
        </w:tc>
      </w:tr>
      <w:tr>
        <w:trPr>
          <w:trHeight w:val="180"/>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 (including $7,260 and $3,045 Prepaid expenses and other current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736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assets of consolidated joint ventures)</w:t>
            </w: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101,536</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80,769</w:t>
            </w:r>
          </w:p>
        </w:tc>
        <w:tc>
          <w:tcPr>
            <w:tcW w:w="100" w:type="dxa"/>
            <w:vAlign w:val="bottom"/>
            <w:shd w:val="clear" w:color="auto" w:fill="CFF0FC"/>
          </w:tcPr>
          <w:p>
            <w:pPr>
              <w:spacing w:after="0"/>
              <w:rPr>
                <w:sz w:val="13"/>
                <w:szCs w:val="13"/>
                <w:color w:val="auto"/>
              </w:rPr>
            </w:pPr>
          </w:p>
        </w:tc>
      </w:tr>
      <w:tr>
        <w:trPr>
          <w:trHeight w:val="169"/>
        </w:trPr>
        <w:tc>
          <w:tcPr>
            <w:tcW w:w="7360" w:type="dxa"/>
            <w:vAlign w:val="bottom"/>
            <w:tcBorders>
              <w:bottom w:val="single" w:sz="8" w:color="CFF0FC"/>
            </w:tcBorders>
          </w:tcPr>
          <w:p>
            <w:pPr>
              <w:ind w:left="520"/>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1,802,207</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1,843,130</w:t>
            </w:r>
          </w:p>
        </w:tc>
        <w:tc>
          <w:tcPr>
            <w:tcW w:w="100" w:type="dxa"/>
            <w:vAlign w:val="bottom"/>
            <w:tcBorders>
              <w:bottom w:val="single" w:sz="8" w:color="CFF0FC"/>
            </w:tcBorders>
          </w:tcPr>
          <w:p>
            <w:pPr>
              <w:spacing w:after="0"/>
              <w:rPr>
                <w:sz w:val="14"/>
                <w:szCs w:val="14"/>
                <w:color w:val="auto"/>
              </w:rPr>
            </w:pPr>
          </w:p>
        </w:tc>
      </w:tr>
      <w:tr>
        <w:trPr>
          <w:trHeight w:val="169"/>
        </w:trPr>
        <w:tc>
          <w:tcPr>
            <w:tcW w:w="7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0"/>
        </w:trPr>
        <w:tc>
          <w:tcPr>
            <w:tcW w:w="7360" w:type="dxa"/>
            <w:vAlign w:val="bottom"/>
          </w:tcPr>
          <w:p>
            <w:pPr>
              <w:ind w:left="260"/>
              <w:spacing w:after="0"/>
              <w:rPr>
                <w:sz w:val="20"/>
                <w:szCs w:val="20"/>
                <w:color w:val="auto"/>
              </w:rPr>
            </w:pPr>
            <w:r>
              <w:rPr>
                <w:rFonts w:ascii="Arial" w:cs="Arial" w:eastAsia="Arial" w:hAnsi="Arial"/>
                <w:sz w:val="14"/>
                <w:szCs w:val="14"/>
                <w:color w:val="auto"/>
              </w:rPr>
              <w:t>Property and equipment, net (including $2,528 and $2,629 Property and equipment of consolidated joint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360" w:type="dxa"/>
            <w:vAlign w:val="bottom"/>
          </w:tcPr>
          <w:p>
            <w:pPr>
              <w:ind w:left="260"/>
              <w:spacing w:after="0" w:line="157" w:lineRule="exact"/>
              <w:rPr>
                <w:sz w:val="20"/>
                <w:szCs w:val="20"/>
                <w:color w:val="auto"/>
              </w:rPr>
            </w:pPr>
            <w:r>
              <w:rPr>
                <w:rFonts w:ascii="Arial" w:cs="Arial" w:eastAsia="Arial" w:hAnsi="Arial"/>
                <w:sz w:val="14"/>
                <w:szCs w:val="14"/>
                <w:color w:val="auto"/>
              </w:rPr>
              <w:t>ventures, net)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Arial" w:cs="Arial" w:eastAsia="Arial" w:hAnsi="Arial"/>
                <w:sz w:val="14"/>
                <w:szCs w:val="14"/>
                <w:color w:val="auto"/>
              </w:rPr>
              <w:t>115,544</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121,027</w:t>
            </w:r>
          </w:p>
        </w:tc>
        <w:tc>
          <w:tcPr>
            <w:tcW w:w="100" w:type="dxa"/>
            <w:vAlign w:val="bottom"/>
          </w:tcPr>
          <w:p>
            <w:pPr>
              <w:spacing w:after="0"/>
              <w:rPr>
                <w:sz w:val="13"/>
                <w:szCs w:val="13"/>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Right of use assets, operating leases</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204,189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210,398</w:t>
            </w:r>
          </w:p>
        </w:tc>
        <w:tc>
          <w:tcPr>
            <w:tcW w:w="100" w:type="dxa"/>
            <w:vAlign w:val="bottom"/>
            <w:shd w:val="clear" w:color="auto" w:fill="CFF0FC"/>
          </w:tcPr>
          <w:p>
            <w:pPr>
              <w:spacing w:after="0"/>
              <w:rPr>
                <w:sz w:val="15"/>
                <w:szCs w:val="15"/>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1,261,189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1,261,978</w:t>
            </w:r>
          </w:p>
        </w:tc>
        <w:tc>
          <w:tcPr>
            <w:tcW w:w="10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76,017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68,975</w:t>
            </w:r>
          </w:p>
        </w:tc>
        <w:tc>
          <w:tcPr>
            <w:tcW w:w="100" w:type="dxa"/>
            <w:vAlign w:val="bottom"/>
            <w:shd w:val="clear" w:color="auto" w:fill="CFF0FC"/>
          </w:tcPr>
          <w:p>
            <w:pPr>
              <w:spacing w:after="0"/>
              <w:rPr>
                <w:sz w:val="15"/>
                <w:szCs w:val="15"/>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222,451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245,958</w:t>
            </w:r>
          </w:p>
        </w:tc>
        <w:tc>
          <w:tcPr>
            <w:tcW w:w="10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assets</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143,022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130,200</w:t>
            </w:r>
          </w:p>
        </w:tc>
        <w:tc>
          <w:tcPr>
            <w:tcW w:w="100" w:type="dxa"/>
            <w:vAlign w:val="bottom"/>
            <w:shd w:val="clear" w:color="auto" w:fill="CFF0FC"/>
          </w:tcPr>
          <w:p>
            <w:pPr>
              <w:spacing w:after="0"/>
              <w:rPr>
                <w:sz w:val="15"/>
                <w:szCs w:val="15"/>
                <w:color w:val="auto"/>
              </w:rPr>
            </w:pPr>
          </w:p>
        </w:tc>
      </w:tr>
      <w:tr>
        <w:trPr>
          <w:trHeight w:val="176"/>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40,382</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56,038</w:t>
            </w:r>
          </w:p>
        </w:tc>
        <w:tc>
          <w:tcPr>
            <w:tcW w:w="10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assets</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3,865,001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3,937,704</w:t>
            </w:r>
          </w:p>
        </w:tc>
        <w:tc>
          <w:tcPr>
            <w:tcW w:w="100" w:type="dxa"/>
            <w:vAlign w:val="bottom"/>
            <w:shd w:val="clear" w:color="auto" w:fill="CFF0FC"/>
          </w:tcPr>
          <w:p>
            <w:pPr>
              <w:spacing w:after="0"/>
              <w:rPr>
                <w:sz w:val="14"/>
                <w:szCs w:val="14"/>
                <w:color w:val="auto"/>
              </w:rPr>
            </w:pPr>
          </w:p>
        </w:tc>
      </w:tr>
      <w:tr>
        <w:trPr>
          <w:trHeight w:val="20"/>
        </w:trPr>
        <w:tc>
          <w:tcPr>
            <w:tcW w:w="7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56"/>
        </w:trPr>
        <w:tc>
          <w:tcPr>
            <w:tcW w:w="7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3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360" w:type="dxa"/>
            <w:vAlign w:val="bottom"/>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(including $101,593 and $97,810 Accounts payable of consolidated joint ventures)</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219,220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225,679</w:t>
            </w:r>
          </w:p>
        </w:tc>
        <w:tc>
          <w:tcPr>
            <w:tcW w:w="100" w:type="dxa"/>
            <w:vAlign w:val="bottom"/>
            <w:shd w:val="clear" w:color="auto" w:fill="CFF0FC"/>
          </w:tcPr>
          <w:p>
            <w:pPr>
              <w:spacing w:after="0"/>
              <w:rPr>
                <w:sz w:val="15"/>
                <w:szCs w:val="15"/>
                <w:color w:val="auto"/>
              </w:rPr>
            </w:pPr>
          </w:p>
        </w:tc>
      </w:tr>
      <w:tr>
        <w:trPr>
          <w:trHeight w:val="180"/>
        </w:trPr>
        <w:tc>
          <w:tcPr>
            <w:tcW w:w="736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 (including $75,606 and $68,801 Accrued expenses and other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360" w:type="dxa"/>
            <w:vAlign w:val="bottom"/>
          </w:tcPr>
          <w:p>
            <w:pPr>
              <w:ind w:left="260"/>
              <w:spacing w:after="0" w:line="157" w:lineRule="exact"/>
              <w:rPr>
                <w:sz w:val="20"/>
                <w:szCs w:val="20"/>
                <w:color w:val="auto"/>
              </w:rPr>
            </w:pPr>
            <w:r>
              <w:rPr>
                <w:rFonts w:ascii="Arial" w:cs="Arial" w:eastAsia="Arial" w:hAnsi="Arial"/>
                <w:sz w:val="14"/>
                <w:szCs w:val="14"/>
                <w:color w:val="auto"/>
              </w:rPr>
              <w:t>current liabilities of consolidated joint ventures)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Arial" w:cs="Arial" w:eastAsia="Arial" w:hAnsi="Arial"/>
                <w:sz w:val="14"/>
                <w:szCs w:val="14"/>
                <w:color w:val="auto"/>
              </w:rPr>
              <w:t>595,058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650,753</w:t>
            </w:r>
          </w:p>
        </w:tc>
        <w:tc>
          <w:tcPr>
            <w:tcW w:w="100" w:type="dxa"/>
            <w:vAlign w:val="bottom"/>
          </w:tcPr>
          <w:p>
            <w:pPr>
              <w:spacing w:after="0"/>
              <w:rPr>
                <w:sz w:val="13"/>
                <w:szCs w:val="13"/>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liabilities (including $35,744 and $33,922 Contract liabilities of consolidated joint ventures)</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186,028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201,864</w:t>
            </w:r>
          </w:p>
        </w:tc>
        <w:tc>
          <w:tcPr>
            <w:tcW w:w="100" w:type="dxa"/>
            <w:vAlign w:val="bottom"/>
            <w:shd w:val="clear" w:color="auto" w:fill="CFF0FC"/>
          </w:tcPr>
          <w:p>
            <w:pPr>
              <w:spacing w:after="0"/>
              <w:rPr>
                <w:sz w:val="15"/>
                <w:szCs w:val="15"/>
                <w:color w:val="auto"/>
              </w:rPr>
            </w:pPr>
          </w:p>
        </w:tc>
      </w:tr>
      <w:tr>
        <w:trPr>
          <w:trHeight w:val="175"/>
        </w:trPr>
        <w:tc>
          <w:tcPr>
            <w:tcW w:w="7360" w:type="dxa"/>
            <w:vAlign w:val="bottom"/>
          </w:tcPr>
          <w:p>
            <w:pPr>
              <w:ind w:left="260"/>
              <w:spacing w:after="0"/>
              <w:rPr>
                <w:sz w:val="20"/>
                <w:szCs w:val="20"/>
                <w:color w:val="auto"/>
              </w:rPr>
            </w:pPr>
            <w:r>
              <w:rPr>
                <w:rFonts w:ascii="Arial" w:cs="Arial" w:eastAsia="Arial" w:hAnsi="Arial"/>
                <w:sz w:val="14"/>
                <w:szCs w:val="14"/>
                <w:color w:val="auto"/>
              </w:rPr>
              <w:t>Short-term lease liabilities, operating leases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54,113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54,133</w:t>
            </w:r>
          </w:p>
        </w:tc>
        <w:tc>
          <w:tcPr>
            <w:tcW w:w="10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payable</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6,248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4,980</w:t>
            </w:r>
          </w:p>
        </w:tc>
        <w:tc>
          <w:tcPr>
            <w:tcW w:w="100" w:type="dxa"/>
            <w:vAlign w:val="bottom"/>
            <w:shd w:val="clear" w:color="auto" w:fill="CFF0FC"/>
          </w:tcPr>
          <w:p>
            <w:pPr>
              <w:spacing w:after="0"/>
              <w:rPr>
                <w:sz w:val="15"/>
                <w:szCs w:val="15"/>
                <w:color w:val="auto"/>
              </w:rPr>
            </w:pPr>
          </w:p>
        </w:tc>
      </w:tr>
      <w:tr>
        <w:trPr>
          <w:trHeight w:val="175"/>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Short-term debt</w:t>
            </w: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1,110,667</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1,187,409</w:t>
            </w:r>
          </w:p>
        </w:tc>
        <w:tc>
          <w:tcPr>
            <w:tcW w:w="100" w:type="dxa"/>
            <w:vAlign w:val="bottom"/>
            <w:shd w:val="clear" w:color="auto" w:fill="CFF0FC"/>
          </w:tcPr>
          <w:p>
            <w:pPr>
              <w:spacing w:after="0"/>
              <w:rPr>
                <w:sz w:val="14"/>
                <w:szCs w:val="14"/>
                <w:color w:val="auto"/>
              </w:rPr>
            </w:pPr>
          </w:p>
        </w:tc>
      </w:tr>
      <w:tr>
        <w:trPr>
          <w:trHeight w:val="169"/>
        </w:trPr>
        <w:tc>
          <w:tcPr>
            <w:tcW w:w="7360" w:type="dxa"/>
            <w:vAlign w:val="bottom"/>
          </w:tcPr>
          <w:p>
            <w:pPr>
              <w:ind w:left="260"/>
              <w:spacing w:after="0"/>
              <w:rPr>
                <w:sz w:val="20"/>
                <w:szCs w:val="20"/>
                <w:color w:val="auto"/>
              </w:rPr>
            </w:pPr>
            <w:r>
              <w:rPr>
                <w:rFonts w:ascii="Arial" w:cs="Arial" w:eastAsia="Arial" w:hAnsi="Arial"/>
                <w:sz w:val="14"/>
                <w:szCs w:val="14"/>
                <w:color w:val="auto"/>
              </w:rPr>
              <w:t>Long-term employee incentives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21,218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21,828</w:t>
            </w:r>
          </w:p>
        </w:tc>
        <w:tc>
          <w:tcPr>
            <w:tcW w:w="100" w:type="dxa"/>
            <w:vAlign w:val="bottom"/>
          </w:tcPr>
          <w:p>
            <w:pPr>
              <w:spacing w:after="0"/>
              <w:rPr>
                <w:sz w:val="14"/>
                <w:szCs w:val="14"/>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590,346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539,998</w:t>
            </w:r>
          </w:p>
        </w:tc>
        <w:tc>
          <w:tcPr>
            <w:tcW w:w="100" w:type="dxa"/>
            <w:vAlign w:val="bottom"/>
            <w:shd w:val="clear" w:color="auto" w:fill="CFF0FC"/>
          </w:tcPr>
          <w:p>
            <w:pPr>
              <w:spacing w:after="0"/>
              <w:rPr>
                <w:sz w:val="15"/>
                <w:szCs w:val="15"/>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Long-term lease liabilities, operating leases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175,584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182,467</w:t>
            </w:r>
          </w:p>
        </w:tc>
        <w:tc>
          <w:tcPr>
            <w:tcW w:w="10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liabilities</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13,146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12,285</w:t>
            </w:r>
          </w:p>
        </w:tc>
        <w:tc>
          <w:tcPr>
            <w:tcW w:w="100" w:type="dxa"/>
            <w:vAlign w:val="bottom"/>
            <w:shd w:val="clear" w:color="auto" w:fill="CFF0FC"/>
          </w:tcPr>
          <w:p>
            <w:pPr>
              <w:spacing w:after="0"/>
              <w:rPr>
                <w:sz w:val="15"/>
                <w:szCs w:val="15"/>
                <w:color w:val="auto"/>
              </w:rPr>
            </w:pPr>
          </w:p>
        </w:tc>
      </w:tr>
      <w:tr>
        <w:trPr>
          <w:trHeight w:val="175"/>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113,598</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132,300</w:t>
            </w:r>
          </w:p>
        </w:tc>
        <w:tc>
          <w:tcPr>
            <w:tcW w:w="10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2,024,559</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2,076,287</w:t>
            </w:r>
          </w:p>
        </w:tc>
        <w:tc>
          <w:tcPr>
            <w:tcW w:w="100" w:type="dxa"/>
            <w:vAlign w:val="bottom"/>
            <w:shd w:val="clear" w:color="auto" w:fill="CFF0FC"/>
          </w:tcPr>
          <w:p>
            <w:pPr>
              <w:spacing w:after="0"/>
              <w:rPr>
                <w:sz w:val="14"/>
                <w:szCs w:val="14"/>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4"/>
                <w:szCs w:val="14"/>
                <w:color w:val="auto"/>
              </w:rPr>
              <w:t>Contingencies (Note 12)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36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7360" w:type="dxa"/>
            <w:vAlign w:val="bottom"/>
          </w:tcPr>
          <w:p>
            <w:pPr>
              <w:ind w:left="260"/>
              <w:spacing w:after="0"/>
              <w:rPr>
                <w:sz w:val="20"/>
                <w:szCs w:val="20"/>
                <w:color w:val="auto"/>
              </w:rPr>
            </w:pPr>
            <w:r>
              <w:rPr>
                <w:rFonts w:ascii="Arial" w:cs="Arial" w:eastAsia="Arial" w:hAnsi="Arial"/>
                <w:sz w:val="14"/>
                <w:szCs w:val="14"/>
                <w:color w:val="auto"/>
              </w:rPr>
              <w:t>Common stock, $1 par value; authorized 1,000,000,000 shares; 146,609,288 and 146,609,288 shares issued;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360" w:type="dxa"/>
            <w:vAlign w:val="bottom"/>
          </w:tcPr>
          <w:p>
            <w:pPr>
              <w:ind w:left="260"/>
              <w:spacing w:after="0" w:line="157" w:lineRule="exact"/>
              <w:rPr>
                <w:sz w:val="20"/>
                <w:szCs w:val="20"/>
                <w:color w:val="auto"/>
              </w:rPr>
            </w:pPr>
            <w:r>
              <w:rPr>
                <w:rFonts w:ascii="Arial" w:cs="Arial" w:eastAsia="Arial" w:hAnsi="Arial"/>
                <w:sz w:val="14"/>
                <w:szCs w:val="14"/>
                <w:color w:val="auto"/>
              </w:rPr>
              <w:t>26,845,697 and 25,719,350 public shares outstanding; 75,560,749 and 76,641,312 ESOP shares outstanding</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Arial" w:cs="Arial" w:eastAsia="Arial" w:hAnsi="Arial"/>
                <w:sz w:val="14"/>
                <w:szCs w:val="14"/>
                <w:color w:val="auto"/>
              </w:rPr>
              <w:t>146,654</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146,609</w:t>
            </w:r>
          </w:p>
        </w:tc>
        <w:tc>
          <w:tcPr>
            <w:tcW w:w="100" w:type="dxa"/>
            <w:vAlign w:val="bottom"/>
          </w:tcPr>
          <w:p>
            <w:pPr>
              <w:spacing w:after="0"/>
              <w:rPr>
                <w:sz w:val="13"/>
                <w:szCs w:val="13"/>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Treasury stock, 44,248,626 shares at cost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(899,328)</w:t>
            </w:r>
          </w:p>
        </w:tc>
        <w:tc>
          <w:tcPr>
            <w:tcW w:w="1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(899,328)</w:t>
            </w:r>
          </w:p>
        </w:tc>
      </w:tr>
      <w:tr>
        <w:trPr>
          <w:trHeight w:val="191"/>
        </w:trPr>
        <w:tc>
          <w:tcPr>
            <w:tcW w:w="736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2,667,130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2,700,925</w:t>
            </w:r>
          </w:p>
        </w:tc>
        <w:tc>
          <w:tcPr>
            <w:tcW w:w="100" w:type="dxa"/>
            <w:vAlign w:val="bottom"/>
          </w:tcPr>
          <w:p>
            <w:pPr>
              <w:spacing w:after="0"/>
              <w:rPr>
                <w:sz w:val="16"/>
                <w:szCs w:val="16"/>
                <w:color w:val="auto"/>
              </w:rPr>
            </w:pPr>
          </w:p>
        </w:tc>
      </w:tr>
      <w:tr>
        <w:trPr>
          <w:trHeight w:val="160"/>
        </w:trPr>
        <w:tc>
          <w:tcPr>
            <w:tcW w:w="736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(108,720)</w:t>
            </w:r>
          </w:p>
        </w:tc>
        <w:tc>
          <w:tcPr>
            <w:tcW w:w="120" w:type="dxa"/>
            <w:vAlign w:val="bottom"/>
          </w:tcPr>
          <w:p>
            <w:pPr>
              <w:spacing w:after="0"/>
              <w:rPr>
                <w:sz w:val="13"/>
                <w:szCs w:val="13"/>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(120,569)</w:t>
            </w: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(8,937)</w:t>
            </w:r>
          </w:p>
        </w:tc>
        <w:tc>
          <w:tcPr>
            <w:tcW w:w="1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(13,865)</w:t>
            </w:r>
          </w:p>
        </w:tc>
      </w:tr>
      <w:tr>
        <w:trPr>
          <w:trHeight w:val="169"/>
        </w:trPr>
        <w:tc>
          <w:tcPr>
            <w:tcW w:w="7360" w:type="dxa"/>
            <w:vAlign w:val="bottom"/>
          </w:tcPr>
          <w:p>
            <w:pPr>
              <w:ind w:left="260"/>
              <w:spacing w:after="0"/>
              <w:rPr>
                <w:sz w:val="20"/>
                <w:szCs w:val="20"/>
                <w:color w:val="auto"/>
              </w:rPr>
            </w:pPr>
            <w:r>
              <w:rPr>
                <w:rFonts w:ascii="Arial" w:cs="Arial" w:eastAsia="Arial" w:hAnsi="Arial"/>
                <w:sz w:val="14"/>
                <w:szCs w:val="14"/>
                <w:color w:val="auto"/>
              </w:rPr>
              <w:t>Total Parsons Corporation shareholders' equity</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1,796,799</w:t>
            </w: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1,813,772</w:t>
            </w:r>
          </w:p>
        </w:tc>
        <w:tc>
          <w:tcPr>
            <w:tcW w:w="100" w:type="dxa"/>
            <w:vAlign w:val="bottom"/>
          </w:tcPr>
          <w:p>
            <w:pPr>
              <w:spacing w:after="0"/>
              <w:rPr>
                <w:sz w:val="14"/>
                <w:szCs w:val="14"/>
                <w:color w:val="auto"/>
              </w:rPr>
            </w:pPr>
          </w:p>
        </w:tc>
      </w:tr>
      <w:tr>
        <w:trPr>
          <w:trHeight w:val="176"/>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43,643</w:t>
            </w:r>
          </w:p>
        </w:tc>
        <w:tc>
          <w:tcPr>
            <w:tcW w:w="2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47,645</w:t>
            </w:r>
          </w:p>
        </w:tc>
        <w:tc>
          <w:tcPr>
            <w:tcW w:w="100" w:type="dxa"/>
            <w:vAlign w:val="bottom"/>
            <w:shd w:val="clear" w:color="auto" w:fill="CFF0FC"/>
          </w:tcPr>
          <w:p>
            <w:pPr>
              <w:spacing w:after="0"/>
              <w:rPr>
                <w:sz w:val="15"/>
                <w:szCs w:val="15"/>
                <w:color w:val="auto"/>
              </w:rPr>
            </w:pPr>
          </w:p>
        </w:tc>
      </w:tr>
      <w:tr>
        <w:trPr>
          <w:trHeight w:val="169"/>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Total shareholders' equity</w:t>
            </w: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1,840,442</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1,861,417</w:t>
            </w:r>
          </w:p>
        </w:tc>
        <w:tc>
          <w:tcPr>
            <w:tcW w:w="100" w:type="dxa"/>
            <w:vAlign w:val="bottom"/>
            <w:tcBorders>
              <w:bottom w:val="single" w:sz="8" w:color="CFF0FC"/>
            </w:tcBorders>
          </w:tcPr>
          <w:p>
            <w:pPr>
              <w:spacing w:after="0"/>
              <w:rPr>
                <w:sz w:val="14"/>
                <w:szCs w:val="14"/>
                <w:color w:val="auto"/>
              </w:rPr>
            </w:pPr>
          </w:p>
        </w:tc>
      </w:tr>
      <w:tr>
        <w:trPr>
          <w:trHeight w:val="169"/>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liabilities and shareholders' equity</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3,865,001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3,937,704</w:t>
            </w:r>
          </w:p>
        </w:tc>
        <w:tc>
          <w:tcPr>
            <w:tcW w:w="100" w:type="dxa"/>
            <w:vAlign w:val="bottom"/>
            <w:shd w:val="clear" w:color="auto" w:fill="CFF0FC"/>
          </w:tcPr>
          <w:p>
            <w:pPr>
              <w:spacing w:after="0"/>
              <w:rPr>
                <w:sz w:val="14"/>
                <w:szCs w:val="14"/>
                <w:color w:val="auto"/>
              </w:rPr>
            </w:pPr>
          </w:p>
        </w:tc>
      </w:tr>
      <w:tr>
        <w:trPr>
          <w:trHeight w:val="20"/>
        </w:trPr>
        <w:tc>
          <w:tcPr>
            <w:tcW w:w="7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5"/>
                <w:szCs w:val="15"/>
                <w:color w:val="auto"/>
              </w:rPr>
            </w:pPr>
          </w:p>
        </w:tc>
      </w:tr>
      <w:tr>
        <w:trPr>
          <w:trHeight w:val="169"/>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2020</w:t>
            </w:r>
          </w:p>
        </w:tc>
      </w:tr>
      <w:tr>
        <w:trPr>
          <w:trHeight w:val="210"/>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874,697</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970,993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669,082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769,632</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187,522</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183,774</w:t>
            </w:r>
          </w:p>
        </w:tc>
        <w:tc>
          <w:tcPr>
            <w:tcW w:w="100" w:type="dxa"/>
            <w:vAlign w:val="bottom"/>
            <w:tcBorders>
              <w:bottom w:val="single" w:sz="8" w:color="CFF0FC"/>
            </w:tcBorders>
          </w:tcPr>
          <w:p>
            <w:pPr>
              <w:spacing w:after="0"/>
              <w:rPr>
                <w:sz w:val="18"/>
                <w:szCs w:val="18"/>
                <w:color w:val="auto"/>
              </w:rPr>
            </w:pPr>
          </w:p>
        </w:tc>
      </w:tr>
      <w:tr>
        <w:trPr>
          <w:trHeight w:val="21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25,623</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23,701</w:t>
            </w:r>
          </w:p>
        </w:tc>
        <w:tc>
          <w:tcPr>
            <w:tcW w:w="100" w:type="dxa"/>
            <w:vAlign w:val="bottom"/>
            <w:shd w:val="clear" w:color="auto" w:fill="CFF0FC"/>
          </w:tcPr>
          <w:p>
            <w:pPr>
              <w:spacing w:after="0"/>
              <w:rPr>
                <w:sz w:val="18"/>
                <w:szCs w:val="18"/>
                <w:color w:val="auto"/>
              </w:rPr>
            </w:pPr>
          </w:p>
        </w:tc>
      </w:tr>
      <w:tr>
        <w:trPr>
          <w:trHeight w:val="209"/>
        </w:trPr>
        <w:tc>
          <w:tcPr>
            <w:tcW w:w="690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(4,541)</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(4,022)</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(1,791)</w:t>
            </w: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r>
      <w:tr>
        <w:trPr>
          <w:trHeight w:val="20"/>
        </w:trPr>
        <w:tc>
          <w:tcPr>
            <w:tcW w:w="69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(6,234)</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(4,246)</w:t>
            </w:r>
          </w:p>
        </w:tc>
      </w:tr>
      <w:tr>
        <w:trPr>
          <w:trHeight w:val="209"/>
        </w:trPr>
        <w:tc>
          <w:tcPr>
            <w:tcW w:w="69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19,389</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19,455</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(5,375)</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(5,084)</w:t>
            </w: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14,014</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(4,975)</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(1,398)</w:t>
            </w:r>
          </w:p>
        </w:tc>
      </w:tr>
      <w:tr>
        <w:trPr>
          <w:trHeight w:val="249"/>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Parsons Corporation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12,973</w:t>
            </w:r>
          </w:p>
        </w:tc>
        <w:tc>
          <w:tcPr>
            <w:tcW w:w="100" w:type="dxa"/>
            <w:vAlign w:val="bottom"/>
            <w:tcBorders>
              <w:bottom w:val="single" w:sz="8" w:color="CFF0FC"/>
            </w:tcBorders>
          </w:tcPr>
          <w:p>
            <w:pPr>
              <w:spacing w:after="0"/>
              <w:rPr>
                <w:sz w:val="21"/>
                <w:szCs w:val="21"/>
                <w:color w:val="auto"/>
              </w:rPr>
            </w:pPr>
          </w:p>
        </w:tc>
      </w:tr>
      <w:tr>
        <w:trPr>
          <w:trHeight w:val="197"/>
        </w:trPr>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Earnings per share:</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900" w:type="dxa"/>
            <w:vAlign w:val="bottom"/>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5"/>
                <w:szCs w:val="15"/>
                <w:color w:val="auto"/>
              </w:rPr>
            </w:pPr>
          </w:p>
        </w:tc>
      </w:tr>
      <w:tr>
        <w:trPr>
          <w:trHeight w:val="169"/>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2020</w:t>
            </w:r>
          </w:p>
        </w:tc>
      </w:tr>
      <w:tr>
        <w:trPr>
          <w:trHeight w:val="210"/>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14,014</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 net of tax</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(8,800)</w:t>
            </w:r>
          </w:p>
        </w:tc>
      </w:tr>
      <w:tr>
        <w:trPr>
          <w:trHeight w:val="216"/>
        </w:trPr>
        <w:tc>
          <w:tcPr>
            <w:tcW w:w="6900" w:type="dxa"/>
            <w:vAlign w:val="bottom"/>
          </w:tcPr>
          <w:p>
            <w:pPr>
              <w:ind w:left="240"/>
              <w:spacing w:after="0"/>
              <w:rPr>
                <w:sz w:val="20"/>
                <w:szCs w:val="20"/>
                <w:color w:val="auto"/>
              </w:rPr>
            </w:pPr>
            <w:r>
              <w:rPr>
                <w:rFonts w:ascii="Arial" w:cs="Arial" w:eastAsia="Arial" w:hAnsi="Arial"/>
                <w:sz w:val="18"/>
                <w:szCs w:val="18"/>
                <w:color w:val="auto"/>
              </w:rPr>
              <w:t>Pension adjustments, net of tax</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0"/>
        </w:trPr>
        <w:tc>
          <w:tcPr>
            <w:tcW w:w="69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Comprehensive income including noncontrolling interests, net of tax</w:t>
            </w: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18,947</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(4,980)</w:t>
            </w: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(1,390)</w:t>
            </w:r>
          </w:p>
        </w:tc>
      </w:tr>
      <w:tr>
        <w:trPr>
          <w:trHeight w:val="209"/>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attributable to Parsons Corporation,</w:t>
            </w: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900" w:type="dxa"/>
            <w:vAlign w:val="bottom"/>
            <w:tcBorders>
              <w:bottom w:val="single" w:sz="8" w:color="CFF0FC"/>
            </w:tcBorders>
            <w:shd w:val="clear" w:color="auto" w:fill="CFF0FC"/>
          </w:tcPr>
          <w:p>
            <w:pPr>
              <w:ind w:left="140"/>
              <w:spacing w:after="0" w:line="203" w:lineRule="exact"/>
              <w:rPr>
                <w:sz w:val="20"/>
                <w:szCs w:val="20"/>
                <w:color w:val="auto"/>
              </w:rPr>
            </w:pPr>
            <w:r>
              <w:rPr>
                <w:rFonts w:ascii="Arial" w:cs="Arial" w:eastAsia="Arial" w:hAnsi="Arial"/>
                <w:sz w:val="18"/>
                <w:szCs w:val="18"/>
                <w:color w:val="auto"/>
              </w:rPr>
              <w:t>net of tax</w:t>
            </w:r>
          </w:p>
        </w:tc>
        <w:tc>
          <w:tcPr>
            <w:tcW w:w="1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13,967</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4,120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7"/>
                <w:szCs w:val="17"/>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14,014</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14,371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34,673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32,409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debt issue costs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Loss (gain) on disposal of property and equipment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Deferred taxes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2,220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(7,530)</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(6,114)</w:t>
            </w:r>
          </w:p>
        </w:tc>
        <w:tc>
          <w:tcPr>
            <w:tcW w:w="0" w:type="dxa"/>
            <w:vAlign w:val="bottom"/>
          </w:tcPr>
          <w:p>
            <w:pPr>
              <w:spacing w:after="0"/>
              <w:rPr>
                <w:sz w:val="1"/>
                <w:szCs w:val="1"/>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13,180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7,206</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20" w:type="dxa"/>
            <w:vAlign w:val="bottom"/>
          </w:tcPr>
          <w:p>
            <w:pPr>
              <w:ind w:left="420"/>
              <w:spacing w:after="0"/>
              <w:rPr>
                <w:sz w:val="20"/>
                <w:szCs w:val="20"/>
                <w:color w:val="auto"/>
              </w:rPr>
            </w:pPr>
            <w:r>
              <w:rPr>
                <w:rFonts w:ascii="Arial" w:cs="Arial" w:eastAsia="Arial" w:hAnsi="Arial"/>
                <w:sz w:val="16"/>
                <w:szCs w:val="16"/>
                <w:color w:val="auto"/>
              </w:rPr>
              <w:t>Contributions of treasury stock</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13,153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14,871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joint ventures:</w:t>
            </w: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Accounts receivable</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2,597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(91,734)</w:t>
            </w: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Contract assets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(31,711)</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(52,346)</w:t>
            </w:r>
          </w:p>
        </w:tc>
        <w:tc>
          <w:tcPr>
            <w:tcW w:w="0" w:type="dxa"/>
            <w:vAlign w:val="bottom"/>
          </w:tcPr>
          <w:p>
            <w:pPr>
              <w:spacing w:after="0"/>
              <w:rPr>
                <w:sz w:val="1"/>
                <w:szCs w:val="1"/>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Prepaid expenses and other assets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(5,386)</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(3,766)</w:t>
            </w: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payable</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(6,658)</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19,788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(68,928)</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(24,336)</w:t>
            </w: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Contract liabilities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(16,086)</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Income taxes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(6,212)</w:t>
            </w: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long-term liabilities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(19,312)</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(43,099)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Net cash used in operating activities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(65,965)</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(118,983)</w:t>
            </w:r>
          </w:p>
        </w:tc>
        <w:tc>
          <w:tcPr>
            <w:tcW w:w="0" w:type="dxa"/>
            <w:vAlign w:val="bottom"/>
          </w:tcPr>
          <w:p>
            <w:pPr>
              <w:spacing w:after="0"/>
              <w:rPr>
                <w:sz w:val="1"/>
                <w:szCs w:val="1"/>
                <w:color w:val="auto"/>
              </w:rPr>
            </w:pP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(4,449)</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(12,637)</w:t>
            </w: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(22,240)</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sales of investments in unconsolidated joint ventures</w:t>
            </w:r>
          </w:p>
        </w:tc>
        <w:tc>
          <w:tcPr>
            <w:tcW w:w="10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14,300</w:t>
            </w:r>
          </w:p>
        </w:tc>
        <w:tc>
          <w:tcPr>
            <w:tcW w:w="2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(11,045)</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(12,202)</w:t>
            </w:r>
          </w:p>
        </w:tc>
        <w:tc>
          <w:tcPr>
            <w:tcW w:w="0" w:type="dxa"/>
            <w:vAlign w:val="bottom"/>
          </w:tcPr>
          <w:p>
            <w:pPr>
              <w:spacing w:after="0"/>
              <w:rPr>
                <w:sz w:val="1"/>
                <w:szCs w:val="1"/>
                <w:color w:val="auto"/>
              </w:rPr>
            </w:pP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borrowings under credit agreement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Repayments of borrowings under credit agreement</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(66,500)</w:t>
            </w:r>
          </w:p>
        </w:tc>
        <w:tc>
          <w:tcPr>
            <w:tcW w:w="0" w:type="dxa"/>
            <w:vAlign w:val="bottom"/>
          </w:tcPr>
          <w:p>
            <w:pPr>
              <w:spacing w:after="0"/>
              <w:rPr>
                <w:sz w:val="1"/>
                <w:szCs w:val="1"/>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Contributions by noncontrolling interests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Distributions to noncontrolling interests</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(8,989)</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Taxes paid on vested stock</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(2,242)</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FF0FC"/>
          </w:tcPr>
          <w:p>
            <w:pPr>
              <w:ind w:left="300"/>
              <w:spacing w:after="0"/>
              <w:rPr>
                <w:sz w:val="20"/>
                <w:szCs w:val="20"/>
                <w:color w:val="auto"/>
              </w:rPr>
            </w:pPr>
            <w:r>
              <w:rPr>
                <w:rFonts w:ascii="Arial" w:cs="Arial" w:eastAsia="Arial" w:hAnsi="Arial"/>
                <w:sz w:val="16"/>
                <w:szCs w:val="16"/>
                <w:color w:val="auto"/>
              </w:rPr>
              <w:t>Net cash (used in) provided by financing activities</w:t>
            </w:r>
          </w:p>
        </w:tc>
        <w:tc>
          <w:tcPr>
            <w:tcW w:w="10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vMerge w:val="continue"/>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(11,224)</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63,712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Effect of exchange rate changes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0"/>
        </w:trPr>
        <w:tc>
          <w:tcPr>
            <w:tcW w:w="67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decrease in cash, cash equivalents, and restricted cash</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(87,804)</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(68,652)</w:t>
            </w:r>
          </w:p>
        </w:tc>
        <w:tc>
          <w:tcPr>
            <w:tcW w:w="0" w:type="dxa"/>
            <w:vAlign w:val="bottom"/>
          </w:tcPr>
          <w:p>
            <w:pPr>
              <w:spacing w:after="0"/>
              <w:rPr>
                <w:sz w:val="1"/>
                <w:szCs w:val="1"/>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Beginning of year</w:t>
            </w:r>
          </w:p>
        </w:tc>
        <w:tc>
          <w:tcPr>
            <w:tcW w:w="10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487,215</w:t>
            </w:r>
          </w:p>
        </w:tc>
        <w:tc>
          <w:tcPr>
            <w:tcW w:w="2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195,374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End of period</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399,411</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126,722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36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 the Three Months Ended March 31, 2021 and March 31, 2020</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(In thousands)</w:t>
      </w:r>
    </w:p>
    <w:p>
      <w:pPr>
        <w:jc w:val="center"/>
        <w:spacing w:after="0"/>
        <w:rPr>
          <w:sz w:val="20"/>
          <w:szCs w:val="20"/>
          <w:color w:val="auto"/>
        </w:rPr>
      </w:pPr>
      <w:r>
        <w:rPr>
          <w:rFonts w:ascii="Arial" w:cs="Arial" w:eastAsia="Arial" w:hAnsi="Arial"/>
          <w:sz w:val="18"/>
          <w:szCs w:val="18"/>
          <w:color w:val="auto"/>
        </w:rPr>
        <w:t>(Unaudited)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Earnings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Total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660" w:type="dxa"/>
            <w:vAlign w:val="bottom"/>
          </w:tcPr>
          <w:p>
            <w:pPr>
              <w:jc w:val="right"/>
              <w:ind w:right="30"/>
              <w:spacing w:after="0"/>
              <w:rPr>
                <w:sz w:val="20"/>
                <w:szCs w:val="20"/>
                <w:color w:val="auto"/>
              </w:rPr>
            </w:pPr>
            <w:r>
              <w:rPr>
                <w:rFonts w:ascii="Arial" w:cs="Arial" w:eastAsia="Arial" w:hAnsi="Arial"/>
                <w:sz w:val="11"/>
                <w:szCs w:val="11"/>
                <w:b w:val="1"/>
                <w:bCs w:val="1"/>
                <w:color w:val="auto"/>
              </w:rPr>
              <w:t>Common</w:t>
            </w:r>
          </w:p>
        </w:tc>
        <w:tc>
          <w:tcPr>
            <w:tcW w:w="22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Treasury</w:t>
            </w:r>
          </w:p>
        </w:tc>
        <w:tc>
          <w:tcPr>
            <w:tcW w:w="10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Paid-in</w:t>
            </w:r>
          </w:p>
        </w:tc>
        <w:tc>
          <w:tcPr>
            <w:tcW w:w="880" w:type="dxa"/>
            <w:vAlign w:val="bottom"/>
            <w:gridSpan w:val="3"/>
          </w:tcPr>
          <w:p>
            <w:pPr>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Comprehensive</w:t>
            </w:r>
          </w:p>
        </w:tc>
        <w:tc>
          <w:tcPr>
            <w:tcW w:w="10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Parsons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7"/>
              </w:rPr>
              <w:t>Noncontrolling</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Stock</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Stock</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Capital</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70"/>
              <w:spacing w:after="0"/>
              <w:rPr>
                <w:sz w:val="20"/>
                <w:szCs w:val="20"/>
                <w:color w:val="auto"/>
              </w:rPr>
            </w:pPr>
            <w:r>
              <w:rPr>
                <w:rFonts w:ascii="Arial" w:cs="Arial" w:eastAsia="Arial" w:hAnsi="Arial"/>
                <w:sz w:val="11"/>
                <w:szCs w:val="11"/>
                <w:b w:val="1"/>
                <w:bCs w:val="1"/>
                <w:color w:val="auto"/>
                <w:w w:val="96"/>
              </w:rPr>
              <w:t>Deficit)</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1"/>
                <w:szCs w:val="11"/>
                <w:b w:val="1"/>
                <w:bCs w:val="1"/>
                <w:color w:val="auto"/>
                <w:w w:val="99"/>
              </w:rPr>
              <w:t>Income (Loss)</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Equity</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1"/>
                <w:szCs w:val="11"/>
                <w:b w:val="1"/>
                <w:bCs w:val="1"/>
                <w:color w:val="auto"/>
              </w:rPr>
              <w:t>Interests</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Total</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1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2020</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$ 146,609</w:t>
            </w: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(899,328)</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$ 2,700,925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(120,569)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(13,865)</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$ 1,813,772</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47,645</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$ 1,861,417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Arial" w:cs="Arial" w:eastAsia="Arial" w:hAnsi="Arial"/>
                <w:sz w:val="14"/>
                <w:szCs w:val="14"/>
                <w:color w:val="auto"/>
              </w:rPr>
              <w:t>Comprehensive income</w:t>
            </w: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9,039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9,039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4,975</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14,014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60"/>
              <w:spacing w:after="0"/>
              <w:rPr>
                <w:sz w:val="20"/>
                <w:szCs w:val="20"/>
                <w:color w:val="auto"/>
              </w:rPr>
            </w:pPr>
            <w:r>
              <w:rPr>
                <w:rFonts w:ascii="Arial" w:cs="Arial" w:eastAsia="Arial" w:hAnsi="Arial"/>
                <w:sz w:val="14"/>
                <w:szCs w:val="14"/>
                <w:color w:val="auto"/>
              </w:rPr>
              <w:t>Foreign currency translation gain, net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4,909</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4,909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4,914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20"/>
                <w:szCs w:val="20"/>
                <w:color w:val="auto"/>
              </w:rPr>
            </w:pPr>
            <w:r>
              <w:rPr>
                <w:rFonts w:ascii="Arial" w:cs="Arial" w:eastAsia="Arial" w:hAnsi="Arial"/>
                <w:sz w:val="14"/>
                <w:szCs w:val="14"/>
                <w:color w:val="auto"/>
              </w:rPr>
              <w:t>Adoption of ASU 2020-06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(40,002)</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(37,220)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(37,220)</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20"/>
                <w:szCs w:val="20"/>
                <w:color w:val="auto"/>
              </w:rPr>
            </w:pPr>
            <w:r>
              <w:rPr>
                <w:rFonts w:ascii="Arial" w:cs="Arial" w:eastAsia="Arial" w:hAnsi="Arial"/>
                <w:sz w:val="14"/>
                <w:szCs w:val="14"/>
                <w:color w:val="auto"/>
              </w:rPr>
              <w:t>Distributions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(8,989)</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(8,989)</w:t>
            </w: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Issuance of equity securities, net of retirements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7,206</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7,206</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7,206</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March 31, 2021</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$ 146,654</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 (899,328)</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$ 2,667,130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(108,720)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(8,937)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$ 1,796,799</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43,643</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$ 1,840,442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Balance at December 31, 2019</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160" w:type="dxa"/>
            <w:vAlign w:val="bottom"/>
            <w:vMerge w:val="continue"/>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$ 146,441</w:t>
            </w: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 (934,240)</w:t>
            </w:r>
          </w:p>
        </w:tc>
        <w:tc>
          <w:tcPr>
            <w:tcW w:w="760" w:type="dxa"/>
            <w:vAlign w:val="bottom"/>
          </w:tcPr>
          <w:p>
            <w:pPr>
              <w:jc w:val="right"/>
              <w:spacing w:after="0"/>
              <w:rPr>
                <w:sz w:val="20"/>
                <w:szCs w:val="20"/>
                <w:color w:val="auto"/>
              </w:rPr>
            </w:pPr>
            <w:r>
              <w:rPr>
                <w:rFonts w:ascii="Arial" w:cs="Arial" w:eastAsia="Arial" w:hAnsi="Arial"/>
                <w:sz w:val="14"/>
                <w:szCs w:val="14"/>
                <w:color w:val="auto"/>
              </w:rPr>
              <w:t>$ 2,649,975</w:t>
            </w: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(218,025)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(14,261)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$ 1,629,890</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30,866</w:t>
            </w:r>
          </w:p>
        </w:tc>
        <w:tc>
          <w:tcPr>
            <w:tcW w:w="1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$ 1,660,756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Comprehensive income</w:t>
            </w:r>
          </w:p>
        </w:tc>
        <w:tc>
          <w:tcPr>
            <w:tcW w:w="66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12,973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12,973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1,398</w:t>
            </w:r>
          </w:p>
        </w:tc>
        <w:tc>
          <w:tcPr>
            <w:tcW w:w="1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14,371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gain, net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(8,792)</w:t>
            </w: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(8,792)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w:t>
            </w: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(8,800)</w:t>
            </w:r>
          </w:p>
        </w:tc>
        <w:tc>
          <w:tcPr>
            <w:tcW w:w="0" w:type="dxa"/>
            <w:vAlign w:val="bottom"/>
          </w:tcPr>
          <w:p>
            <w:pPr>
              <w:spacing w:after="0"/>
              <w:rPr>
                <w:sz w:val="1"/>
                <w:szCs w:val="1"/>
                <w:color w:val="auto"/>
              </w:rPr>
            </w:pPr>
          </w:p>
        </w:tc>
      </w:tr>
      <w:tr>
        <w:trPr>
          <w:trHeight w:val="190"/>
        </w:trPr>
        <w:tc>
          <w:tcPr>
            <w:tcW w:w="3160" w:type="dxa"/>
            <w:vAlign w:val="bottom"/>
          </w:tcPr>
          <w:p>
            <w:pPr>
              <w:ind w:left="260"/>
              <w:spacing w:after="0"/>
              <w:rPr>
                <w:sz w:val="20"/>
                <w:szCs w:val="20"/>
                <w:color w:val="auto"/>
              </w:rPr>
            </w:pPr>
            <w:r>
              <w:rPr>
                <w:rFonts w:ascii="Arial" w:cs="Arial" w:eastAsia="Arial" w:hAnsi="Arial"/>
                <w:sz w:val="14"/>
                <w:szCs w:val="14"/>
                <w:color w:val="auto"/>
              </w:rPr>
              <w:t>Pension adjustments, net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(61)</w:t>
            </w:r>
          </w:p>
        </w:tc>
        <w:tc>
          <w:tcPr>
            <w:tcW w:w="10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39"/>
        </w:trPr>
        <w:tc>
          <w:tcPr>
            <w:tcW w:w="3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Adoption of ASU 2016-13</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20"/>
                <w:szCs w:val="20"/>
                <w:color w:val="auto"/>
              </w:rPr>
            </w:pPr>
            <w:r>
              <w:rPr>
                <w:rFonts w:ascii="Arial" w:cs="Arial" w:eastAsia="Arial" w:hAnsi="Arial"/>
                <w:sz w:val="14"/>
                <w:szCs w:val="14"/>
                <w:color w:val="auto"/>
              </w:rPr>
              <w:t>Contributions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221</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(360)</w:t>
            </w: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75"/>
        </w:trPr>
        <w:tc>
          <w:tcPr>
            <w:tcW w:w="31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March 31, 2020</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9"/>
              </w:rPr>
              <w:t>$ 146,441</w:t>
            </w:r>
          </w:p>
        </w:tc>
        <w:tc>
          <w:tcPr>
            <w:tcW w:w="116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 (934,240)</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$ 2,652,227</w:t>
            </w:r>
          </w:p>
        </w:tc>
        <w:tc>
          <w:tcPr>
            <w:tcW w:w="24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(206,052)</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(23,114)</w:t>
            </w: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$ 1,635,262</w:t>
            </w:r>
          </w:p>
        </w:tc>
        <w:tc>
          <w:tcPr>
            <w:tcW w:w="140" w:type="dxa"/>
            <w:vAlign w:val="bottom"/>
            <w:shd w:val="clear" w:color="auto" w:fill="CFF0FC"/>
          </w:tcPr>
          <w:p>
            <w:pPr>
              <w:spacing w:after="0"/>
              <w:rPr>
                <w:sz w:val="16"/>
                <w:szCs w:val="16"/>
                <w:color w:val="auto"/>
              </w:rPr>
            </w:pP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32,117</w:t>
            </w:r>
          </w:p>
        </w:tc>
        <w:tc>
          <w:tcPr>
            <w:tcW w:w="14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$ 1,667,379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60" w:type="dxa"/>
            <w:vAlign w:val="bottom"/>
            <w:shd w:val="clear" w:color="auto" w:fill="CFF0FC"/>
          </w:tcPr>
          <w:p>
            <w:pPr>
              <w:spacing w:after="0"/>
              <w:rPr>
                <w:sz w:val="3"/>
                <w:szCs w:val="3"/>
                <w:color w:val="auto"/>
              </w:rPr>
            </w:pPr>
          </w:p>
        </w:tc>
        <w:tc>
          <w:tcPr>
            <w:tcW w:w="660" w:type="dxa"/>
            <w:vAlign w:val="bottom"/>
            <w:vMerge w:val="continue"/>
            <w:shd w:val="clear" w:color="auto" w:fill="CFF0FC"/>
          </w:tcPr>
          <w:p>
            <w:pPr>
              <w:spacing w:after="0"/>
              <w:rPr>
                <w:sz w:val="3"/>
                <w:szCs w:val="3"/>
                <w:color w:val="auto"/>
              </w:rPr>
            </w:pPr>
          </w:p>
        </w:tc>
        <w:tc>
          <w:tcPr>
            <w:tcW w:w="1160" w:type="dxa"/>
            <w:vAlign w:val="bottom"/>
            <w:gridSpan w:val="3"/>
            <w:vMerge w:val="continue"/>
            <w:shd w:val="clear" w:color="auto" w:fill="CFF0FC"/>
          </w:tcPr>
          <w:p>
            <w:pPr>
              <w:spacing w:after="0"/>
              <w:rPr>
                <w:sz w:val="3"/>
                <w:szCs w:val="3"/>
                <w:color w:val="auto"/>
              </w:rPr>
            </w:pPr>
          </w:p>
        </w:tc>
        <w:tc>
          <w:tcPr>
            <w:tcW w:w="760" w:type="dxa"/>
            <w:vAlign w:val="bottom"/>
            <w:vMerge w:val="continue"/>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0" w:type="dxa"/>
            <w:vAlign w:val="bottom"/>
            <w:vMerge w:val="continue"/>
            <w:shd w:val="clear" w:color="auto" w:fill="CFF0FC"/>
          </w:tcPr>
          <w:p>
            <w:pPr>
              <w:spacing w:after="0"/>
              <w:rPr>
                <w:sz w:val="3"/>
                <w:szCs w:val="3"/>
                <w:color w:val="auto"/>
              </w:rPr>
            </w:pPr>
          </w:p>
        </w:tc>
        <w:tc>
          <w:tcPr>
            <w:tcW w:w="780" w:type="dxa"/>
            <w:vAlign w:val="bottom"/>
            <w:gridSpan w:val="2"/>
            <w:vMerge w:val="continue"/>
            <w:shd w:val="clear" w:color="auto" w:fill="CFF0FC"/>
          </w:tcPr>
          <w:p>
            <w:pPr>
              <w:spacing w:after="0"/>
              <w:rPr>
                <w:sz w:val="3"/>
                <w:szCs w:val="3"/>
                <w:color w:val="auto"/>
              </w:rPr>
            </w:pPr>
          </w:p>
        </w:tc>
        <w:tc>
          <w:tcPr>
            <w:tcW w:w="180" w:type="dxa"/>
            <w:vAlign w:val="bottom"/>
            <w:gridSpan w:val="2"/>
            <w:vMerge w:val="continue"/>
            <w:shd w:val="clear" w:color="auto" w:fill="CFF0FC"/>
          </w:tcPr>
          <w:p>
            <w:pPr>
              <w:spacing w:after="0"/>
              <w:rPr>
                <w:sz w:val="3"/>
                <w:szCs w:val="3"/>
                <w:color w:val="auto"/>
              </w:rPr>
            </w:pPr>
          </w:p>
        </w:tc>
        <w:tc>
          <w:tcPr>
            <w:tcW w:w="1040" w:type="dxa"/>
            <w:vAlign w:val="bottom"/>
            <w:gridSpan w:val="2"/>
            <w:vMerge w:val="continue"/>
            <w:shd w:val="clear" w:color="auto" w:fill="CFF0FC"/>
          </w:tcPr>
          <w:p>
            <w:pPr>
              <w:spacing w:after="0"/>
              <w:rPr>
                <w:sz w:val="3"/>
                <w:szCs w:val="3"/>
                <w:color w:val="auto"/>
              </w:rPr>
            </w:pPr>
          </w:p>
        </w:tc>
        <w:tc>
          <w:tcPr>
            <w:tcW w:w="860" w:type="dxa"/>
            <w:vAlign w:val="bottom"/>
            <w:gridSpan w:val="2"/>
            <w:vMerge w:val="continue"/>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80" w:type="dxa"/>
            <w:vAlign w:val="bottom"/>
            <w:gridSpan w:val="2"/>
            <w:vMerge w:val="continue"/>
            <w:shd w:val="clear" w:color="auto" w:fill="CFF0FC"/>
          </w:tcPr>
          <w:p>
            <w:pPr>
              <w:spacing w:after="0"/>
              <w:rPr>
                <w:sz w:val="3"/>
                <w:szCs w:val="3"/>
                <w:color w:val="auto"/>
              </w:rPr>
            </w:pPr>
          </w:p>
        </w:tc>
        <w:tc>
          <w:tcPr>
            <w:tcW w:w="900" w:type="dxa"/>
            <w:vAlign w:val="bottom"/>
            <w:vMerge w:val="continue"/>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860" w:type="dxa"/>
            <w:vAlign w:val="bottom"/>
            <w:gridSpan w:val="2"/>
            <w:vMerge w:val="continue"/>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640" w:right="8380" w:hanging="632"/>
        <w:spacing w:after="0" w:line="560" w:lineRule="auto"/>
        <w:tabs>
          <w:tab w:leader="none" w:pos="63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spacing w:after="0" w:line="1"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Parsons Corporation, a Delaware corporation, and its subsidiaries (collectively, the “Company”) is a leading provider of technology-driven solutions in the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interconnected world.</w:t>
      </w:r>
    </w:p>
    <w:p>
      <w:pPr>
        <w:spacing w:after="0" w:line="203"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34" w:lineRule="exact"/>
        <w:rPr>
          <w:sz w:val="20"/>
          <w:szCs w:val="20"/>
          <w:color w:val="auto"/>
        </w:rPr>
      </w:pPr>
    </w:p>
    <w:p>
      <w:pPr>
        <w:ind w:right="400" w:firstLine="637"/>
        <w:spacing w:after="0" w:line="238"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2020.</w:t>
      </w:r>
    </w:p>
    <w:p>
      <w:pPr>
        <w:spacing w:after="0" w:line="202"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203" w:lineRule="exact"/>
        <w:rPr>
          <w:sz w:val="20"/>
          <w:szCs w:val="20"/>
          <w:color w:val="auto"/>
        </w:rPr>
      </w:pPr>
    </w:p>
    <w:p>
      <w:pPr>
        <w:ind w:right="40" w:firstLine="637"/>
        <w:spacing w:after="0" w:line="238"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calculation of allowance for doubtful accounts; valuation of deferred income tax assets and uncertain tax positions, among others. 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2020,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Employee Stock Purchase Plan</w:t>
      </w:r>
    </w:p>
    <w:p>
      <w:pPr>
        <w:spacing w:after="0" w:line="126"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During the second quarter of fiscal 2020, initial purchases of the Company’s common Stock were made under the Parsons Employee Stock Purchase Program (“ESPP”). Under the ESPP, eligible employees who elect to participate are granted the right to purchase shares of the common stock of Parsons at a discount that is limited to 5% of the per-share market value on the day shares are sold to employees. Purchases of common stock under the ESPP are included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“proceeds from issuance of common stock” in cash flows from financing activities in the Consolidated Statements of Cash Flows.</w:t>
      </w:r>
    </w:p>
    <w:p>
      <w:pPr>
        <w:spacing w:after="0" w:line="298"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34"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In the first quarter of 2021, the Company early adopted Accounting Standards Update (“ASU”) ASU 2020-06, Debt – Debt with Conversion and Other Options (Subtopic 470-20) and Derivatives and Hedging – Contracts in Entity’s Own Equity (Subtopic 815-40) (“ASU 2020-06)”. The update simplifies the accounting for convertible debt instruments and convertible preferred stock by reducing the number of accounting models and limiting the number of embedded conversion features separately recognized from the primary contract. The guidance also includes targeted improvements to the disclosures for convertible instruments and earnings per share. ASU 2020-06 is effective for fiscal years beginning after December 15, 2021, including interim periods within those fiscal years. Early adoption is permitted, but no earlier than fiscal years beginning after December 15, 2020. The Company adopted ASU 2020-06 in the first quarter of 2021 using the modified retrospective method which resulted in a reduction in non-cash interest expense and reclassification of the equity portion of the Convertible Senior Notes to “Long-term debt” on the consolidated balance sheet.</w:t>
      </w:r>
    </w:p>
    <w:p>
      <w:pPr>
        <w:spacing w:after="0" w:line="207"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In the first quarter of 2021, the Company adopted ASU No. 2019-12, “Income Taxes (Topic 740): Simplifying the Accounting for Income Taxes (“ASU 2019-12”)”. ASU 2019-12 was issued as a means to reduce the complexity of accounting for income taxes.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The adoption of ASU 2019-12 did not have a material impact on the consolidated financial statements.</w:t>
      </w:r>
    </w:p>
    <w:p>
      <w:pPr>
        <w:spacing w:after="0" w:line="205" w:lineRule="exact"/>
        <w:rPr>
          <w:sz w:val="20"/>
          <w:szCs w:val="20"/>
          <w:color w:val="auto"/>
        </w:rPr>
      </w:pPr>
    </w:p>
    <w:p>
      <w:pPr>
        <w:ind w:right="300" w:firstLine="510"/>
        <w:spacing w:after="0" w:line="238" w:lineRule="auto"/>
        <w:rPr>
          <w:sz w:val="20"/>
          <w:szCs w:val="20"/>
          <w:color w:val="auto"/>
        </w:rPr>
      </w:pPr>
      <w:r>
        <w:rPr>
          <w:rFonts w:ascii="Arial" w:cs="Arial" w:eastAsia="Arial" w:hAnsi="Arial"/>
          <w:sz w:val="18"/>
          <w:szCs w:val="18"/>
          <w:color w:val="auto"/>
        </w:rPr>
        <w:t>In the first quarter of 2020, the Company adopted ASU 2016-13, “Measurement of Credit Losses on Financial Instruments.” The amendments in ASU 2016-13 replaced the incurred loss impairment methodology in current practice with a methodology that reflects expected credit losses and requires consideration of a broader range of reasonable and supportable information to estimate credit losses. The adoption of ASU 2016-13 did not have a material impact on the consolidated financial statements.</w:t>
      </w:r>
    </w:p>
    <w:p>
      <w:pPr>
        <w:spacing w:after="0" w:line="183"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Braxton Science &amp; Technology Group</w:t>
      </w:r>
    </w:p>
    <w:p>
      <w:pPr>
        <w:spacing w:after="0" w:line="126"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On November 19, 2020, the Company acquired a 100% ownership interest in Braxton Science &amp; Technology Group (“Braxton”), a privately-owned company, for $ 308.8 million in cash. Braxton operates at the forefront of satellite operations, ground system automation, flight dynamics, and spacecraft and antenna simulation for the U.S. Department of Defense and Intelligence Community. The acquisition was entirely funded by cash on hand in August 2020, as described in “Note 12—Debt and Credit Facilities”. In connection with this acquisition, the Company recognized $0.6 million of acquisition-related “Selling, general and administrative expense” in the consolidated statements of income for the three months ended March 31, 2021, including legal fees, consulting fees, and other miscellaneous direct expenses associated with the acquisition. Braxton allows Parsons to capitalize on the quickly evolving space missions of its national security space customers and address rapid market growth driven by proliferated low earth orbit constellations, small satellite expansion, and space cyber resiliency.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 w:name="page10"/>
    <w:bookmarkEnd w:id="9"/>
    <w:p>
      <w:pPr>
        <w:jc w:val="both"/>
        <w:ind w:right="200" w:firstLine="510"/>
        <w:spacing w:after="0" w:line="24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3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20" w:type="dxa"/>
            <w:vAlign w:val="bottom"/>
            <w:tcBorders>
              <w:bottom w:val="single" w:sz="8" w:color="CFF0FC"/>
            </w:tcBorders>
          </w:tcPr>
          <w:p>
            <w:pPr>
              <w:spacing w:after="0"/>
              <w:rPr>
                <w:sz w:val="15"/>
                <w:szCs w:val="15"/>
                <w:color w:val="auto"/>
              </w:rPr>
            </w:pPr>
          </w:p>
        </w:tc>
        <w:tc>
          <w:tcPr>
            <w:tcW w:w="23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5"/>
                <w:szCs w:val="15"/>
                <w:color w:val="auto"/>
              </w:rPr>
            </w:pP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Accounts receivable</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18,163</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Right of use assets, operating leases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211,524</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Intangible assets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74,950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(7,464)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(9,845)</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Short-term lease liabilities, operating leases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(1,915)</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 operating leases</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(8,873)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(1,694)</w:t>
            </w:r>
          </w:p>
        </w:tc>
      </w:tr>
      <w:tr>
        <w:trPr>
          <w:trHeight w:val="20"/>
        </w:trPr>
        <w:tc>
          <w:tcPr>
            <w:tcW w:w="592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2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308,840</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Gross</w:t>
            </w:r>
          </w:p>
        </w:tc>
        <w:tc>
          <w:tcPr>
            <w:tcW w:w="156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44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09"/>
        </w:trPr>
        <w:tc>
          <w:tcPr>
            <w:tcW w:w="4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(in years)</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Backlog</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38,200</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Non-compete agreements</w:t>
            </w: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of $4.1 million related to these intangible assets was recorded for the three months ended March 31, 2021. The</w:t>
      </w:r>
    </w:p>
    <w:p>
      <w:pPr>
        <w:spacing w:after="0" w:line="3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entire value of goodwill was assigned to the Federal Solutions reporting unit and represents synergies expected to be realized from this business combination. Goodwill of $196.3 million is deductible for tax purposes.</w:t>
      </w:r>
    </w:p>
    <w:p>
      <w:pPr>
        <w:spacing w:after="0" w:line="211" w:lineRule="exact"/>
        <w:rPr>
          <w:sz w:val="20"/>
          <w:szCs w:val="20"/>
          <w:color w:val="auto"/>
        </w:rPr>
      </w:pPr>
    </w:p>
    <w:p>
      <w:pPr>
        <w:jc w:val="both"/>
        <w:ind w:right="180" w:firstLine="510"/>
        <w:spacing w:after="0" w:line="287" w:lineRule="auto"/>
        <w:rPr>
          <w:sz w:val="20"/>
          <w:szCs w:val="20"/>
          <w:color w:val="auto"/>
        </w:rPr>
      </w:pPr>
      <w:r>
        <w:rPr>
          <w:rFonts w:ascii="Arial" w:cs="Arial" w:eastAsia="Arial" w:hAnsi="Arial"/>
          <w:sz w:val="18"/>
          <w:szCs w:val="18"/>
          <w:color w:val="auto"/>
        </w:rPr>
        <w:t>The amount of revenue generated by Braxton and included within consolidated revenues is $31.0 million for the three months ended March 31, 2021. The Company has determined that the presentation of net income from the date of acquisition is impracticable due to the integration of general corporate functions upon acquisition.</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net assets acquired.</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26"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Supplemental information of unaudited pro forma operating results assuming the Braxton acquisition had been consummated as of the beginning of fiscal year 2019 (in thousands) is as follows:</w:t>
      </w:r>
    </w:p>
    <w:p>
      <w:pPr>
        <w:spacing w:after="0" w:line="36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82"/>
        </w:trPr>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r>
      <w:tr>
        <w:trPr>
          <w:trHeight w:val="203"/>
        </w:trPr>
        <w:tc>
          <w:tcPr>
            <w:tcW w:w="6900" w:type="dxa"/>
            <w:vAlign w:val="bottom"/>
          </w:tcPr>
          <w:p>
            <w:pPr>
              <w:spacing w:after="0" w:line="203" w:lineRule="exact"/>
              <w:rPr>
                <w:sz w:val="20"/>
                <w:szCs w:val="20"/>
                <w:color w:val="auto"/>
              </w:rPr>
            </w:pPr>
            <w:r>
              <w:rPr>
                <w:rFonts w:ascii="Arial" w:cs="Arial" w:eastAsia="Arial" w:hAnsi="Arial"/>
                <w:sz w:val="18"/>
                <w:szCs w:val="18"/>
                <w:color w:val="auto"/>
              </w:rPr>
              <w:t>Pro forma Revenue</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9"/>
              <w:spacing w:after="0" w:line="203" w:lineRule="exact"/>
              <w:rPr>
                <w:sz w:val="20"/>
                <w:szCs w:val="20"/>
                <w:color w:val="auto"/>
              </w:rPr>
            </w:pPr>
            <w:r>
              <w:rPr>
                <w:rFonts w:ascii="Arial" w:cs="Arial" w:eastAsia="Arial" w:hAnsi="Arial"/>
                <w:sz w:val="18"/>
                <w:szCs w:val="18"/>
                <w:color w:val="auto"/>
              </w:rPr>
              <w:t>874,697</w:t>
            </w: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1,001,337</w:t>
            </w:r>
          </w:p>
        </w:tc>
        <w:tc>
          <w:tcPr>
            <w:tcW w:w="100" w:type="dxa"/>
            <w:vAlign w:val="bottom"/>
          </w:tcPr>
          <w:p>
            <w:pPr>
              <w:spacing w:after="0"/>
              <w:rPr>
                <w:sz w:val="17"/>
                <w:szCs w:val="17"/>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Pro forma Net Income</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15,354</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14,459</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0" w:name="page11"/>
    <w:bookmarkEnd w:id="10"/>
    <w:p>
      <w:pPr>
        <w:ind w:left="640" w:right="8260" w:hanging="632"/>
        <w:spacing w:after="0" w:line="372" w:lineRule="auto"/>
        <w:tabs>
          <w:tab w:leader="none" w:pos="63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spacing w:after="0" w:line="1" w:lineRule="exact"/>
        <w:rPr>
          <w:sz w:val="20"/>
          <w:szCs w:val="20"/>
          <w:color w:val="auto"/>
        </w:rPr>
      </w:pPr>
    </w:p>
    <w:p>
      <w:pPr>
        <w:ind w:right="200" w:firstLine="637"/>
        <w:spacing w:after="0" w:line="274"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4"/>
          </w:tcPr>
          <w:p>
            <w:pPr>
              <w:jc w:val="right"/>
              <w:ind w:right="13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4220" w:type="dxa"/>
            <w:vAlign w:val="bottom"/>
            <w:tcBorders>
              <w:bottom w:val="single" w:sz="8" w:color="CFF0FC"/>
            </w:tcBorders>
          </w:tcPr>
          <w:p>
            <w:pPr>
              <w:spacing w:after="0"/>
              <w:rPr>
                <w:sz w:val="14"/>
                <w:szCs w:val="14"/>
                <w:color w:val="auto"/>
              </w:rPr>
            </w:pPr>
          </w:p>
        </w:tc>
        <w:tc>
          <w:tcPr>
            <w:tcW w:w="26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FF0FC"/>
            </w:tcBorders>
          </w:tcPr>
          <w:p>
            <w:pPr>
              <w:spacing w:after="0"/>
              <w:rPr>
                <w:sz w:val="14"/>
                <w:szCs w:val="14"/>
                <w:color w:val="auto"/>
              </w:rPr>
            </w:pPr>
          </w:p>
        </w:tc>
      </w:tr>
      <w:tr>
        <w:trPr>
          <w:trHeight w:val="21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29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229,942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308,308</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Time-and-Materials</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239,665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252,439</w:t>
            </w: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26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405,090</w:t>
            </w:r>
          </w:p>
        </w:tc>
        <w:tc>
          <w:tcPr>
            <w:tcW w:w="2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410,246</w:t>
            </w:r>
          </w:p>
        </w:tc>
        <w:tc>
          <w:tcPr>
            <w:tcW w:w="120" w:type="dxa"/>
            <w:vAlign w:val="bottom"/>
            <w:shd w:val="clear" w:color="auto" w:fill="CFF0FC"/>
          </w:tcPr>
          <w:p>
            <w:pPr>
              <w:spacing w:after="0"/>
              <w:rPr>
                <w:sz w:val="18"/>
                <w:szCs w:val="18"/>
                <w:color w:val="auto"/>
              </w:rPr>
            </w:pPr>
          </w:p>
        </w:tc>
      </w:tr>
      <w:tr>
        <w:trPr>
          <w:trHeight w:val="209"/>
        </w:trPr>
        <w:tc>
          <w:tcPr>
            <w:tcW w:w="4220" w:type="dxa"/>
            <w:vAlign w:val="bottom"/>
          </w:tcPr>
          <w:p>
            <w:pPr>
              <w:ind w:left="260"/>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874,697</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970,993</w:t>
            </w:r>
          </w:p>
        </w:tc>
        <w:tc>
          <w:tcPr>
            <w:tcW w:w="120" w:type="dxa"/>
            <w:vAlign w:val="bottom"/>
          </w:tcPr>
          <w:p>
            <w:pPr>
              <w:spacing w:after="0"/>
              <w:rPr>
                <w:sz w:val="18"/>
                <w:szCs w:val="18"/>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March 31, 2021 and December 31, 2020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Borders>
              <w:bottom w:val="single" w:sz="8" w:color="CFF0FC"/>
            </w:tcBorders>
          </w:tcPr>
          <w:p>
            <w:pPr>
              <w:spacing w:after="0"/>
              <w:rPr>
                <w:sz w:val="15"/>
                <w:szCs w:val="15"/>
                <w:color w:val="auto"/>
              </w:rPr>
            </w:pPr>
          </w:p>
        </w:tc>
        <w:tc>
          <w:tcPr>
            <w:tcW w:w="2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CFF0FC"/>
            </w:tcBorders>
          </w:tcPr>
          <w:p>
            <w:pPr>
              <w:spacing w:after="0"/>
              <w:rPr>
                <w:sz w:val="15"/>
                <w:szCs w:val="15"/>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2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607,676</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576,568</w:t>
            </w:r>
          </w:p>
        </w:tc>
        <w:tc>
          <w:tcPr>
            <w:tcW w:w="120" w:type="dxa"/>
            <w:vAlign w:val="bottom"/>
            <w:shd w:val="clear" w:color="auto" w:fill="CFF0FC"/>
          </w:tcPr>
          <w:p>
            <w:pPr>
              <w:spacing w:after="0"/>
              <w:rPr>
                <w:sz w:val="18"/>
                <w:szCs w:val="18"/>
                <w:color w:val="auto"/>
              </w:rPr>
            </w:pP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liabilities</w:t>
            </w:r>
          </w:p>
        </w:tc>
        <w:tc>
          <w:tcPr>
            <w:tcW w:w="2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186,028</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201,864</w:t>
            </w:r>
          </w:p>
        </w:tc>
        <w:tc>
          <w:tcPr>
            <w:tcW w:w="120" w:type="dxa"/>
            <w:vAlign w:val="bottom"/>
            <w:tcBorders>
              <w:bottom w:val="single" w:sz="8" w:color="CFF0FC"/>
            </w:tcBorders>
          </w:tcPr>
          <w:p>
            <w:pPr>
              <w:spacing w:after="0"/>
              <w:rPr>
                <w:sz w:val="18"/>
                <w:szCs w:val="18"/>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contract assets (liabilities) (1)</w:t>
            </w:r>
          </w:p>
        </w:tc>
        <w:tc>
          <w:tcPr>
            <w:tcW w:w="2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421,648</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374,704</w:t>
            </w:r>
          </w:p>
        </w:tc>
        <w:tc>
          <w:tcPr>
            <w:tcW w:w="120" w:type="dxa"/>
            <w:vAlign w:val="bottom"/>
            <w:shd w:val="clear" w:color="auto" w:fill="CFF0FC"/>
          </w:tcPr>
          <w:p>
            <w:pPr>
              <w:spacing w:after="0"/>
              <w:rPr>
                <w:sz w:val="18"/>
                <w:szCs w:val="18"/>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2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40" w:hanging="632"/>
        <w:spacing w:after="0" w:line="24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$92.3 million as of March 31, 2021, of which $41.0 million are not expected to be paid in the next 12 months. Total contract retentions included in net contract assets (liabilities) were $93.8 million as of December 31, 2020. Contract assets at March 31, 2021 and December 31, 2020 include $117.8 million and $116.6 million, respectively, related to unapproved change orders, claims, and requests for equitable adjustment. For the three months ended March 31, 2021 and March 31, 2020, there were no material losses recognized related to the collectability of claims, unapproved change orders, and requests for equitable adjustment.</w:t>
      </w:r>
    </w:p>
    <w:p>
      <w:pPr>
        <w:spacing w:after="0" w:line="201" w:lineRule="exact"/>
        <w:rPr>
          <w:sz w:val="20"/>
          <w:szCs w:val="20"/>
          <w:color w:val="auto"/>
        </w:rPr>
      </w:pPr>
    </w:p>
    <w:p>
      <w:pPr>
        <w:ind w:right="260" w:firstLine="637"/>
        <w:spacing w:after="0" w:line="264" w:lineRule="auto"/>
        <w:rPr>
          <w:sz w:val="20"/>
          <w:szCs w:val="20"/>
          <w:color w:val="auto"/>
        </w:rPr>
      </w:pPr>
      <w:r>
        <w:rPr>
          <w:rFonts w:ascii="Arial" w:cs="Arial" w:eastAsia="Arial" w:hAnsi="Arial"/>
          <w:sz w:val="18"/>
          <w:szCs w:val="18"/>
          <w:color w:val="auto"/>
        </w:rPr>
        <w:t>During the three months ended March 31, 2021 and March 31, 2020, the Company recognized revenue of $69.1 million and $94.3 million, respectively that was included in the corresponding contract liability balances at December 31, 2020 and December 31, 2019, respectively. Certain changes in contract assets and contract liabilities consisted of the following:</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02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CFF0FC"/>
            </w:tcBorders>
          </w:tcPr>
          <w:p>
            <w:pPr>
              <w:spacing w:after="0"/>
              <w:rPr>
                <w:sz w:val="15"/>
                <w:szCs w:val="15"/>
                <w:color w:val="auto"/>
              </w:rPr>
            </w:pPr>
          </w:p>
        </w:tc>
      </w:tr>
      <w:tr>
        <w:trPr>
          <w:trHeight w:val="21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1720" w:type="dxa"/>
            <w:vAlign w:val="bottom"/>
            <w:gridSpan w:val="2"/>
            <w:shd w:val="clear" w:color="auto" w:fill="CFF0FC"/>
          </w:tcPr>
          <w:p>
            <w:pPr>
              <w:jc w:val="right"/>
              <w:ind w:right="136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120" w:type="dxa"/>
            <w:vAlign w:val="bottom"/>
            <w:shd w:val="clear" w:color="auto" w:fill="CFF0FC"/>
          </w:tcPr>
          <w:p>
            <w:pPr>
              <w:spacing w:after="0"/>
              <w:rPr>
                <w:sz w:val="18"/>
                <w:szCs w:val="18"/>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r>
    </w:tbl>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was no significant impairment of contract assets recognized during the three months ended March 31, 2021 and March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9" w:lineRule="exact"/>
        <w:rPr>
          <w:sz w:val="20"/>
          <w:szCs w:val="20"/>
          <w:color w:val="auto"/>
        </w:rPr>
      </w:pPr>
    </w:p>
    <w:p>
      <w:pPr>
        <w:ind w:right="280" w:firstLine="741"/>
        <w:spacing w:after="0" w:line="264" w:lineRule="auto"/>
        <w:rPr>
          <w:sz w:val="20"/>
          <w:szCs w:val="20"/>
          <w:color w:val="auto"/>
        </w:rPr>
      </w:pPr>
      <w:r>
        <w:rPr>
          <w:rFonts w:ascii="Arial" w:cs="Arial" w:eastAsia="Arial" w:hAnsi="Arial"/>
          <w:sz w:val="18"/>
          <w:szCs w:val="18"/>
          <w:color w:val="auto"/>
        </w:rPr>
        <w:t>There were no amounts due to revisions in estimates, such as changes in estimated claims or incentives, related to performance obligations partially satisfied in previous periods that individually had an impact of $5 million or more on revenue during the three months ended March 31, 2021 and March 31, 2020.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March 31, 2021 and December 31, 2020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Borders>
              <w:bottom w:val="single" w:sz="8" w:color="CFF0FC"/>
            </w:tcBorders>
          </w:tcPr>
          <w:p>
            <w:pPr>
              <w:spacing w:after="0"/>
              <w:rPr>
                <w:sz w:val="17"/>
                <w:szCs w:val="17"/>
                <w:color w:val="auto"/>
              </w:rPr>
            </w:pPr>
          </w:p>
        </w:tc>
        <w:tc>
          <w:tcPr>
            <w:tcW w:w="230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7"/>
                <w:szCs w:val="17"/>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Billed</w:t>
            </w:r>
          </w:p>
        </w:tc>
        <w:tc>
          <w:tcPr>
            <w:tcW w:w="336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521,031</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512,357</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Unbilled</w:t>
            </w:r>
          </w:p>
        </w:tc>
        <w:tc>
          <w:tcPr>
            <w:tcW w:w="23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176,552</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190,222</w:t>
            </w:r>
          </w:p>
        </w:tc>
        <w:tc>
          <w:tcPr>
            <w:tcW w:w="120" w:type="dxa"/>
            <w:vAlign w:val="bottom"/>
            <w:tcBorders>
              <w:bottom w:val="single" w:sz="8" w:color="CFF0FC"/>
            </w:tcBorders>
          </w:tcPr>
          <w:p>
            <w:pPr>
              <w:spacing w:after="0"/>
              <w:rPr>
                <w:sz w:val="18"/>
                <w:szCs w:val="18"/>
                <w:color w:val="auto"/>
              </w:rPr>
            </w:pPr>
          </w:p>
        </w:tc>
      </w:tr>
      <w:tr>
        <w:trPr>
          <w:trHeight w:val="210"/>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2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697,583</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702,579</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(3,999)</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(4,001)</w:t>
            </w:r>
          </w:p>
        </w:tc>
      </w:tr>
      <w:tr>
        <w:trPr>
          <w:trHeight w:val="20"/>
        </w:trPr>
        <w:tc>
          <w:tcPr>
            <w:tcW w:w="502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336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693,584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698,578</w:t>
            </w:r>
          </w:p>
        </w:tc>
        <w:tc>
          <w:tcPr>
            <w:tcW w:w="120" w:type="dxa"/>
            <w:vAlign w:val="bottom"/>
            <w:shd w:val="clear" w:color="auto" w:fill="CFF0FC"/>
          </w:tcPr>
          <w:p>
            <w:pPr>
              <w:spacing w:after="0"/>
              <w:rPr>
                <w:sz w:val="18"/>
                <w:szCs w:val="18"/>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203" w:lineRule="exact"/>
        <w:rPr>
          <w:sz w:val="20"/>
          <w:szCs w:val="20"/>
          <w:color w:val="auto"/>
        </w:rPr>
      </w:pPr>
    </w:p>
    <w:p>
      <w:pPr>
        <w:ind w:right="160" w:firstLine="637"/>
        <w:spacing w:after="0" w:line="238"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COVID-19 Impacts: We have not seen and do not expect there to be a risk of non-payment from either our government agency or commercial customers. We have experienced payment delays due to administrative limitations from both types of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22" w:lineRule="exact"/>
        <w:rPr>
          <w:sz w:val="20"/>
          <w:szCs w:val="20"/>
          <w:color w:val="auto"/>
        </w:rPr>
      </w:pPr>
    </w:p>
    <w:p>
      <w:pPr>
        <w:ind w:right="260" w:firstLine="637"/>
        <w:spacing w:after="0" w:line="274" w:lineRule="auto"/>
        <w:rPr>
          <w:sz w:val="20"/>
          <w:szCs w:val="20"/>
          <w:color w:val="auto"/>
        </w:rPr>
      </w:pPr>
      <w:r>
        <w:rPr>
          <w:rFonts w:ascii="Arial" w:cs="Arial" w:eastAsia="Arial" w:hAnsi="Arial"/>
          <w:sz w:val="17"/>
          <w:szCs w:val="17"/>
          <w:color w:val="auto"/>
        </w:rPr>
        <w:t>The Company’s remaining unsatisfied performance obligations (“RUPO”) as of March 31, 2021 represent a measure of the total dollar value of work to be performed on contracts awarded and in-progress. The Company had $5.1 billion in RUPO as of March 31, 2021.</w:t>
      </w:r>
    </w:p>
    <w:p>
      <w:pPr>
        <w:spacing w:after="0" w:line="175" w:lineRule="exact"/>
        <w:rPr>
          <w:sz w:val="20"/>
          <w:szCs w:val="20"/>
          <w:color w:val="auto"/>
        </w:rPr>
      </w:pPr>
    </w:p>
    <w:p>
      <w:pPr>
        <w:ind w:right="120" w:firstLine="637"/>
        <w:spacing w:after="0" w:line="238"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205" w:lineRule="exact"/>
        <w:rPr>
          <w:sz w:val="20"/>
          <w:szCs w:val="20"/>
          <w:color w:val="auto"/>
        </w:rPr>
      </w:pPr>
    </w:p>
    <w:p>
      <w:pPr>
        <w:ind w:right="20" w:firstLine="637"/>
        <w:spacing w:after="0" w:line="234"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w:t>
      </w:r>
    </w:p>
    <w:p>
      <w:pPr>
        <w:spacing w:after="0" w:line="1" w:lineRule="exact"/>
        <w:rPr>
          <w:sz w:val="20"/>
          <w:szCs w:val="20"/>
          <w:color w:val="auto"/>
        </w:rPr>
      </w:pPr>
    </w:p>
    <w:p>
      <w:pPr>
        <w:ind w:right="740" w:firstLine="8"/>
        <w:spacing w:after="0" w:line="246"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amounts that the Company has made against customers for which it has determined that it has a legal basis under existing contractual arrangements and a significant reversal of revenue is not probable, less revenue recognized to-date.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March 31, 2021 over the following periods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Period RUPO Will Be Satisfied</w:t>
            </w:r>
          </w:p>
        </w:tc>
        <w:tc>
          <w:tcPr>
            <w:tcW w:w="19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1,096,552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493,388</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9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1,590,691</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603,192</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980,126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2,687,243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1,096,580</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0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53" w:lineRule="exact"/>
        <w:rPr>
          <w:sz w:val="20"/>
          <w:szCs w:val="20"/>
          <w:color w:val="auto"/>
        </w:rPr>
      </w:pPr>
    </w:p>
    <w:p>
      <w:pPr>
        <w:ind w:right="40" w:firstLine="745"/>
        <w:spacing w:after="0" w:line="264"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9 years, some of which may include options to extend the leases for up to five years, and some of which may include options to terminate the leases up to the third year.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costs for the three months ended March 31, 2021 and March 31, 2020 are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4640" w:type="dxa"/>
            <w:vAlign w:val="bottom"/>
            <w:tcBorders>
              <w:bottom w:val="single" w:sz="8" w:color="CFF0FC"/>
            </w:tcBorders>
          </w:tcPr>
          <w:p>
            <w:pPr>
              <w:spacing w:after="0"/>
              <w:rPr>
                <w:sz w:val="15"/>
                <w:szCs w:val="15"/>
                <w:color w:val="auto"/>
              </w:rPr>
            </w:pPr>
          </w:p>
        </w:tc>
        <w:tc>
          <w:tcPr>
            <w:tcW w:w="16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March 31, 2021</w:t>
            </w:r>
          </w:p>
        </w:tc>
        <w:tc>
          <w:tcPr>
            <w:tcW w:w="4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FF0FC"/>
            </w:tcBorders>
          </w:tcPr>
          <w:p>
            <w:pPr>
              <w:spacing w:after="0"/>
              <w:rPr>
                <w:sz w:val="15"/>
                <w:szCs w:val="15"/>
                <w:color w:val="auto"/>
              </w:rPr>
            </w:pPr>
          </w:p>
        </w:tc>
      </w:tr>
      <w:tr>
        <w:trPr>
          <w:trHeight w:val="209"/>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cost</w:t>
            </w:r>
          </w:p>
        </w:tc>
        <w:tc>
          <w:tcPr>
            <w:tcW w:w="1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16,361</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17,271</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240"/>
              <w:spacing w:after="0"/>
              <w:rPr>
                <w:sz w:val="20"/>
                <w:szCs w:val="20"/>
                <w:color w:val="auto"/>
              </w:rPr>
            </w:pPr>
            <w:r>
              <w:rPr>
                <w:rFonts w:ascii="Arial" w:cs="Arial" w:eastAsia="Arial" w:hAnsi="Arial"/>
                <w:sz w:val="18"/>
                <w:szCs w:val="18"/>
                <w:color w:val="auto"/>
              </w:rPr>
              <w:t>Short-term lease cost</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1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1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(880)</w:t>
            </w:r>
          </w:p>
        </w:tc>
      </w:tr>
      <w:tr>
        <w:trPr>
          <w:trHeight w:val="20"/>
        </w:trPr>
        <w:tc>
          <w:tcPr>
            <w:tcW w:w="4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40" w:type="dxa"/>
            <w:vAlign w:val="bottom"/>
          </w:tcPr>
          <w:p>
            <w:pPr>
              <w:spacing w:after="0"/>
              <w:rPr>
                <w:sz w:val="20"/>
                <w:szCs w:val="20"/>
                <w:color w:val="auto"/>
              </w:rPr>
            </w:pPr>
            <w:r>
              <w:rPr>
                <w:rFonts w:ascii="Arial" w:cs="Arial" w:eastAsia="Arial" w:hAnsi="Arial"/>
                <w:sz w:val="18"/>
                <w:szCs w:val="18"/>
                <w:color w:val="auto"/>
              </w:rPr>
              <w:t>Total lease cost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18,120</w:t>
            </w:r>
          </w:p>
        </w:tc>
        <w:tc>
          <w:tcPr>
            <w:tcW w:w="4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20,308</w:t>
            </w:r>
          </w:p>
        </w:tc>
        <w:tc>
          <w:tcPr>
            <w:tcW w:w="10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637"/>
        <w:spacing w:after="0" w:line="246" w:lineRule="auto"/>
        <w:rPr>
          <w:sz w:val="20"/>
          <w:szCs w:val="20"/>
          <w:color w:val="auto"/>
        </w:rPr>
      </w:pPr>
      <w:r>
        <w:rPr>
          <w:rFonts w:ascii="Arial" w:cs="Arial" w:eastAsia="Arial" w:hAnsi="Arial"/>
          <w:sz w:val="18"/>
          <w:szCs w:val="18"/>
          <w:color w:val="auto"/>
        </w:rPr>
        <w:t>Supplemental cash flow information related to leases for the three months ended March 31, 2021 and March 31, 2020 is as follows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20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FF0FC"/>
            </w:tcBorders>
          </w:tcPr>
          <w:p>
            <w:pPr>
              <w:spacing w:after="0"/>
              <w:rPr>
                <w:sz w:val="15"/>
                <w:szCs w:val="15"/>
                <w:color w:val="auto"/>
              </w:rPr>
            </w:pPr>
          </w:p>
        </w:tc>
      </w:tr>
      <w:tr>
        <w:trPr>
          <w:trHeight w:val="20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Operating cash flows for finance leases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15,106</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Supplemental balance sheet and other information related to leases as of March 31, 2021 and December 31, 2020 are as follows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2020</w:t>
            </w:r>
          </w:p>
        </w:tc>
      </w:tr>
      <w:tr>
        <w:trPr>
          <w:trHeight w:val="216"/>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Right-of-use assets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204,189</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210,398</w:t>
            </w: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960" w:type="dxa"/>
            <w:vAlign w:val="bottom"/>
          </w:tcPr>
          <w:p>
            <w:pPr>
              <w:ind w:left="240"/>
              <w:spacing w:after="0"/>
              <w:rPr>
                <w:sz w:val="20"/>
                <w:szCs w:val="20"/>
                <w:color w:val="auto"/>
              </w:rPr>
            </w:pPr>
            <w:r>
              <w:rPr>
                <w:rFonts w:ascii="Arial" w:cs="Arial" w:eastAsia="Arial" w:hAnsi="Arial"/>
                <w:sz w:val="18"/>
                <w:szCs w:val="18"/>
                <w:color w:val="auto"/>
              </w:rPr>
              <w:t>Current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54,113</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54,133</w:t>
            </w: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w:t>
            </w:r>
          </w:p>
        </w:tc>
        <w:tc>
          <w:tcPr>
            <w:tcW w:w="13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175,584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182,467</w:t>
            </w:r>
          </w:p>
        </w:tc>
        <w:tc>
          <w:tcPr>
            <w:tcW w:w="180" w:type="dxa"/>
            <w:vAlign w:val="bottom"/>
            <w:shd w:val="clear" w:color="auto" w:fill="CFF0FC"/>
          </w:tcPr>
          <w:p>
            <w:pPr>
              <w:spacing w:after="0"/>
              <w:rPr>
                <w:sz w:val="18"/>
                <w:szCs w:val="18"/>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229,697</w:t>
            </w:r>
          </w:p>
        </w:tc>
        <w:tc>
          <w:tcPr>
            <w:tcW w:w="24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236,600</w:t>
            </w:r>
          </w:p>
        </w:tc>
        <w:tc>
          <w:tcPr>
            <w:tcW w:w="180" w:type="dxa"/>
            <w:vAlign w:val="bottom"/>
          </w:tcPr>
          <w:p>
            <w:pPr>
              <w:spacing w:after="0"/>
              <w:rPr>
                <w:sz w:val="21"/>
                <w:szCs w:val="21"/>
                <w:color w:val="auto"/>
              </w:rPr>
            </w:pPr>
          </w:p>
        </w:tc>
      </w:tr>
      <w:tr>
        <w:trPr>
          <w:trHeight w:val="197"/>
        </w:trPr>
        <w:tc>
          <w:tcPr>
            <w:tcW w:w="49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Finance Leases:</w:t>
            </w:r>
          </w:p>
        </w:tc>
        <w:tc>
          <w:tcPr>
            <w:tcW w:w="13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3,526</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3,363</w:t>
            </w: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8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1,740</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1,733</w:t>
            </w: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 years</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 years</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Finance leases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2.5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 years</w:t>
            </w: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leases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bl>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2021, the Company has no operating leases that have not yet commenced.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13" w:name="page14"/>
    <w:bookmarkEnd w:id="13"/>
    <w:p>
      <w:pPr>
        <w:ind w:left="64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rPr>
          <w:sz w:val="20"/>
          <w:szCs w:val="20"/>
          <w:color w:val="auto"/>
        </w:rPr>
      </w:pPr>
      <w:r>
        <w:rPr>
          <w:rFonts w:ascii="Arial" w:cs="Arial" w:eastAsia="Arial" w:hAnsi="Arial"/>
          <w:sz w:val="18"/>
          <w:szCs w:val="18"/>
          <w:color w:val="auto"/>
        </w:rPr>
        <w:t>March 31, 2021 is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680" w:type="dxa"/>
            <w:vAlign w:val="bottom"/>
            <w:tcBorders>
              <w:bottom w:val="single" w:sz="8" w:color="CFF0FC"/>
            </w:tcBorders>
          </w:tcPr>
          <w:p>
            <w:pPr>
              <w:spacing w:after="0"/>
              <w:rPr>
                <w:sz w:val="15"/>
                <w:szCs w:val="15"/>
                <w:color w:val="auto"/>
              </w:rPr>
            </w:pPr>
          </w:p>
        </w:tc>
        <w:tc>
          <w:tcPr>
            <w:tcW w:w="17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Borders>
              <w:bottom w:val="single" w:sz="8" w:color="CFF0FC"/>
            </w:tcBorders>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2021 (remaining)</w:t>
            </w: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46,223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2022</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56,945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2024</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39,044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7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29,952</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250,145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(20,448)</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0"/>
        </w:trPr>
        <w:tc>
          <w:tcPr>
            <w:tcW w:w="468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229,697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FF0FC"/>
          </w:tcPr>
          <w:p>
            <w:pPr>
              <w:spacing w:after="0"/>
              <w:rPr>
                <w:sz w:val="18"/>
                <w:szCs w:val="18"/>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2020 to</w:t>
      </w:r>
    </w:p>
    <w:p>
      <w:pPr>
        <w:spacing w:after="0"/>
        <w:rPr>
          <w:sz w:val="20"/>
          <w:szCs w:val="20"/>
          <w:color w:val="auto"/>
        </w:rPr>
      </w:pPr>
      <w:r>
        <w:rPr>
          <w:rFonts w:ascii="Arial" w:cs="Arial" w:eastAsia="Arial" w:hAnsi="Arial"/>
          <w:sz w:val="18"/>
          <w:szCs w:val="18"/>
          <w:color w:val="auto"/>
        </w:rPr>
        <w:t>March 31, 2021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17"/>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640" w:type="dxa"/>
            <w:vAlign w:val="bottom"/>
            <w:tcBorders>
              <w:bottom w:val="single" w:sz="8" w:color="CFF0FC"/>
            </w:tcBorders>
          </w:tcPr>
          <w:p>
            <w:pPr>
              <w:spacing w:after="0"/>
              <w:rPr>
                <w:sz w:val="15"/>
                <w:szCs w:val="15"/>
                <w:color w:val="auto"/>
              </w:rPr>
            </w:pPr>
          </w:p>
        </w:tc>
        <w:tc>
          <w:tcPr>
            <w:tcW w:w="198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Acquisitions</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Exchange</w:t>
            </w:r>
          </w:p>
        </w:tc>
        <w:tc>
          <w:tcPr>
            <w:tcW w:w="2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CFF0FC"/>
            </w:tcBorders>
          </w:tcPr>
          <w:p>
            <w:pPr>
              <w:spacing w:after="0"/>
              <w:rPr>
                <w:sz w:val="15"/>
                <w:szCs w:val="15"/>
                <w:color w:val="auto"/>
              </w:rPr>
            </w:pP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280" w:type="dxa"/>
            <w:vAlign w:val="bottom"/>
            <w:gridSpan w:val="2"/>
            <w:shd w:val="clear" w:color="auto" w:fill="CFF0FC"/>
          </w:tcPr>
          <w:p>
            <w:pPr>
              <w:ind w:left="19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1,188,882</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(1,953)</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1,186,929</w:t>
            </w:r>
          </w:p>
        </w:tc>
        <w:tc>
          <w:tcPr>
            <w:tcW w:w="100" w:type="dxa"/>
            <w:vAlign w:val="bottom"/>
            <w:shd w:val="clear" w:color="auto" w:fill="CFF0FC"/>
          </w:tcPr>
          <w:p>
            <w:pPr>
              <w:spacing w:after="0"/>
              <w:rPr>
                <w:sz w:val="18"/>
                <w:szCs w:val="18"/>
                <w:color w:val="auto"/>
              </w:rPr>
            </w:pPr>
          </w:p>
        </w:tc>
      </w:tr>
      <w:tr>
        <w:trPr>
          <w:trHeight w:val="216"/>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9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73,096</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74,260</w:t>
            </w:r>
          </w:p>
        </w:tc>
        <w:tc>
          <w:tcPr>
            <w:tcW w:w="100" w:type="dxa"/>
            <w:vAlign w:val="bottom"/>
            <w:tcBorders>
              <w:bottom w:val="single" w:sz="8" w:color="CFF0FC"/>
            </w:tcBorders>
          </w:tcPr>
          <w:p>
            <w:pPr>
              <w:spacing w:after="0"/>
              <w:rPr>
                <w:sz w:val="18"/>
                <w:szCs w:val="18"/>
                <w:color w:val="auto"/>
              </w:rPr>
            </w:pP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280" w:type="dxa"/>
            <w:vAlign w:val="bottom"/>
            <w:gridSpan w:val="2"/>
            <w:shd w:val="clear" w:color="auto" w:fill="CFF0FC"/>
          </w:tcPr>
          <w:p>
            <w:pPr>
              <w:ind w:left="19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1,261,978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(1,953)</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4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1,261,189</w:t>
            </w:r>
          </w:p>
        </w:tc>
        <w:tc>
          <w:tcPr>
            <w:tcW w:w="100" w:type="dxa"/>
            <w:vAlign w:val="bottom"/>
            <w:shd w:val="clear" w:color="auto" w:fill="CFF0FC"/>
          </w:tcPr>
          <w:p>
            <w:pPr>
              <w:spacing w:after="0"/>
              <w:rPr>
                <w:sz w:val="18"/>
                <w:szCs w:val="18"/>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1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ind w:right="200" w:firstLine="637"/>
        <w:spacing w:after="0" w:line="238" w:lineRule="auto"/>
        <w:rPr>
          <w:sz w:val="20"/>
          <w:szCs w:val="20"/>
          <w:color w:val="auto"/>
        </w:rPr>
      </w:pPr>
      <w:r>
        <w:rPr>
          <w:rFonts w:ascii="Arial" w:cs="Arial" w:eastAsia="Arial" w:hAnsi="Arial"/>
          <w:sz w:val="18"/>
          <w:szCs w:val="18"/>
          <w:color w:val="auto"/>
        </w:rPr>
        <w:t>The ultimate impact from the COVID-19 pandemic is difficult to predict. While many uncertainties exist, we currently anticipate no material change in our financial condition or results of operations. Although the Company does not anticipate a material change to our financial condition or results of operations, the Company performed a qualitative triggering analysis and determined there was no triggering event indicating a potential impairment to the carrying value of its goodwill at March 31, 2021 and concluded there has not been an impairment.</w:t>
      </w:r>
    </w:p>
    <w:p>
      <w:pPr>
        <w:spacing w:after="0" w:line="288"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6"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3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56"/>
        </w:trPr>
        <w:tc>
          <w:tcPr>
            <w:tcW w:w="3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75"/>
              <w:spacing w:after="0" w:line="156"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98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Gross</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3"/>
              <w:spacing w:after="0" w:line="156"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3"/>
                <w:szCs w:val="13"/>
                <w:color w:val="auto"/>
              </w:rPr>
            </w:pPr>
          </w:p>
        </w:tc>
        <w:tc>
          <w:tcPr>
            <w:tcW w:w="100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rPr>
              <w:t>Amortization</w:t>
            </w:r>
          </w:p>
        </w:tc>
      </w:tr>
      <w:tr>
        <w:trPr>
          <w:trHeight w:val="162"/>
        </w:trPr>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w:t>
            </w:r>
          </w:p>
        </w:tc>
      </w:tr>
      <w:tr>
        <w:trPr>
          <w:trHeight w:val="175"/>
        </w:trPr>
        <w:tc>
          <w:tcPr>
            <w:tcW w:w="3360" w:type="dxa"/>
            <w:vAlign w:val="bottom"/>
            <w:tcBorders>
              <w:bottom w:val="single" w:sz="8" w:color="CFF0FC"/>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(in years)</w:t>
            </w:r>
          </w:p>
        </w:tc>
        <w:tc>
          <w:tcPr>
            <w:tcW w:w="100" w:type="dxa"/>
            <w:vAlign w:val="bottom"/>
            <w:tcBorders>
              <w:bottom w:val="single" w:sz="8" w:color="CFF0FC"/>
            </w:tcBorders>
          </w:tcPr>
          <w:p>
            <w:pPr>
              <w:spacing w:after="0"/>
              <w:rPr>
                <w:sz w:val="15"/>
                <w:szCs w:val="15"/>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147,456</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(106,573)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40,883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145,855</w:t>
            </w:r>
          </w:p>
        </w:tc>
        <w:tc>
          <w:tcPr>
            <w:tcW w:w="18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 (101,038)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262,830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(122,265)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140,565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264,129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(110,450)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153,679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112,939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(75,887)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112,039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(68,968)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(8,067)</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18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(2,372)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Other intangibles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intangible assets</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538,420</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(315,969)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222,451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537,218</w:t>
            </w:r>
          </w:p>
        </w:tc>
        <w:tc>
          <w:tcPr>
            <w:tcW w:w="18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 (291,260)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245,958</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The aggregate amortization expense of intangible assets for the three months ended March 31, 2021 and March 31, 2020 was $24.5 million and $22.7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4" w:name="page15"/>
    <w:bookmarkEnd w:id="14"/>
    <w:p>
      <w:pPr>
        <w:ind w:right="520" w:firstLine="637"/>
        <w:spacing w:after="0" w:line="246"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2021</w:t>
            </w:r>
          </w:p>
        </w:tc>
      </w:tr>
      <w:tr>
        <w:trPr>
          <w:trHeight w:val="215"/>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73,531</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51,972</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38,595</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12,273</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9,713</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34,567</w:t>
            </w:r>
          </w:p>
        </w:tc>
        <w:tc>
          <w:tcPr>
            <w:tcW w:w="120" w:type="dxa"/>
            <w:vAlign w:val="bottom"/>
            <w:tcBorders>
              <w:bottom w:val="single" w:sz="8" w:color="CFF0FC"/>
            </w:tcBorders>
          </w:tcPr>
          <w:p>
            <w:pPr>
              <w:spacing w:after="0"/>
              <w:rPr>
                <w:sz w:val="18"/>
                <w:szCs w:val="18"/>
                <w:color w:val="auto"/>
              </w:rPr>
            </w:pPr>
          </w:p>
        </w:tc>
      </w:tr>
      <w:tr>
        <w:trPr>
          <w:trHeight w:val="209"/>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220,651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March 31, 2021 and December 31, 2020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416"/>
              <w:spacing w:after="0"/>
              <w:rPr>
                <w:sz w:val="20"/>
                <w:szCs w:val="20"/>
                <w:color w:val="auto"/>
              </w:rPr>
            </w:pPr>
            <w:r>
              <w:rPr>
                <w:rFonts w:ascii="Arial" w:cs="Arial" w:eastAsia="Arial" w:hAnsi="Arial"/>
                <w:sz w:val="14"/>
                <w:szCs w:val="14"/>
                <w:b w:val="1"/>
                <w:bCs w:val="1"/>
                <w:color w:val="auto"/>
              </w:rPr>
              <w:t>Useful life</w:t>
            </w:r>
          </w:p>
        </w:tc>
      </w:tr>
      <w:tr>
        <w:trPr>
          <w:trHeight w:val="175"/>
        </w:trPr>
        <w:tc>
          <w:tcPr>
            <w:tcW w:w="4560" w:type="dxa"/>
            <w:vAlign w:val="bottom"/>
            <w:tcBorders>
              <w:bottom w:val="single" w:sz="8" w:color="CFF0FC"/>
            </w:tcBorders>
          </w:tcPr>
          <w:p>
            <w:pPr>
              <w:spacing w:after="0"/>
              <w:rPr>
                <w:sz w:val="15"/>
                <w:szCs w:val="15"/>
                <w:color w:val="auto"/>
              </w:rPr>
            </w:pPr>
          </w:p>
        </w:tc>
        <w:tc>
          <w:tcPr>
            <w:tcW w:w="14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CFF0FC"/>
            </w:tcBorders>
          </w:tcPr>
          <w:p>
            <w:pPr>
              <w:spacing w:after="0"/>
              <w:rPr>
                <w:sz w:val="15"/>
                <w:szCs w:val="15"/>
                <w:color w:val="auto"/>
              </w:rPr>
            </w:pPr>
          </w:p>
        </w:tc>
        <w:tc>
          <w:tcPr>
            <w:tcW w:w="16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(years)</w:t>
            </w: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96,645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88,674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91,036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163,433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160,305</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Construction equipment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8,920</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4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6,878</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9,202</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0"/>
        </w:trPr>
        <w:tc>
          <w:tcPr>
            <w:tcW w:w="4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364,529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367,614</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(248,985)</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(246,587)</w:t>
            </w:r>
          </w:p>
        </w:tc>
        <w:tc>
          <w:tcPr>
            <w:tcW w:w="1660" w:type="dxa"/>
            <w:vAlign w:val="bottom"/>
            <w:shd w:val="clear" w:color="auto" w:fill="CFF0FC"/>
          </w:tcPr>
          <w:p>
            <w:pPr>
              <w:spacing w:after="0"/>
              <w:rPr>
                <w:sz w:val="18"/>
                <w:szCs w:val="18"/>
                <w:color w:val="auto"/>
              </w:rPr>
            </w:pPr>
          </w:p>
        </w:tc>
      </w:tr>
      <w:tr>
        <w:trPr>
          <w:trHeight w:val="209"/>
        </w:trPr>
        <w:tc>
          <w:tcPr>
            <w:tcW w:w="456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115,544</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121,027</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expense for both the three months ended March 31, 2021 and March 31, 2020 was $9.6 million.</w:t>
      </w:r>
    </w:p>
    <w:p>
      <w:pPr>
        <w:spacing w:after="0" w:line="325"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134620</wp:posOffset>
            </wp:positionV>
            <wp:extent cx="2442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5"/>
                <w:szCs w:val="15"/>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2020</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Short-Term:</w:t>
            </w: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notes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21"/>
                <w:szCs w:val="21"/>
                <w:color w:val="auto"/>
              </w:rPr>
            </w:pPr>
          </w:p>
        </w:tc>
      </w:tr>
      <w:tr>
        <w:trPr>
          <w:trHeight w:val="236"/>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FF0FC"/>
            </w:tcBorders>
          </w:tcPr>
          <w:p>
            <w:pPr>
              <w:spacing w:after="0"/>
              <w:rPr>
                <w:sz w:val="20"/>
                <w:szCs w:val="20"/>
                <w:color w:val="auto"/>
              </w:rPr>
            </w:pPr>
          </w:p>
        </w:tc>
      </w:tr>
      <w:tr>
        <w:trPr>
          <w:trHeight w:val="237"/>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Long-Term:</w:t>
            </w: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Senior notes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Convertible senior notes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Debt discount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(51,138)</w:t>
            </w: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(9,654)</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(8,864)</w:t>
            </w:r>
          </w:p>
        </w:tc>
      </w:tr>
      <w:tr>
        <w:trPr>
          <w:trHeight w:val="21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w:t>
            </w: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590,346</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539,998</w:t>
            </w:r>
          </w:p>
        </w:tc>
        <w:tc>
          <w:tcPr>
            <w:tcW w:w="100" w:type="dxa"/>
            <w:vAlign w:val="bottom"/>
            <w:tcBorders>
              <w:bottom w:val="single" w:sz="8" w:color="CFF0FC"/>
            </w:tcBorders>
          </w:tcPr>
          <w:p>
            <w:pPr>
              <w:spacing w:after="0"/>
              <w:rPr>
                <w:sz w:val="18"/>
                <w:szCs w:val="18"/>
                <w:color w:val="auto"/>
              </w:rPr>
            </w:pPr>
          </w:p>
        </w:tc>
      </w:tr>
      <w:tr>
        <w:trPr>
          <w:trHeight w:val="237"/>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640,346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589,998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34" w:lineRule="exact"/>
        <w:rPr>
          <w:sz w:val="20"/>
          <w:szCs w:val="20"/>
          <w:color w:val="auto"/>
        </w:rPr>
      </w:pPr>
    </w:p>
    <w:p>
      <w:pPr>
        <w:ind w:right="80" w:firstLine="637"/>
        <w:spacing w:after="0" w:line="237" w:lineRule="auto"/>
        <w:rPr>
          <w:sz w:val="20"/>
          <w:szCs w:val="20"/>
          <w:color w:val="auto"/>
        </w:rPr>
      </w:pPr>
      <w:r>
        <w:rPr>
          <w:rFonts w:ascii="Arial" w:cs="Arial" w:eastAsia="Arial" w:hAnsi="Arial"/>
          <w:sz w:val="18"/>
          <w:szCs w:val="18"/>
          <w:color w:val="auto"/>
        </w:rPr>
        <w:t>In November 2017, the Company entered into an amended and restated Credit Agreement. The Company incurred $2.0 million of costs in connection with this amendment. Under the agreement, the Company’s revolving credit facility was increased from $500 million to $550 million and the term of the agreement was extended through November 2022. The borrowings under the Credit Agreement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on March 31, 2021 and December 31, 2020 were 1.86% and 1.87%, respectively. Borrowings under this Credit Agreement are guaranteed by certain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 w:name="page16"/>
    <w:bookmarkEnd w:id="15"/>
    <w:p>
      <w:pPr>
        <w:ind w:right="140"/>
        <w:spacing w:after="0"/>
        <w:rPr>
          <w:sz w:val="20"/>
          <w:szCs w:val="20"/>
          <w:color w:val="auto"/>
        </w:rPr>
      </w:pPr>
      <w:r>
        <w:rPr>
          <w:rFonts w:ascii="Arial" w:cs="Arial" w:eastAsia="Arial" w:hAnsi="Arial"/>
          <w:sz w:val="18"/>
          <w:szCs w:val="18"/>
          <w:color w:val="auto"/>
        </w:rPr>
        <w:t>Company operating subsidiaries. Letters of credit commitments outstanding under this agreement aggregated to $45.3 million and $44.9 million at March 31, 2021 and December 31, 2020, respectively, which reduced borrowing limits available to the Company. Interest expense related to the Credit Agreement was $0.1 million and $0.3 million for the three months ended March 31, 2021 and March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2020, respectively. There were no loan amounts outstanding under the Credit Agreement on March 31, 2021.</w:t>
      </w:r>
    </w:p>
    <w:p>
      <w:pPr>
        <w:spacing w:after="0" w:line="23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47" w:lineRule="exact"/>
        <w:rPr>
          <w:sz w:val="20"/>
          <w:szCs w:val="20"/>
          <w:color w:val="auto"/>
        </w:rPr>
      </w:pPr>
    </w:p>
    <w:p>
      <w:pPr>
        <w:ind w:right="140" w:firstLine="637"/>
        <w:spacing w:after="0" w:line="246" w:lineRule="auto"/>
        <w:rPr>
          <w:sz w:val="20"/>
          <w:szCs w:val="20"/>
          <w:color w:val="auto"/>
        </w:rPr>
      </w:pPr>
      <w:r>
        <w:rPr>
          <w:rFonts w:ascii="Arial" w:cs="Arial" w:eastAsia="Arial" w:hAnsi="Arial"/>
          <w:sz w:val="18"/>
          <w:szCs w:val="18"/>
          <w:color w:val="auto"/>
        </w:rPr>
        <w:t>On July 1, 2014, the Company finalized a private placement whereby the Company raised an aggregate amount of $250.0 million in debt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Tranche</w:t>
            </w:r>
          </w:p>
        </w:tc>
        <w:tc>
          <w:tcPr>
            <w:tcW w:w="322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Debt Amount</w:t>
            </w:r>
          </w:p>
        </w:tc>
        <w:tc>
          <w:tcPr>
            <w:tcW w:w="260" w:type="dxa"/>
            <w:vAlign w:val="bottom"/>
            <w:tcBorders>
              <w:bottom w:val="single" w:sz="8" w:color="CFF0FC"/>
            </w:tcBorders>
          </w:tcPr>
          <w:p>
            <w:pPr>
              <w:spacing w:after="0"/>
              <w:rPr>
                <w:sz w:val="14"/>
                <w:szCs w:val="14"/>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Interest Rates</w:t>
            </w:r>
          </w:p>
        </w:tc>
        <w:tc>
          <w:tcPr>
            <w:tcW w:w="180" w:type="dxa"/>
            <w:vAlign w:val="bottom"/>
            <w:tcBorders>
              <w:bottom w:val="single" w:sz="8" w:color="CFF0FC"/>
            </w:tcBorders>
          </w:tcPr>
          <w:p>
            <w:pPr>
              <w:spacing w:after="0"/>
              <w:rPr>
                <w:sz w:val="14"/>
                <w:szCs w:val="14"/>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A</w:t>
            </w:r>
          </w:p>
        </w:tc>
        <w:tc>
          <w:tcPr>
            <w:tcW w:w="2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2021</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Senior Note, Series B</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2024</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C</w:t>
            </w:r>
          </w:p>
        </w:tc>
        <w:tc>
          <w:tcPr>
            <w:tcW w:w="2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2026</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r>
      <w:tr>
        <w:trPr>
          <w:trHeight w:val="229"/>
        </w:trPr>
        <w:tc>
          <w:tcPr>
            <w:tcW w:w="3780" w:type="dxa"/>
            <w:vAlign w:val="bottom"/>
            <w:gridSpan w:val="2"/>
          </w:tcPr>
          <w:p>
            <w:pPr>
              <w:spacing w:after="0"/>
              <w:rPr>
                <w:sz w:val="20"/>
                <w:szCs w:val="20"/>
                <w:color w:val="auto"/>
              </w:rPr>
            </w:pPr>
            <w:r>
              <w:rPr>
                <w:rFonts w:ascii="Arial" w:cs="Arial" w:eastAsia="Arial" w:hAnsi="Arial"/>
                <w:sz w:val="18"/>
                <w:szCs w:val="18"/>
                <w:color w:val="auto"/>
              </w:rPr>
              <w:t>Senior Note, Series D</w:t>
            </w: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r>
    </w:tbl>
    <w:p>
      <w:pPr>
        <w:spacing w:after="0" w:line="202"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The Company incurred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$0.5 million of additional issuance costs. These costs are presented as a direct deduction from the debt on the face of the consolidated balance sheets. Interest expense related to the Senior Notes for both the three months ended March 31, 2021 and March 31, 2020 was $3.2 million. The amortization of debt issuance costs and interest expense is recorded in “Interest expense” on the consolidated statements of income. The Company made</w:t>
      </w:r>
    </w:p>
    <w:p>
      <w:pPr>
        <w:spacing w:after="0" w:line="16"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interest payments of $6.2 million for both the three months ended March 31, 2021 and March 31, 2020, respectively. Interest payable of $2.4 million and $2.6 million is recorded in “Accrued expenses and other current liabilities” on the consolidated balance sheets on March 31, 2021 and December 31, 2020, respectively, related to the Senior Notes.</w:t>
      </w:r>
    </w:p>
    <w:p>
      <w:pPr>
        <w:spacing w:after="0" w:line="195"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March 31, 2021 and December 31, 2020.</w:t>
      </w:r>
    </w:p>
    <w:p>
      <w:pPr>
        <w:spacing w:after="0" w:line="203" w:lineRule="exact"/>
        <w:rPr>
          <w:sz w:val="20"/>
          <w:szCs w:val="20"/>
          <w:color w:val="auto"/>
        </w:rPr>
      </w:pPr>
    </w:p>
    <w:p>
      <w:pPr>
        <w:ind w:right="320" w:firstLine="637"/>
        <w:spacing w:after="0"/>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$203.9 million and $193.1 million at March 31, 2021 and December 31, 2020, respectively.</w:t>
      </w:r>
    </w:p>
    <w:p>
      <w:pPr>
        <w:spacing w:after="0" w:line="203" w:lineRule="exact"/>
        <w:rPr>
          <w:sz w:val="20"/>
          <w:szCs w:val="20"/>
          <w:color w:val="auto"/>
        </w:rPr>
      </w:pPr>
    </w:p>
    <w:p>
      <w:pPr>
        <w:jc w:val="both"/>
        <w:ind w:right="100" w:firstLine="637"/>
        <w:spacing w:after="0"/>
        <w:rPr>
          <w:sz w:val="20"/>
          <w:szCs w:val="20"/>
          <w:color w:val="auto"/>
        </w:rPr>
      </w:pPr>
      <w:r>
        <w:rPr>
          <w:rFonts w:ascii="Arial" w:cs="Arial" w:eastAsia="Arial" w:hAnsi="Arial"/>
          <w:sz w:val="18"/>
          <w:szCs w:val="18"/>
          <w:color w:val="auto"/>
        </w:rPr>
        <w:t>Using a discounted cash flow technique that incorporates a market interest yield curve with adjustments for duration, optionality, and risk profile, the Company estimated the fair value (Level 2) of its Senior Notes at March 31, 2021 approximates $270.5 million. See “Note 16 – Fair Value of Financial Instruments” for the definition of Level 2 of the fair value hierarchy.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34" w:lineRule="exact"/>
        <w:rPr>
          <w:sz w:val="20"/>
          <w:szCs w:val="20"/>
          <w:color w:val="auto"/>
        </w:rPr>
      </w:pPr>
    </w:p>
    <w:p>
      <w:pPr>
        <w:ind w:right="80" w:firstLine="644"/>
        <w:spacing w:after="0" w:line="238"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202" w:lineRule="exact"/>
        <w:rPr>
          <w:sz w:val="20"/>
          <w:szCs w:val="20"/>
          <w:color w:val="auto"/>
        </w:rPr>
      </w:pPr>
    </w:p>
    <w:p>
      <w:pPr>
        <w:ind w:right="140" w:firstLine="644"/>
        <w:spacing w:after="0" w:line="238"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202" w:lineRule="exact"/>
        <w:rPr>
          <w:sz w:val="20"/>
          <w:szCs w:val="20"/>
          <w:color w:val="auto"/>
        </w:rPr>
      </w:pPr>
    </w:p>
    <w:p>
      <w:pPr>
        <w:jc w:val="both"/>
        <w:ind w:right="160" w:firstLine="644"/>
        <w:spacing w:after="0"/>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spacing w:after="0" w:line="246" w:lineRule="auto"/>
        <w:rPr>
          <w:sz w:val="20"/>
          <w:szCs w:val="20"/>
          <w:color w:val="auto"/>
        </w:rPr>
      </w:pPr>
      <w:r>
        <w:rPr>
          <w:rFonts w:ascii="Arial" w:cs="Arial" w:eastAsia="Arial" w:hAnsi="Arial"/>
          <w:sz w:val="18"/>
          <w:szCs w:val="18"/>
          <w:color w:val="auto"/>
        </w:rPr>
        <w:t>preceding the maturity date of the Convertible Senior Notes, holders may convert all or a portion of their Convertible Senior Notes, regardless of the conditions below.</w:t>
      </w:r>
    </w:p>
    <w:p>
      <w:pPr>
        <w:spacing w:after="0" w:line="197" w:lineRule="exact"/>
        <w:rPr>
          <w:sz w:val="20"/>
          <w:szCs w:val="20"/>
          <w:color w:val="auto"/>
        </w:rPr>
      </w:pPr>
    </w:p>
    <w:p>
      <w:pPr>
        <w:ind w:right="100" w:firstLine="644"/>
        <w:spacing w:after="0" w:line="246"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97" w:lineRule="exact"/>
        <w:rPr>
          <w:sz w:val="20"/>
          <w:szCs w:val="20"/>
          <w:color w:val="auto"/>
        </w:rPr>
      </w:pPr>
    </w:p>
    <w:p>
      <w:pPr>
        <w:ind w:left="1380" w:right="120" w:hanging="360"/>
        <w:spacing w:after="0" w:line="23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December 31, 2020,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4" w:lineRule="exact"/>
        <w:rPr>
          <w:rFonts w:ascii="Arial" w:cs="Arial" w:eastAsia="Arial" w:hAnsi="Arial"/>
          <w:sz w:val="18"/>
          <w:szCs w:val="18"/>
          <w:color w:val="auto"/>
        </w:rPr>
      </w:pPr>
    </w:p>
    <w:p>
      <w:pPr>
        <w:ind w:left="1380" w:right="60" w:hanging="360"/>
        <w:spacing w:after="0" w:line="23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204" w:lineRule="exact"/>
        <w:rPr>
          <w:rFonts w:ascii="Arial" w:cs="Arial" w:eastAsia="Arial" w:hAnsi="Arial"/>
          <w:sz w:val="18"/>
          <w:szCs w:val="18"/>
          <w:color w:val="auto"/>
        </w:rPr>
      </w:pPr>
    </w:p>
    <w:p>
      <w:pPr>
        <w:ind w:left="1380" w:hanging="360"/>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Company calls such Convertible Senior Notes for redemption; or</w:t>
      </w:r>
    </w:p>
    <w:p>
      <w:pPr>
        <w:spacing w:after="0" w:line="252" w:lineRule="exact"/>
        <w:rPr>
          <w:rFonts w:ascii="Arial" w:cs="Arial" w:eastAsia="Arial" w:hAnsi="Arial"/>
          <w:sz w:val="18"/>
          <w:szCs w:val="18"/>
          <w:color w:val="auto"/>
        </w:rPr>
      </w:pPr>
    </w:p>
    <w:p>
      <w:pPr>
        <w:ind w:left="1380" w:hanging="360"/>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Indenture.</w:t>
      </w:r>
    </w:p>
    <w:p>
      <w:pPr>
        <w:spacing w:after="0" w:line="252" w:lineRule="exact"/>
        <w:rPr>
          <w:sz w:val="20"/>
          <w:szCs w:val="20"/>
          <w:color w:val="auto"/>
        </w:rPr>
      </w:pPr>
    </w:p>
    <w:p>
      <w:pPr>
        <w:ind w:right="60" w:firstLine="644"/>
        <w:spacing w:after="0" w:line="237"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15"/>
          <w:szCs w:val="15"/>
          <w:color w:val="auto"/>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205"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205"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202" w:lineRule="exact"/>
        <w:rPr>
          <w:sz w:val="20"/>
          <w:szCs w:val="20"/>
          <w:color w:val="auto"/>
        </w:rPr>
      </w:pPr>
    </w:p>
    <w:p>
      <w:pPr>
        <w:ind w:right="20" w:firstLine="644"/>
        <w:spacing w:after="0" w:line="236" w:lineRule="auto"/>
        <w:rPr>
          <w:sz w:val="20"/>
          <w:szCs w:val="20"/>
          <w:color w:val="auto"/>
        </w:rPr>
      </w:pPr>
      <w:r>
        <w:rPr>
          <w:rFonts w:ascii="Arial" w:cs="Arial" w:eastAsia="Arial" w:hAnsi="Arial"/>
          <w:sz w:val="18"/>
          <w:szCs w:val="18"/>
          <w:color w:val="auto"/>
        </w:rPr>
        <w:t>Under existing GAAP at the time of issuance during 2020, convertible debt instruments that may be settled in cash on conversion are required to be separated into liability and equity components in a manner that reflects the issuer’s non-convertible debt borrowing rate. The carrying amount of the liability component is based on the fair value of a similar instrument that does not contain an equity conversion option. The carrying amount allocated to the equity component, which is recognized as a debt discount, represents the difference between the proceeds from the issuance of the notes and the fair value of the liability component of the notes. Based on this debt to equity ratio, debt issuance costs are then allocated to the liability and equity components in a similar manner. Accordingly, at issuance the Company allocated $336.1 million to the debt liability and $53.6 million to additional paid-in capital. The difference between the principal amount of the Convertible Senior Notes and the liability component, inclusive of issuance costs, represents the debt discount, which the Company amortized to interest expense over the term of the Convertible Senior Notes using an effective interest rate of 3.25%. During the year ended December 31, 2020, the Company recognized interest expense of $4.4 million. As of December 31, 2020, the net carrying value of the Notes was $340.6 million.</w:t>
      </w:r>
    </w:p>
    <w:p>
      <w:pPr>
        <w:spacing w:after="0" w:line="205"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In the first quarter of 2021, the Company early adopted ASU 2020-06, Debt – Debt with Conversion and Other Options (Subtopic 470-20) and Derivatives and Hedging – Contracts in Equity’s Own Equity (Subtopic 815-40). The Company used the modified retrospective method which resulted in a reduction in non-cash interest expense and reclassification of equity component of the convertible senior notes of $55.0 million and equity component of the debt issuance costs of $1.4 million to liabilities on the consolidated balance sheet. The Company also adjusted the carrying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 w:name="page18"/>
    <w:bookmarkEnd w:id="17"/>
    <w:p>
      <w:pPr>
        <w:ind w:right="20"/>
        <w:spacing w:after="0" w:line="238" w:lineRule="auto"/>
        <w:rPr>
          <w:sz w:val="20"/>
          <w:szCs w:val="20"/>
          <w:color w:val="auto"/>
        </w:rPr>
      </w:pPr>
      <w:r>
        <w:rPr>
          <w:rFonts w:ascii="Arial" w:cs="Arial" w:eastAsia="Arial" w:hAnsi="Arial"/>
          <w:sz w:val="18"/>
          <w:szCs w:val="18"/>
          <w:color w:val="auto"/>
        </w:rPr>
        <w:t>amount of the convertible senior notes to what it would have been if the Company had applied the amendments from the inception of the Notes and recorded the offset of the carrying amount adjustment of $3.7 million in retained earnings on January 1, 2021. During the year ended March 31, 2021, the Company recognized interest expense of $0.6 million. As of March 31, 2021, the carrying value of the Notes was $400.0 million.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Note Hedge and Warrant Transactions</w:t>
      </w:r>
    </w:p>
    <w:p>
      <w:pPr>
        <w:spacing w:after="0" w:line="234" w:lineRule="exact"/>
        <w:rPr>
          <w:sz w:val="20"/>
          <w:szCs w:val="20"/>
          <w:color w:val="auto"/>
        </w:rPr>
      </w:pPr>
    </w:p>
    <w:p>
      <w:pPr>
        <w:ind w:firstLine="644"/>
        <w:spacing w:after="0" w:line="237"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205" w:lineRule="exact"/>
        <w:rPr>
          <w:sz w:val="20"/>
          <w:szCs w:val="20"/>
          <w:color w:val="auto"/>
        </w:rPr>
      </w:pPr>
    </w:p>
    <w:p>
      <w:pPr>
        <w:jc w:val="both"/>
        <w:ind w:right="300" w:firstLine="644"/>
        <w:spacing w:after="0" w:line="238"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$ 66.46 per share and are subject to customary adjustments upon the occurrence of certain events, such as the payment of dividends. The Company received $13.8 million in cash proceeds from the sales of these warrants.</w:t>
      </w:r>
    </w:p>
    <w:p>
      <w:pPr>
        <w:spacing w:after="0" w:line="205" w:lineRule="exact"/>
        <w:rPr>
          <w:sz w:val="20"/>
          <w:szCs w:val="20"/>
          <w:color w:val="auto"/>
        </w:rPr>
      </w:pPr>
    </w:p>
    <w:p>
      <w:pPr>
        <w:ind w:right="260" w:firstLine="644"/>
        <w:spacing w:after="0"/>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203" w:lineRule="exact"/>
        <w:rPr>
          <w:sz w:val="20"/>
          <w:szCs w:val="20"/>
          <w:color w:val="auto"/>
        </w:rPr>
      </w:pPr>
    </w:p>
    <w:p>
      <w:pPr>
        <w:jc w:val="both"/>
        <w:ind w:right="260" w:firstLine="644"/>
        <w:spacing w:after="0"/>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203" w:lineRule="exact"/>
        <w:rPr>
          <w:sz w:val="20"/>
          <w:szCs w:val="20"/>
          <w:color w:val="auto"/>
        </w:rPr>
      </w:pPr>
    </w:p>
    <w:p>
      <w:pPr>
        <w:ind w:right="80" w:firstLine="637"/>
        <w:spacing w:after="0" w:line="236" w:lineRule="auto"/>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ASU2020-06, the Company reversed the deferred tax liability of $13.9 million that the Company had recorded at issuance related to the Convertible Senior Note debt discount and recorded an additional deferred tax liability of $ 0.4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294"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ind w:right="100" w:firstLine="688"/>
        <w:spacing w:after="0"/>
        <w:rPr>
          <w:sz w:val="20"/>
          <w:szCs w:val="20"/>
          <w:color w:val="auto"/>
        </w:rPr>
      </w:pPr>
      <w:r>
        <w:rPr>
          <w:rFonts w:ascii="Arial" w:cs="Arial" w:eastAsia="Arial" w:hAnsi="Arial"/>
          <w:sz w:val="18"/>
          <w:szCs w:val="18"/>
          <w:color w:val="auto"/>
        </w:rPr>
        <w:t>On January 5, 2021, the Treasury Department and Internal Revenue Service issued final regulations which provide guidance on applying the limitations on the deductibility of business interest expense under IRC Section 163(j). On January 6, 2021, the government published final regulations under IRC Section 451. The final regulations include guidance related to (1) timing of income inclusion for taxpayers with an applicable financial statement using an accrual method of accounting under IRC Section 451(b), and (2) advance payments for goods, services, and certain other items under IRC Section 451(c). The Company is currently assessing the impact of the new regulations but does not expect any material impact to its consolidated financial statements.</w:t>
      </w:r>
    </w:p>
    <w:p>
      <w:pPr>
        <w:spacing w:after="0" w:line="203" w:lineRule="exact"/>
        <w:rPr>
          <w:sz w:val="20"/>
          <w:szCs w:val="20"/>
          <w:color w:val="auto"/>
        </w:rPr>
      </w:pPr>
    </w:p>
    <w:p>
      <w:pPr>
        <w:ind w:right="180" w:firstLine="674"/>
        <w:spacing w:after="0" w:line="238" w:lineRule="auto"/>
        <w:rPr>
          <w:sz w:val="20"/>
          <w:szCs w:val="20"/>
          <w:color w:val="auto"/>
        </w:rPr>
      </w:pPr>
      <w:r>
        <w:rPr>
          <w:rFonts w:ascii="Arial" w:cs="Arial" w:eastAsia="Arial" w:hAnsi="Arial"/>
          <w:sz w:val="18"/>
          <w:szCs w:val="18"/>
          <w:color w:val="auto"/>
        </w:rPr>
        <w:t>The Company’s effective tax rate was 27.7% and 26.1% for the three months ended March 31, 2021 and 2020, respectively. The change in the effective tax rate was due primarily to an increase of foreign tax losses which will not provide any tax benefit to the Company and a settlement of a state tax audit. The difference between the effective tax rate and the statutory U.S. Federal income tax rate of 21.0% for the quarter ended March 31, 2021 primarily relates to state income taxes and a recorded valuation allowance on foreign tax credits, partially offset by benefits related to income attributable to noncontrolling interest and federal research tax credits.</w:t>
      </w:r>
    </w:p>
    <w:p>
      <w:pPr>
        <w:spacing w:after="0" w:line="216" w:lineRule="exact"/>
        <w:rPr>
          <w:sz w:val="20"/>
          <w:szCs w:val="20"/>
          <w:color w:val="auto"/>
        </w:rPr>
      </w:pPr>
    </w:p>
    <w:p>
      <w:pPr>
        <w:ind w:right="60" w:firstLine="674"/>
        <w:spacing w:after="0" w:line="238" w:lineRule="auto"/>
        <w:rPr>
          <w:sz w:val="20"/>
          <w:szCs w:val="20"/>
          <w:color w:val="auto"/>
        </w:rPr>
      </w:pPr>
      <w:r>
        <w:rPr>
          <w:rFonts w:ascii="Arial" w:cs="Arial" w:eastAsia="Arial" w:hAnsi="Arial"/>
          <w:sz w:val="18"/>
          <w:szCs w:val="18"/>
          <w:color w:val="auto"/>
        </w:rPr>
        <w:t>As of March 31, 2021, the Company’s deferred tax assets included a valuation allowance of $30.5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8" w:name="page19"/>
    <w:bookmarkEnd w:id="18"/>
    <w:p>
      <w:pPr>
        <w:ind w:right="660"/>
        <w:spacing w:after="0" w:line="246" w:lineRule="auto"/>
        <w:rPr>
          <w:sz w:val="20"/>
          <w:szCs w:val="20"/>
          <w:color w:val="auto"/>
        </w:rPr>
      </w:pPr>
      <w:r>
        <w:rPr>
          <w:rFonts w:ascii="Arial" w:cs="Arial" w:eastAsia="Arial" w:hAnsi="Arial"/>
          <w:sz w:val="18"/>
          <w:szCs w:val="18"/>
          <w:color w:val="auto"/>
        </w:rPr>
        <w:t>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210" w:lineRule="exact"/>
        <w:rPr>
          <w:sz w:val="20"/>
          <w:szCs w:val="20"/>
          <w:color w:val="auto"/>
        </w:rPr>
      </w:pPr>
    </w:p>
    <w:p>
      <w:pPr>
        <w:ind w:firstLine="674"/>
        <w:spacing w:after="0"/>
        <w:rPr>
          <w:sz w:val="20"/>
          <w:szCs w:val="20"/>
          <w:color w:val="auto"/>
        </w:rPr>
      </w:pPr>
      <w:r>
        <w:rPr>
          <w:rFonts w:ascii="Arial" w:cs="Arial" w:eastAsia="Arial" w:hAnsi="Arial"/>
          <w:sz w:val="18"/>
          <w:szCs w:val="18"/>
          <w:color w:val="auto"/>
        </w:rPr>
        <w:t>As of March 31, 2021 and December 31, 2020, the liability for income taxes associated with uncertain tax positions was $17.4 million and $16.4 million, respectively. It is reasonably possible that the Company may realize a decrease in our uncertain tax positions of approximately $0.2 million during the next 12 months as a result of concluding various tax audits and closing tax years.</w:t>
      </w:r>
    </w:p>
    <w:p>
      <w:pPr>
        <w:spacing w:after="0" w:line="203" w:lineRule="exact"/>
        <w:rPr>
          <w:sz w:val="20"/>
          <w:szCs w:val="20"/>
          <w:color w:val="auto"/>
        </w:rPr>
      </w:pPr>
    </w:p>
    <w:p>
      <w:pPr>
        <w:ind w:right="40" w:firstLine="674"/>
        <w:spacing w:after="0" w:line="238"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291"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6" w:lineRule="exact"/>
        <w:rPr>
          <w:sz w:val="20"/>
          <w:szCs w:val="20"/>
          <w:color w:val="auto"/>
        </w:rPr>
      </w:pPr>
    </w:p>
    <w:p>
      <w:pPr>
        <w:ind w:right="60" w:firstLine="644"/>
        <w:spacing w:after="0" w:line="236"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25" w:lineRule="exact"/>
        <w:rPr>
          <w:sz w:val="20"/>
          <w:szCs w:val="20"/>
          <w:color w:val="auto"/>
        </w:rPr>
      </w:pPr>
    </w:p>
    <w:p>
      <w:pPr>
        <w:ind w:firstLine="698"/>
        <w:spacing w:after="0" w:line="238" w:lineRule="auto"/>
        <w:rPr>
          <w:sz w:val="20"/>
          <w:szCs w:val="20"/>
          <w:color w:val="auto"/>
        </w:rPr>
      </w:pPr>
      <w:r>
        <w:rPr>
          <w:rFonts w:ascii="Arial" w:cs="Arial" w:eastAsia="Arial" w:hAnsi="Arial"/>
          <w:sz w:val="18"/>
          <w:szCs w:val="18"/>
          <w:color w:val="auto"/>
        </w:rPr>
        <w:t>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seeks damages in excess of $100.0 million, which the Company is currently disputing. In addition to filing a complaint for breach of contract and wrongful termination, the Company has denied the allegations raised by the JPB and, accordingly, filed affirmative defenses. The Company is currently defending against the JPB’s claims and the parties are still engaged in discovery. The Company also has a professional liability insurance policy to the extent the JPB proves any errors or omissions occurred. At this time, the Company is unable to determine the probability of the outcome of the litigation or determine a potential range of loss, if any. The Company has also filed a third-party claim against a subcontractor for indemnification in connection with this matter.</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w:t>
      </w:r>
    </w:p>
    <w:p>
      <w:pPr>
        <w:spacing w:after="0" w:line="234" w:lineRule="auto"/>
        <w:rPr>
          <w:sz w:val="20"/>
          <w:szCs w:val="20"/>
          <w:color w:val="auto"/>
        </w:rPr>
      </w:pPr>
      <w:r>
        <w:rPr>
          <w:rFonts w:ascii="Arial" w:cs="Arial" w:eastAsia="Arial" w:hAnsi="Arial"/>
          <w:sz w:val="18"/>
          <w:szCs w:val="18"/>
          <w:color w:val="auto"/>
        </w:rPr>
        <w:t>against us as a qui tam relator on behalf of the United States (the “Relator”) alleging violation of the False Claims Act. The United States</w:t>
      </w:r>
    </w:p>
    <w:p>
      <w:pPr>
        <w:spacing w:after="0" w:line="235" w:lineRule="auto"/>
        <w:rPr>
          <w:sz w:val="20"/>
          <w:szCs w:val="20"/>
          <w:color w:val="auto"/>
        </w:rPr>
      </w:pPr>
      <w:r>
        <w:rPr>
          <w:rFonts w:ascii="Arial" w:cs="Arial" w:eastAsia="Arial" w:hAnsi="Arial"/>
          <w:sz w:val="18"/>
          <w:szCs w:val="18"/>
          <w:color w:val="auto"/>
        </w:rPr>
        <w:t>government did not intervene in this matter as it is allowed to do so under the statute. The Company filed a motion to dismiss the lawsuit on</w:t>
      </w:r>
    </w:p>
    <w:p>
      <w:pPr>
        <w:spacing w:after="0" w:line="235" w:lineRule="auto"/>
        <w:rPr>
          <w:sz w:val="20"/>
          <w:szCs w:val="20"/>
          <w:color w:val="auto"/>
        </w:rPr>
      </w:pPr>
      <w:r>
        <w:rPr>
          <w:rFonts w:ascii="Arial" w:cs="Arial" w:eastAsia="Arial" w:hAnsi="Arial"/>
          <w:sz w:val="18"/>
          <w:szCs w:val="18"/>
          <w:color w:val="auto"/>
        </w:rPr>
        <w:t>the grounds that the Relator did not meet the applicable statute of limitations. The District Court granted the motion to dismiss. The Relator’s</w:t>
      </w:r>
    </w:p>
    <w:p>
      <w:pPr>
        <w:spacing w:after="0" w:line="235" w:lineRule="auto"/>
        <w:rPr>
          <w:sz w:val="20"/>
          <w:szCs w:val="20"/>
          <w:color w:val="auto"/>
        </w:rPr>
      </w:pPr>
      <w:r>
        <w:rPr>
          <w:rFonts w:ascii="Arial" w:cs="Arial" w:eastAsia="Arial" w:hAnsi="Arial"/>
          <w:sz w:val="18"/>
          <w:szCs w:val="18"/>
          <w:color w:val="auto"/>
        </w:rPr>
        <w:t>attorney appealed the decision to the United States Court of Appeals of the Eleventh Circuit, which ultimately ruled in favor of the Relator,</w:t>
      </w:r>
    </w:p>
    <w:p>
      <w:pPr>
        <w:spacing w:after="0" w:line="235" w:lineRule="auto"/>
        <w:rPr>
          <w:sz w:val="20"/>
          <w:szCs w:val="20"/>
          <w:color w:val="auto"/>
        </w:rPr>
      </w:pPr>
      <w:r>
        <w:rPr>
          <w:rFonts w:ascii="Arial" w:cs="Arial" w:eastAsia="Arial" w:hAnsi="Arial"/>
          <w:sz w:val="18"/>
          <w:szCs w:val="18"/>
          <w:color w:val="auto"/>
        </w:rPr>
        <w:t>and the Company petitioned the United States Supreme Court to review the decision. The Supreme Court reviewed the decision and</w:t>
      </w:r>
    </w:p>
    <w:p>
      <w:pPr>
        <w:spacing w:after="0" w:line="234" w:lineRule="auto"/>
        <w:rPr>
          <w:sz w:val="20"/>
          <w:szCs w:val="20"/>
          <w:color w:val="auto"/>
        </w:rPr>
      </w:pPr>
      <w:r>
        <w:rPr>
          <w:rFonts w:ascii="Arial" w:cs="Arial" w:eastAsia="Arial" w:hAnsi="Arial"/>
          <w:sz w:val="18"/>
          <w:szCs w:val="18"/>
          <w:color w:val="auto"/>
        </w:rPr>
        <w:t>accepted the position of the Relator. The case was thus remanded to the United States District Court for the Northern District of</w:t>
      </w:r>
    </w:p>
    <w:p>
      <w:pPr>
        <w:spacing w:after="0" w:line="235" w:lineRule="auto"/>
        <w:rPr>
          <w:sz w:val="20"/>
          <w:szCs w:val="20"/>
          <w:color w:val="auto"/>
        </w:rPr>
      </w:pPr>
      <w:r>
        <w:rPr>
          <w:rFonts w:ascii="Arial" w:cs="Arial" w:eastAsia="Arial" w:hAnsi="Arial"/>
          <w:sz w:val="18"/>
          <w:szCs w:val="18"/>
          <w:color w:val="auto"/>
        </w:rPr>
        <w:t>Alabama. The defendants, including Parsons, will file appropriate pleadings opposing the allegations. At this time, the Company is unable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 the probability of the outcome of the litigation or determine a potential range of loss, if 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 w:name="page20"/>
    <w:bookmarkEnd w:id="19"/>
    <w:p>
      <w:pPr>
        <w:ind w:right="80" w:firstLine="637"/>
        <w:spacing w:after="0" w:line="238" w:lineRule="auto"/>
        <w:rPr>
          <w:sz w:val="20"/>
          <w:szCs w:val="20"/>
          <w:color w:val="auto"/>
        </w:rPr>
      </w:pPr>
      <w:r>
        <w:rPr>
          <w:rFonts w:ascii="Arial" w:cs="Arial" w:eastAsia="Arial" w:hAnsi="Arial"/>
          <w:sz w:val="18"/>
          <w:szCs w:val="18"/>
          <w:color w:val="auto"/>
        </w:rPr>
        <w:t>On or about October 4, 2019, LBH Engineers, LLC (“LBH”) filed a lawsuit against Parsons, PTG, and various other parties in the US District Court of for the Northern District of Georgia, in connection with an alleged infringement of LBH’s patent. LBH seeks damages and costs incurred by LBH, a post-judgment royalty, and treble damages if the infringement is found to be willful, among other damages, which the Company and the other defendants are currently disputing. At this time, the Company is unable to determine the probability of the outcome of the litigation or determine a potential range of loss, if any.</w:t>
      </w:r>
    </w:p>
    <w:p>
      <w:pPr>
        <w:spacing w:after="0" w:line="202" w:lineRule="exact"/>
        <w:rPr>
          <w:sz w:val="20"/>
          <w:szCs w:val="20"/>
          <w:color w:val="auto"/>
        </w:rPr>
      </w:pPr>
    </w:p>
    <w:p>
      <w:pPr>
        <w:ind w:right="40" w:firstLine="637"/>
        <w:spacing w:after="0" w:line="236" w:lineRule="auto"/>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2010 have been closed, and years thereafter remain open.</w:t>
      </w:r>
    </w:p>
    <w:p>
      <w:pPr>
        <w:spacing w:after="0" w:line="208"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83"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6" w:lineRule="exact"/>
        <w:rPr>
          <w:sz w:val="20"/>
          <w:szCs w:val="20"/>
          <w:color w:val="auto"/>
        </w:rPr>
      </w:pPr>
    </w:p>
    <w:p>
      <w:pPr>
        <w:ind w:right="280" w:firstLine="637"/>
        <w:spacing w:after="0" w:line="255"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March 31, 2021 and December 31, 2020, total shares of the</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Company’s common stock outstanding were 102,406,446 and 102,360,662, respectively, of which 75,560,749 and 76,641,312, respectively, were held by the ESOP.</w:t>
      </w:r>
    </w:p>
    <w:p>
      <w:pPr>
        <w:spacing w:after="0" w:line="184" w:lineRule="exact"/>
        <w:rPr>
          <w:sz w:val="20"/>
          <w:szCs w:val="20"/>
          <w:color w:val="auto"/>
        </w:rPr>
      </w:pPr>
    </w:p>
    <w:p>
      <w:pPr>
        <w:ind w:right="380" w:firstLine="644"/>
        <w:spacing w:after="0" w:line="238"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202" w:lineRule="exact"/>
        <w:rPr>
          <w:sz w:val="20"/>
          <w:szCs w:val="20"/>
          <w:color w:val="auto"/>
        </w:rPr>
      </w:pPr>
    </w:p>
    <w:p>
      <w:pPr>
        <w:ind w:right="60" w:firstLine="644"/>
        <w:spacing w:after="0" w:line="264" w:lineRule="auto"/>
        <w:rPr>
          <w:sz w:val="20"/>
          <w:szCs w:val="20"/>
          <w:color w:val="auto"/>
        </w:rPr>
      </w:pPr>
      <w:r>
        <w:rPr>
          <w:rFonts w:ascii="Arial" w:cs="Arial" w:eastAsia="Arial" w:hAnsi="Arial"/>
          <w:sz w:val="18"/>
          <w:szCs w:val="18"/>
          <w:color w:val="auto"/>
        </w:rPr>
        <w:t>Total ESOP contribution expense was $13.2 million and $14.9 million for the three months ended March 31, 2021 and March 31, 2020, respectively. The expense is recorded in “Direct costs of contracts” and “Selling, general and administrative expense” in the consolidated statements of income. The fiscal 2021 ESOP contribution has not yet been made. The amount is currently included in accrued liabilities.</w:t>
      </w:r>
    </w:p>
    <w:p>
      <w:pPr>
        <w:spacing w:after="0" w:line="282"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26"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203"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205" w:lineRule="exact"/>
        <w:rPr>
          <w:sz w:val="20"/>
          <w:szCs w:val="20"/>
          <w:color w:val="auto"/>
        </w:rPr>
      </w:pPr>
    </w:p>
    <w:p>
      <w:pPr>
        <w:ind w:right="480" w:firstLine="637"/>
        <w:spacing w:after="0" w:line="246"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20" w:name="page21"/>
    <w:bookmarkEnd w:id="20"/>
    <w:p>
      <w:pPr>
        <w:ind w:right="20"/>
        <w:spacing w:after="0" w:line="246" w:lineRule="auto"/>
        <w:rPr>
          <w:sz w:val="20"/>
          <w:szCs w:val="20"/>
          <w:color w:val="auto"/>
        </w:rPr>
      </w:pPr>
      <w:r>
        <w:rPr>
          <w:rFonts w:ascii="Arial" w:cs="Arial" w:eastAsia="Arial" w:hAnsi="Arial"/>
          <w:sz w:val="18"/>
          <w:szCs w:val="18"/>
          <w:color w:val="auto"/>
        </w:rPr>
        <w:t>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97"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224" w:lineRule="exact"/>
        <w:rPr>
          <w:sz w:val="20"/>
          <w:szCs w:val="20"/>
          <w:color w:val="auto"/>
        </w:rPr>
      </w:pPr>
    </w:p>
    <w:p>
      <w:pPr>
        <w:ind w:right="240" w:firstLine="637"/>
        <w:spacing w:after="0" w:line="261"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$67.4 million and $59.3 million at March 31, 2021 and December 31, 2020, respectively.</w:t>
      </w:r>
    </w:p>
    <w:p>
      <w:pPr>
        <w:spacing w:after="0" w:line="184" w:lineRule="exact"/>
        <w:rPr>
          <w:sz w:val="20"/>
          <w:szCs w:val="20"/>
          <w:color w:val="auto"/>
        </w:rPr>
      </w:pPr>
    </w:p>
    <w:p>
      <w:pPr>
        <w:jc w:val="both"/>
        <w:ind w:right="320" w:firstLine="637"/>
        <w:spacing w:after="0"/>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26" w:lineRule="exact"/>
        <w:rPr>
          <w:sz w:val="20"/>
          <w:szCs w:val="20"/>
          <w:color w:val="auto"/>
        </w:rPr>
      </w:pPr>
    </w:p>
    <w:p>
      <w:pPr>
        <w:ind w:right="380" w:firstLine="637"/>
        <w:spacing w:after="0" w:line="246"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80" w:type="dxa"/>
            <w:vAlign w:val="bottom"/>
            <w:tcBorders>
              <w:bottom w:val="single" w:sz="8" w:color="CFF0FC"/>
            </w:tcBorders>
          </w:tcPr>
          <w:p>
            <w:pPr>
              <w:spacing w:after="0"/>
              <w:rPr>
                <w:sz w:val="15"/>
                <w:szCs w:val="15"/>
                <w:color w:val="auto"/>
              </w:rPr>
            </w:pPr>
          </w:p>
        </w:tc>
        <w:tc>
          <w:tcPr>
            <w:tcW w:w="20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CFF0FC"/>
            </w:tcBorders>
          </w:tcPr>
          <w:p>
            <w:pPr>
              <w:spacing w:after="0"/>
              <w:rPr>
                <w:sz w:val="15"/>
                <w:szCs w:val="15"/>
                <w:color w:val="auto"/>
              </w:rPr>
            </w:pPr>
          </w:p>
        </w:tc>
      </w:tr>
      <w:tr>
        <w:trPr>
          <w:trHeight w:val="21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299,764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292,407</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20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Borders>
              <w:bottom w:val="single" w:sz="8" w:color="CFF0FC"/>
            </w:tcBorders>
          </w:tcPr>
          <w:p>
            <w:pPr>
              <w:spacing w:after="0"/>
              <w:rPr>
                <w:sz w:val="18"/>
                <w:szCs w:val="18"/>
                <w:color w:val="auto"/>
              </w:rPr>
            </w:pPr>
          </w:p>
        </w:tc>
      </w:tr>
      <w:tr>
        <w:trPr>
          <w:trHeight w:val="209"/>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0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302,652</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295,397</w:t>
            </w:r>
          </w:p>
        </w:tc>
        <w:tc>
          <w:tcPr>
            <w:tcW w:w="120" w:type="dxa"/>
            <w:vAlign w:val="bottom"/>
            <w:shd w:val="clear" w:color="auto" w:fill="CFF0FC"/>
          </w:tcPr>
          <w:p>
            <w:pPr>
              <w:spacing w:after="0"/>
              <w:rPr>
                <w:sz w:val="18"/>
                <w:szCs w:val="18"/>
                <w:color w:val="auto"/>
              </w:rPr>
            </w:pPr>
          </w:p>
        </w:tc>
      </w:tr>
      <w:tr>
        <w:trPr>
          <w:trHeight w:val="21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214,015</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201,270</w:t>
            </w:r>
          </w:p>
        </w:tc>
        <w:tc>
          <w:tcPr>
            <w:tcW w:w="120" w:type="dxa"/>
            <w:vAlign w:val="bottom"/>
            <w:tcBorders>
              <w:bottom w:val="single" w:sz="8" w:color="CFF0FC"/>
            </w:tcBorders>
          </w:tcPr>
          <w:p>
            <w:pPr>
              <w:spacing w:after="0"/>
              <w:rPr>
                <w:sz w:val="18"/>
                <w:szCs w:val="18"/>
                <w:color w:val="auto"/>
              </w:rPr>
            </w:pPr>
          </w:p>
        </w:tc>
      </w:tr>
      <w:tr>
        <w:trPr>
          <w:trHeight w:val="209"/>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0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214,015</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201,270</w:t>
            </w:r>
          </w:p>
        </w:tc>
        <w:tc>
          <w:tcPr>
            <w:tcW w:w="120" w:type="dxa"/>
            <w:vAlign w:val="bottom"/>
            <w:shd w:val="clear" w:color="auto" w:fill="CFF0FC"/>
          </w:tcPr>
          <w:p>
            <w:pPr>
              <w:spacing w:after="0"/>
              <w:rPr>
                <w:sz w:val="18"/>
                <w:szCs w:val="18"/>
                <w:color w:val="auto"/>
              </w:rPr>
            </w:pPr>
          </w:p>
        </w:tc>
      </w:tr>
      <w:tr>
        <w:trPr>
          <w:trHeight w:val="209"/>
        </w:trPr>
        <w:tc>
          <w:tcPr>
            <w:tcW w:w="4180" w:type="dxa"/>
            <w:vAlign w:val="bottom"/>
          </w:tcPr>
          <w:p>
            <w:pPr>
              <w:ind w:left="240"/>
              <w:spacing w:after="0"/>
              <w:rPr>
                <w:sz w:val="20"/>
                <w:szCs w:val="20"/>
                <w:color w:val="auto"/>
              </w:rPr>
            </w:pPr>
            <w:r>
              <w:rPr>
                <w:rFonts w:ascii="Arial" w:cs="Arial" w:eastAsia="Arial" w:hAnsi="Arial"/>
                <w:sz w:val="18"/>
                <w:szCs w:val="18"/>
                <w:color w:val="auto"/>
              </w:rPr>
              <w:t>Total joint venture equity</w:t>
            </w:r>
          </w:p>
        </w:tc>
        <w:tc>
          <w:tcPr>
            <w:tcW w:w="2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88,637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94,127</w:t>
            </w:r>
          </w:p>
        </w:tc>
        <w:tc>
          <w:tcPr>
            <w:tcW w:w="1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4"/>
          </w:tcPr>
          <w:p>
            <w:pPr>
              <w:jc w:val="right"/>
              <w:ind w:right="13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5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Revenue</w:t>
            </w:r>
          </w:p>
        </w:tc>
        <w:tc>
          <w:tcPr>
            <w:tcW w:w="17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96,624</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100,278</w:t>
            </w:r>
          </w:p>
        </w:tc>
        <w:tc>
          <w:tcPr>
            <w:tcW w:w="12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14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86,306</w:t>
            </w:r>
          </w:p>
        </w:tc>
        <w:tc>
          <w:tcPr>
            <w:tcW w:w="2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97,150</w:t>
            </w:r>
          </w:p>
        </w:tc>
        <w:tc>
          <w:tcPr>
            <w:tcW w:w="120" w:type="dxa"/>
            <w:vAlign w:val="bottom"/>
            <w:shd w:val="clear" w:color="auto" w:fill="CFF0FC"/>
          </w:tcPr>
          <w:p>
            <w:pPr>
              <w:spacing w:after="0"/>
              <w:rPr>
                <w:sz w:val="18"/>
                <w:szCs w:val="18"/>
                <w:color w:val="auto"/>
              </w:rPr>
            </w:pPr>
          </w:p>
        </w:tc>
      </w:tr>
      <w:tr>
        <w:trPr>
          <w:trHeight w:val="249"/>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10,318</w:t>
            </w:r>
          </w:p>
        </w:tc>
        <w:tc>
          <w:tcPr>
            <w:tcW w:w="2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Borders>
              <w:bottom w:val="single" w:sz="8" w:color="CFF0FC"/>
            </w:tcBorders>
          </w:tcPr>
          <w:p>
            <w:pPr>
              <w:spacing w:after="0"/>
              <w:rPr>
                <w:sz w:val="21"/>
                <w:szCs w:val="21"/>
                <w:color w:val="auto"/>
              </w:rPr>
            </w:pPr>
          </w:p>
        </w:tc>
      </w:tr>
      <w:tr>
        <w:trPr>
          <w:trHeight w:val="197"/>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noncontrolling interests</w:t>
            </w:r>
          </w:p>
        </w:tc>
        <w:tc>
          <w:tcPr>
            <w:tcW w:w="174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4,975</w:t>
            </w:r>
          </w:p>
        </w:tc>
        <w:tc>
          <w:tcPr>
            <w:tcW w:w="58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1,398</w:t>
            </w:r>
          </w:p>
        </w:tc>
        <w:tc>
          <w:tcPr>
            <w:tcW w:w="12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ind w:right="320" w:firstLine="637"/>
        <w:spacing w:after="0" w:line="246"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 w:name="page22"/>
    <w:bookmarkEnd w:id="21"/>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205" w:lineRule="exact"/>
        <w:rPr>
          <w:sz w:val="20"/>
          <w:szCs w:val="20"/>
          <w:color w:val="auto"/>
        </w:rPr>
      </w:pPr>
    </w:p>
    <w:p>
      <w:pPr>
        <w:ind w:right="340" w:firstLine="637"/>
        <w:spacing w:after="0" w:line="246"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54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740,595</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774,646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6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580,224</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585,802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6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1,320,819</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1,360,448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673,872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703,287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6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528,168</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517,697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6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1,202,040</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1,220,984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joint venture equity</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118,779</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6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76,017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68,975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236,517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238,188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6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210,847</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25,670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14,502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earnings of unconsolidated joint ventures</w:t>
            </w:r>
          </w:p>
        </w:tc>
        <w:tc>
          <w:tcPr>
            <w:tcW w:w="8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7,530</w:t>
            </w:r>
          </w:p>
        </w:tc>
        <w:tc>
          <w:tcPr>
            <w:tcW w:w="4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20" w:firstLine="637"/>
        <w:spacing w:after="0" w:line="277" w:lineRule="auto"/>
        <w:rPr>
          <w:sz w:val="20"/>
          <w:szCs w:val="20"/>
          <w:color w:val="auto"/>
        </w:rPr>
      </w:pPr>
      <w:r>
        <w:rPr>
          <w:rFonts w:ascii="Arial" w:cs="Arial" w:eastAsia="Arial" w:hAnsi="Arial"/>
          <w:sz w:val="18"/>
          <w:szCs w:val="18"/>
          <w:color w:val="auto"/>
        </w:rPr>
        <w:t>The Company received net distributions from and sale proceeds for its unconsolidated joint ventures for the three months ended March 31, 2021 and March 31, 2020 of $5.4 million and $6.5 million, respectively.</w:t>
      </w:r>
    </w:p>
    <w:p>
      <w:pPr>
        <w:spacing w:after="0" w:line="270"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overhead costs for these services. Revenues related to services the Company provided to unconsolidated joint ventures for the three months ended March 31, 2021 and March 31, 2020 were $42.0 million and $40.4 million, respectively. For the three months ended March 31, 2021 and March 31, 2020, the Company incurred $31.3 million and $31.5 million, respectively, of reimbursable costs. Amounts included in the consolidated balance sheets related to services the Company provided to unconsolidated joint ventures are as follows (in thousands):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20" w:type="dxa"/>
            <w:vAlign w:val="bottom"/>
            <w:tcBorders>
              <w:bottom w:val="single" w:sz="8" w:color="CFF0FC"/>
            </w:tcBorders>
          </w:tcPr>
          <w:p>
            <w:pPr>
              <w:spacing w:after="0"/>
              <w:rPr>
                <w:sz w:val="15"/>
                <w:szCs w:val="15"/>
                <w:color w:val="auto"/>
              </w:rPr>
            </w:pPr>
          </w:p>
        </w:tc>
        <w:tc>
          <w:tcPr>
            <w:tcW w:w="25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FF0FC"/>
            </w:tcBorders>
          </w:tcPr>
          <w:p>
            <w:pPr>
              <w:spacing w:after="0"/>
              <w:rPr>
                <w:sz w:val="15"/>
                <w:szCs w:val="15"/>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37,544</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Contract assets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w:t>
            </w:r>
          </w:p>
        </w:tc>
        <w:tc>
          <w:tcPr>
            <w:tcW w:w="100" w:type="dxa"/>
            <w:vAlign w:val="bottom"/>
            <w:shd w:val="clear" w:color="auto" w:fill="CFF0FC"/>
          </w:tcPr>
          <w:p>
            <w:pPr>
              <w:spacing w:after="0"/>
              <w:rPr>
                <w:sz w:val="18"/>
                <w:szCs w:val="18"/>
                <w:color w:val="auto"/>
              </w:rPr>
            </w:pPr>
          </w:p>
        </w:tc>
      </w:tr>
    </w:tbl>
    <w:p>
      <w:pPr>
        <w:spacing w:after="0" w:line="328"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March 31, 2021 and December 31, 2020, the Company’s financial instruments include cash, cash equivalents, accounts receivable, accounts payable, and other liabilities. The fair values of these financial instruments approximate their carrying values due to their short-term maturities.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86" w:lineRule="exact"/>
        <w:rPr>
          <w:sz w:val="20"/>
          <w:szCs w:val="20"/>
          <w:color w:val="auto"/>
        </w:rPr>
      </w:pPr>
    </w:p>
    <w:p>
      <w:pPr>
        <w:ind w:left="880" w:right="480" w:hanging="238"/>
        <w:spacing w:after="0" w:line="26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52" w:lineRule="exact"/>
        <w:rPr>
          <w:rFonts w:ascii="Arial" w:cs="Arial" w:eastAsia="Arial" w:hAnsi="Arial"/>
          <w:sz w:val="18"/>
          <w:szCs w:val="18"/>
          <w:color w:val="auto"/>
        </w:rPr>
      </w:pPr>
    </w:p>
    <w:p>
      <w:pPr>
        <w:ind w:left="880" w:hanging="238"/>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44" w:lineRule="exact"/>
        <w:rPr>
          <w:rFonts w:ascii="Arial" w:cs="Arial" w:eastAsia="Arial" w:hAnsi="Arial"/>
          <w:sz w:val="18"/>
          <w:szCs w:val="18"/>
          <w:color w:val="auto"/>
        </w:rPr>
      </w:pPr>
    </w:p>
    <w:p>
      <w:pPr>
        <w:ind w:left="880" w:right="320" w:hanging="238"/>
        <w:spacing w:after="0" w:line="26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78"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1Unadjusted quoted prices in active markets that are accessible at the measurement date for identical assets and liabilities;</w:t>
      </w:r>
    </w:p>
    <w:p>
      <w:pPr>
        <w:spacing w:after="0" w:line="104" w:lineRule="exact"/>
        <w:rPr>
          <w:sz w:val="20"/>
          <w:szCs w:val="20"/>
          <w:color w:val="auto"/>
        </w:rPr>
      </w:pPr>
    </w:p>
    <w:p>
      <w:pPr>
        <w:ind w:left="1220" w:right="200" w:hanging="580"/>
        <w:spacing w:after="0" w:line="246" w:lineRule="auto"/>
        <w:rPr>
          <w:sz w:val="20"/>
          <w:szCs w:val="20"/>
          <w:color w:val="auto"/>
        </w:rPr>
      </w:pPr>
      <w:r>
        <w:rPr>
          <w:rFonts w:ascii="Arial" w:cs="Arial" w:eastAsia="Arial" w:hAnsi="Arial"/>
          <w:sz w:val="18"/>
          <w:szCs w:val="18"/>
          <w:color w:val="auto"/>
        </w:rPr>
        <w:t>Level 2Pricing inputs that include quoted prices for similar assets and liabilities in active markets and inputs that are observable for the asset or liability, either directly or indirectly, for substantially the full term of the instrument; and</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measurements and unobservable.</w:t>
      </w:r>
    </w:p>
    <w:p>
      <w:pPr>
        <w:spacing w:after="0" w:line="212" w:lineRule="exact"/>
        <w:rPr>
          <w:sz w:val="20"/>
          <w:szCs w:val="20"/>
          <w:color w:val="auto"/>
        </w:rPr>
      </w:pPr>
    </w:p>
    <w:p>
      <w:pPr>
        <w:ind w:right="160" w:firstLine="637"/>
        <w:spacing w:after="0" w:line="238"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5" w:lineRule="exact"/>
        <w:rPr>
          <w:sz w:val="20"/>
          <w:szCs w:val="20"/>
          <w:color w:val="auto"/>
        </w:rPr>
      </w:pPr>
    </w:p>
    <w:p>
      <w:pPr>
        <w:ind w:right="180" w:firstLine="637"/>
        <w:spacing w:after="0"/>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2020 for a more complete discussion of the various items within the consolidated financial statements measured at fair value and the methods used to determine fair value.</w:t>
      </w:r>
    </w:p>
    <w:p>
      <w:pPr>
        <w:spacing w:after="0" w:line="73"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6"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The following tables reconcile the denominator and numerator used to compute basic earnings per share (“EPS”) to the denominator and numerator used to compute diluted EPS for the three months ended March 31, 2021 and March 31, 2020.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stock-based awards and shares underlying the Convertible Senior Note.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Senior Note dilution impact is calculated using the if-converted method which was required upon adoption of ASU 2020-</w:t>
      </w:r>
    </w:p>
    <w:p>
      <w:pPr>
        <w:ind w:right="40" w:firstLine="8"/>
        <w:spacing w:after="0" w:line="238"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the Company elected to adopt the if-converted method when the Convertible Senior Notes were issued during the third quarter of 2020. In connection with the offerings of the Notes, the Company entered into a convertible note hedge and warrants (see Note 10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94" w:lineRule="exact"/>
        <w:rPr>
          <w:sz w:val="20"/>
          <w:szCs w:val="20"/>
          <w:color w:val="auto"/>
        </w:rPr>
      </w:pPr>
    </w:p>
    <w:p>
      <w:pPr>
        <w:ind w:right="100" w:firstLine="637"/>
        <w:spacing w:after="0" w:line="256" w:lineRule="auto"/>
        <w:rPr>
          <w:sz w:val="20"/>
          <w:szCs w:val="20"/>
          <w:color w:val="auto"/>
        </w:rPr>
      </w:pPr>
      <w:r>
        <w:rPr>
          <w:rFonts w:ascii="Arial" w:cs="Arial" w:eastAsia="Arial" w:hAnsi="Arial"/>
          <w:sz w:val="17"/>
          <w:szCs w:val="17"/>
          <w:color w:val="auto"/>
        </w:rPr>
        <w:t>Dilutive potential common shares include shares the Company could be obligated to issue from its Convertible Senior Notes and warrants (see Note 10 for further discussion) and stock-based awards. Shares to be provided to the Company from its bond hedge purchased concurrently with the issuance of Convertible Senior Notes are anti-dilutive and are not included in its diluted shares. Anti-dilutive stock-based awards excluded from the calculation of earnings per share for the three months ended March 31, 2021 and March 31, 2020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were 145 and 27,596, respectively.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3" w:name="page24"/>
    <w:bookmarkEnd w:id="23"/>
    <w:p>
      <w:pPr>
        <w:ind w:left="640"/>
        <w:spacing w:after="0"/>
        <w:rPr>
          <w:sz w:val="20"/>
          <w:szCs w:val="20"/>
          <w:color w:val="auto"/>
        </w:rPr>
      </w:pPr>
      <w:r>
        <w:rPr>
          <w:rFonts w:ascii="Arial" w:cs="Arial" w:eastAsia="Arial" w:hAnsi="Arial"/>
          <w:sz w:val="18"/>
          <w:szCs w:val="18"/>
          <w:color w:val="auto"/>
        </w:rPr>
        <w:t>The weighted average number of shares used to compute basic and diluted EPS were:</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40" w:type="dxa"/>
            <w:vAlign w:val="bottom"/>
          </w:tcPr>
          <w:p>
            <w:pPr>
              <w:spacing w:after="0"/>
              <w:rPr>
                <w:sz w:val="15"/>
                <w:szCs w:val="15"/>
                <w:color w:val="auto"/>
              </w:rPr>
            </w:pPr>
          </w:p>
        </w:tc>
        <w:tc>
          <w:tcPr>
            <w:tcW w:w="304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694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2020</w:t>
            </w:r>
          </w:p>
        </w:tc>
      </w:tr>
      <w:tr>
        <w:trPr>
          <w:trHeight w:val="209"/>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102,375,923</w:t>
            </w:r>
          </w:p>
        </w:tc>
        <w:tc>
          <w:tcPr>
            <w:tcW w:w="26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100,669,693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Stock-based awards</w:t>
            </w:r>
          </w:p>
        </w:tc>
        <w:tc>
          <w:tcPr>
            <w:tcW w:w="1400" w:type="dxa"/>
            <w:vAlign w:val="bottom"/>
          </w:tcPr>
          <w:p>
            <w:pPr>
              <w:jc w:val="right"/>
              <w:spacing w:after="0"/>
              <w:rPr>
                <w:sz w:val="20"/>
                <w:szCs w:val="20"/>
                <w:color w:val="auto"/>
              </w:rPr>
            </w:pPr>
            <w:r>
              <w:rPr>
                <w:rFonts w:ascii="Arial" w:cs="Arial" w:eastAsia="Arial" w:hAnsi="Arial"/>
                <w:sz w:val="18"/>
                <w:szCs w:val="18"/>
                <w:color w:val="auto"/>
              </w:rPr>
              <w:t>573,048</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229,631</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6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111,865,501</w:t>
            </w:r>
          </w:p>
        </w:tc>
        <w:tc>
          <w:tcPr>
            <w:tcW w:w="2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100,899,324</w:t>
            </w:r>
          </w:p>
        </w:tc>
        <w:tc>
          <w:tcPr>
            <w:tcW w:w="12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net income available to shareholders to compute basic and diluted EPS were (in thousands):</w:t>
      </w:r>
    </w:p>
    <w:p>
      <w:pPr>
        <w:spacing w:after="0" w:line="5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40" w:type="dxa"/>
            <w:vAlign w:val="bottom"/>
          </w:tcPr>
          <w:p>
            <w:pPr>
              <w:spacing w:after="0"/>
              <w:rPr>
                <w:sz w:val="15"/>
                <w:szCs w:val="15"/>
                <w:color w:val="auto"/>
              </w:rPr>
            </w:pPr>
          </w:p>
        </w:tc>
        <w:tc>
          <w:tcPr>
            <w:tcW w:w="304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694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2020</w:t>
            </w: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26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12,973</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 if-converted method interest adjustment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6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Diluted net income attributable to Parsons Corporation</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w:t>
            </w:r>
          </w:p>
        </w:tc>
        <w:tc>
          <w:tcPr>
            <w:tcW w:w="2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12,973</w:t>
            </w:r>
          </w:p>
        </w:tc>
        <w:tc>
          <w:tcPr>
            <w:tcW w:w="12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420" w:firstLine="637"/>
        <w:spacing w:after="0" w:line="238"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205"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205" w:lineRule="exact"/>
        <w:rPr>
          <w:sz w:val="20"/>
          <w:szCs w:val="20"/>
          <w:color w:val="auto"/>
        </w:rPr>
      </w:pPr>
    </w:p>
    <w:p>
      <w:pPr>
        <w:ind w:right="140" w:firstLine="637"/>
        <w:spacing w:after="0" w:line="238"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currently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40" w:type="dxa"/>
            <w:vAlign w:val="bottom"/>
            <w:tcBorders>
              <w:bottom w:val="single" w:sz="8" w:color="CFF0FC"/>
            </w:tcBorders>
          </w:tcPr>
          <w:p>
            <w:pPr>
              <w:spacing w:after="0"/>
              <w:rPr>
                <w:sz w:val="14"/>
                <w:szCs w:val="14"/>
                <w:color w:val="auto"/>
              </w:rPr>
            </w:pPr>
          </w:p>
        </w:tc>
        <w:tc>
          <w:tcPr>
            <w:tcW w:w="3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revenue</w:t>
            </w:r>
          </w:p>
        </w:tc>
        <w:tc>
          <w:tcPr>
            <w:tcW w:w="3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452,069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477,571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 revenue</w:t>
            </w:r>
          </w:p>
        </w:tc>
        <w:tc>
          <w:tcPr>
            <w:tcW w:w="3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422,628</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493,422</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3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874,697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970,993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Borders>
              <w:top w:val="single" w:sz="8" w:color="CFF0FC"/>
            </w:tcBorders>
          </w:tcPr>
          <w:p>
            <w:pPr>
              <w:spacing w:after="0" w:line="20" w:lineRule="exact"/>
              <w:rPr>
                <w:sz w:val="1"/>
                <w:szCs w:val="1"/>
                <w:color w:val="auto"/>
              </w:rPr>
            </w:pPr>
          </w:p>
        </w:tc>
        <w:tc>
          <w:tcPr>
            <w:tcW w:w="3260" w:type="dxa"/>
            <w:vAlign w:val="bottom"/>
            <w:tcBorders>
              <w:top w:val="single" w:sz="8" w:color="CFF0FC"/>
              <w:bottom w:val="single" w:sz="8" w:color="CFF0FC"/>
            </w:tcBorders>
            <w:vMerge w:val="restart"/>
          </w:tcPr>
          <w:p>
            <w:pPr>
              <w:jc w:val="right"/>
              <w:ind w:right="1670"/>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p>
      <w:pPr>
        <w:ind w:right="120" w:firstLine="637"/>
        <w:spacing w:after="0" w:line="236" w:lineRule="auto"/>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2020</w:t>
            </w:r>
          </w:p>
        </w:tc>
      </w:tr>
      <w:tr>
        <w:trPr>
          <w:trHeight w:val="209"/>
        </w:trPr>
        <w:tc>
          <w:tcPr>
            <w:tcW w:w="69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Federal Solutions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31,982</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31,657</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27,357</w:t>
            </w:r>
          </w:p>
        </w:tc>
        <w:tc>
          <w:tcPr>
            <w:tcW w:w="100" w:type="dxa"/>
            <w:vAlign w:val="bottom"/>
            <w:tcBorders>
              <w:bottom w:val="single" w:sz="8" w:color="CFF0FC"/>
            </w:tcBorders>
          </w:tcPr>
          <w:p>
            <w:pPr>
              <w:spacing w:after="0"/>
              <w:rPr>
                <w:sz w:val="18"/>
                <w:szCs w:val="18"/>
                <w:color w:val="auto"/>
              </w:rPr>
            </w:pPr>
          </w:p>
        </w:tc>
      </w:tr>
      <w:tr>
        <w:trPr>
          <w:trHeight w:val="20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63,639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58,974</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5,060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(34,673)</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(32,409)</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(4,443)</w:t>
            </w: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(3,794)</w:t>
            </w: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(5,375)</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(5,084)</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Equity-based compensation income (expense)</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(6,980)</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Transaction-related costs (a)</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(2,646)</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(12,011)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Restructuring expense (b)</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Other (c)</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(581)</w:t>
            </w:r>
          </w:p>
        </w:tc>
      </w:tr>
      <w:tr>
        <w:trPr>
          <w:trHeight w:val="209"/>
        </w:trPr>
        <w:tc>
          <w:tcPr>
            <w:tcW w:w="690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14,014</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4,975</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12,973</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9" w:lineRule="exact"/>
        <w:rPr>
          <w:sz w:val="20"/>
          <w:szCs w:val="20"/>
          <w:color w:val="auto"/>
        </w:rPr>
      </w:pPr>
    </w:p>
    <w:p>
      <w:pPr>
        <w:ind w:left="640" w:right="140" w:hanging="632"/>
        <w:spacing w:after="0" w:line="23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40" w:right="120" w:hanging="632"/>
        <w:spacing w:after="0" w:line="246"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9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tables present revenues and property and equipment, net by geographic area (in thousands):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jc w:val="right"/>
              <w:ind w:right="9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175"/>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716,346</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797,946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168,859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874,697</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970,993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75"/>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111,398</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Middle East</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115,544</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ind w:left="5520"/>
              <w:spacing w:after="0"/>
              <w:rPr>
                <w:sz w:val="20"/>
                <w:szCs w:val="20"/>
                <w:color w:val="auto"/>
              </w:rPr>
            </w:pPr>
            <w:r>
              <w:rPr>
                <w:rFonts w:ascii="Arial" w:cs="Arial" w:eastAsia="Arial" w:hAnsi="Arial"/>
                <w:sz w:val="18"/>
                <w:szCs w:val="18"/>
                <w:color w:val="auto"/>
              </w:rPr>
              <w:t>23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7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5" w:name="page26"/>
    <w:bookmarkEnd w:id="25"/>
    <w:p>
      <w:pPr>
        <w:ind w:firstLine="637"/>
        <w:spacing w:after="0" w:line="264" w:lineRule="auto"/>
        <w:rPr>
          <w:sz w:val="20"/>
          <w:szCs w:val="20"/>
          <w:color w:val="auto"/>
        </w:rPr>
      </w:pPr>
      <w:r>
        <w:rPr>
          <w:rFonts w:ascii="Arial" w:cs="Arial" w:eastAsia="Arial" w:hAnsi="Arial"/>
          <w:sz w:val="18"/>
          <w:szCs w:val="18"/>
          <w:color w:val="auto"/>
        </w:rPr>
        <w:t>North America includes revenue in the United States for the three months ended March 31, 2021 and March 31, 2020 of $652.2 million and $735.8 million, respectively. North America property and equipment, net includes $104.8 million and $109.6 million of property and equipment, net in the United States at March 31, 2021 and December 31, 2020,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r>
      <w:tr>
        <w:trPr>
          <w:trHeight w:val="209"/>
        </w:trPr>
        <w:tc>
          <w:tcPr>
            <w:tcW w:w="690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Cyber &amp; Intelligence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83,328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98,882</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480"/>
              <w:spacing w:after="0"/>
              <w:rPr>
                <w:sz w:val="20"/>
                <w:szCs w:val="20"/>
                <w:color w:val="auto"/>
              </w:rPr>
            </w:pPr>
            <w:r>
              <w:rPr>
                <w:rFonts w:ascii="Arial" w:cs="Arial" w:eastAsia="Arial" w:hAnsi="Arial"/>
                <w:sz w:val="18"/>
                <w:szCs w:val="18"/>
                <w:color w:val="auto"/>
              </w:rPr>
              <w:t>Space &amp; Geospatial Solutions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83,059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51,288</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Missile Defense &amp; C5ISR</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144,715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154,569</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Engineered Systems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140,967</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172,832</w:t>
            </w:r>
          </w:p>
        </w:tc>
        <w:tc>
          <w:tcPr>
            <w:tcW w:w="100" w:type="dxa"/>
            <w:vAlign w:val="bottom"/>
            <w:tcBorders>
              <w:bottom w:val="single" w:sz="8" w:color="CFF0FC"/>
            </w:tcBorders>
          </w:tcPr>
          <w:p>
            <w:pPr>
              <w:spacing w:after="0"/>
              <w:rPr>
                <w:sz w:val="18"/>
                <w:szCs w:val="18"/>
                <w:color w:val="auto"/>
              </w:rPr>
            </w:pPr>
          </w:p>
        </w:tc>
      </w:tr>
      <w:tr>
        <w:trPr>
          <w:trHeight w:val="209"/>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 revenues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452,069</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477,571</w:t>
            </w:r>
          </w:p>
        </w:tc>
        <w:tc>
          <w:tcPr>
            <w:tcW w:w="100" w:type="dxa"/>
            <w:vAlign w:val="bottom"/>
            <w:shd w:val="clear" w:color="auto" w:fill="CFF0FC"/>
          </w:tcPr>
          <w:p>
            <w:pPr>
              <w:spacing w:after="0"/>
              <w:rPr>
                <w:sz w:val="18"/>
                <w:szCs w:val="18"/>
                <w:color w:val="auto"/>
              </w:rPr>
            </w:pPr>
          </w:p>
        </w:tc>
      </w:tr>
      <w:tr>
        <w:trPr>
          <w:trHeight w:val="210"/>
        </w:trPr>
        <w:tc>
          <w:tcPr>
            <w:tcW w:w="6900" w:type="dxa"/>
            <w:vAlign w:val="bottom"/>
          </w:tcPr>
          <w:p>
            <w:pPr>
              <w:ind w:left="480"/>
              <w:spacing w:after="0"/>
              <w:rPr>
                <w:sz w:val="20"/>
                <w:szCs w:val="20"/>
                <w:color w:val="auto"/>
              </w:rPr>
            </w:pPr>
            <w:r>
              <w:rPr>
                <w:rFonts w:ascii="Arial" w:cs="Arial" w:eastAsia="Arial" w:hAnsi="Arial"/>
                <w:sz w:val="18"/>
                <w:szCs w:val="18"/>
                <w:color w:val="auto"/>
              </w:rPr>
              <w:t>Connected Communities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89,883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101,901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Mobility Solutions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332,745</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391,521</w:t>
            </w:r>
          </w:p>
        </w:tc>
        <w:tc>
          <w:tcPr>
            <w:tcW w:w="100" w:type="dxa"/>
            <w:vAlign w:val="bottom"/>
            <w:shd w:val="clear" w:color="auto" w:fill="CFF0FC"/>
          </w:tcPr>
          <w:p>
            <w:pPr>
              <w:spacing w:after="0"/>
              <w:rPr>
                <w:sz w:val="18"/>
                <w:szCs w:val="18"/>
                <w:color w:val="auto"/>
              </w:rPr>
            </w:pPr>
          </w:p>
        </w:tc>
      </w:tr>
      <w:tr>
        <w:trPr>
          <w:trHeight w:val="209"/>
        </w:trPr>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 revenues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422,628</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493,422</w:t>
            </w:r>
          </w:p>
        </w:tc>
        <w:tc>
          <w:tcPr>
            <w:tcW w:w="100" w:type="dxa"/>
            <w:vAlign w:val="bottom"/>
            <w:tcBorders>
              <w:bottom w:val="single" w:sz="8" w:color="CFF0FC"/>
            </w:tcBorders>
          </w:tcPr>
          <w:p>
            <w:pPr>
              <w:spacing w:after="0"/>
              <w:rPr>
                <w:sz w:val="18"/>
                <w:szCs w:val="18"/>
                <w:color w:val="auto"/>
              </w:rPr>
            </w:pPr>
          </w:p>
        </w:tc>
      </w:tr>
      <w:tr>
        <w:trPr>
          <w:trHeight w:val="209"/>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874,697</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970,993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 noted.</w:t>
      </w: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571" w:right="6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40" w:firstLine="637"/>
        <w:spacing w:after="0" w:line="245"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2020.</w:t>
      </w:r>
    </w:p>
    <w:p>
      <w:pPr>
        <w:spacing w:after="0" w:line="181" w:lineRule="exact"/>
        <w:rPr>
          <w:sz w:val="20"/>
          <w:szCs w:val="20"/>
          <w:color w:val="auto"/>
        </w:rPr>
      </w:pPr>
    </w:p>
    <w:p>
      <w:pPr>
        <w:ind w:right="80" w:firstLine="637"/>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2020. We undertake no obligation to revise publicly any forward-looking statements. Actual results may differ materially from those contained in any forward-looking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26" w:lineRule="exact"/>
        <w:rPr>
          <w:sz w:val="20"/>
          <w:szCs w:val="20"/>
          <w:color w:val="auto"/>
        </w:rPr>
      </w:pPr>
    </w:p>
    <w:p>
      <w:pPr>
        <w:ind w:right="360" w:firstLine="644"/>
        <w:spacing w:after="0" w:line="238" w:lineRule="auto"/>
        <w:rPr>
          <w:sz w:val="20"/>
          <w:szCs w:val="20"/>
          <w:color w:val="auto"/>
        </w:rPr>
      </w:pPr>
      <w:r>
        <w:rPr>
          <w:rFonts w:ascii="Arial" w:cs="Arial" w:eastAsia="Arial" w:hAnsi="Arial"/>
          <w:sz w:val="18"/>
          <w:szCs w:val="18"/>
          <w:color w:val="auto"/>
        </w:rPr>
        <w:t>In response to the COVID-19 pandemic, the Company has taken certain actions to continue to execute under our contracts with customers and allow our people to work safely. A substantial majority of our work-force transitioned to work-from-home status during the latter part of the quarter ended March 31, 2020, and these practices remain in effect as of the date of this filing. To date, we have experienced no material disruption in our work as a consequence of these changes in our work practices.</w:t>
      </w:r>
    </w:p>
    <w:p>
      <w:pPr>
        <w:spacing w:after="0" w:line="97" w:lineRule="exact"/>
        <w:rPr>
          <w:sz w:val="20"/>
          <w:szCs w:val="20"/>
          <w:color w:val="auto"/>
        </w:rPr>
      </w:pPr>
    </w:p>
    <w:p>
      <w:pPr>
        <w:ind w:right="120" w:firstLine="644"/>
        <w:spacing w:after="0" w:line="238" w:lineRule="auto"/>
        <w:rPr>
          <w:sz w:val="20"/>
          <w:szCs w:val="20"/>
          <w:color w:val="auto"/>
        </w:rPr>
      </w:pPr>
      <w:r>
        <w:rPr>
          <w:rFonts w:ascii="Arial" w:cs="Arial" w:eastAsia="Arial" w:hAnsi="Arial"/>
          <w:sz w:val="18"/>
          <w:szCs w:val="18"/>
          <w:color w:val="auto"/>
        </w:rPr>
        <w:t>The Company has experienced an impact in the volume of work in both the Federal Solutions and Critical Infrastructure segments where customers have restricted access to certain project sites. We have not seen any substantive cancellations of previously awarded contracts. In the Federal Solutions segment, we have had some existing contracts extended. We continue to see several potential contract awards pushed out to a future date.</w:t>
      </w:r>
    </w:p>
    <w:p>
      <w:pPr>
        <w:spacing w:after="0" w:line="97" w:lineRule="exact"/>
        <w:rPr>
          <w:sz w:val="20"/>
          <w:szCs w:val="20"/>
          <w:color w:val="auto"/>
        </w:rPr>
      </w:pPr>
    </w:p>
    <w:p>
      <w:pPr>
        <w:ind w:firstLine="644"/>
        <w:spacing w:after="0"/>
        <w:rPr>
          <w:sz w:val="20"/>
          <w:szCs w:val="20"/>
          <w:color w:val="auto"/>
        </w:rPr>
      </w:pPr>
      <w:r>
        <w:rPr>
          <w:rFonts w:ascii="Arial" w:cs="Arial" w:eastAsia="Arial" w:hAnsi="Arial"/>
          <w:sz w:val="18"/>
          <w:szCs w:val="18"/>
          <w:color w:val="auto"/>
        </w:rPr>
        <w:t>The Company is receiving limited benefits associated with the CARES Act related to its work on certain US national security projects; however, the curtailment of work under these projects and the CARES Act benefits are not likely to have a material impact on our financial condition or results of operations. The reimbursement period for Section 3610 of the CARES Act was extended until March 31, 2021.</w:t>
      </w:r>
    </w:p>
    <w:p>
      <w:pPr>
        <w:spacing w:after="0" w:line="95" w:lineRule="exact"/>
        <w:rPr>
          <w:sz w:val="20"/>
          <w:szCs w:val="20"/>
          <w:color w:val="auto"/>
        </w:rPr>
      </w:pPr>
    </w:p>
    <w:p>
      <w:pPr>
        <w:ind w:right="260" w:firstLine="644"/>
        <w:spacing w:after="0" w:line="274" w:lineRule="auto"/>
        <w:rPr>
          <w:sz w:val="20"/>
          <w:szCs w:val="20"/>
          <w:color w:val="auto"/>
        </w:rPr>
      </w:pPr>
      <w:r>
        <w:rPr>
          <w:rFonts w:ascii="Arial" w:cs="Arial" w:eastAsia="Arial" w:hAnsi="Arial"/>
          <w:sz w:val="17"/>
          <w:szCs w:val="17"/>
          <w:color w:val="auto"/>
        </w:rPr>
        <w:t>The Company has provided additional disclosure around liquidity and capital resources which can be found in the “Liquidity and Capital Resources” section in Management’s Discussion and Analysis of Financial Condition and Results of Operations in this Form 10-Q.</w:t>
      </w:r>
    </w:p>
    <w:p>
      <w:pPr>
        <w:spacing w:after="0" w:line="67" w:lineRule="exact"/>
        <w:rPr>
          <w:sz w:val="20"/>
          <w:szCs w:val="20"/>
          <w:color w:val="auto"/>
        </w:rPr>
      </w:pPr>
    </w:p>
    <w:p>
      <w:pPr>
        <w:ind w:right="820" w:firstLine="644"/>
        <w:spacing w:after="0" w:line="246" w:lineRule="auto"/>
        <w:rPr>
          <w:sz w:val="20"/>
          <w:szCs w:val="20"/>
          <w:color w:val="auto"/>
        </w:rPr>
      </w:pPr>
      <w:r>
        <w:rPr>
          <w:rFonts w:ascii="Arial" w:cs="Arial" w:eastAsia="Arial" w:hAnsi="Arial"/>
          <w:sz w:val="18"/>
          <w:szCs w:val="18"/>
          <w:color w:val="auto"/>
        </w:rPr>
        <w:t>The Company anticipates substantially all of the Company’s subcontractors and material suppliers will be able to fulfill their contractual obligations and we do not expect a material impact from non-performance.</w:t>
      </w:r>
    </w:p>
    <w:p>
      <w:pPr>
        <w:spacing w:after="0" w:line="89" w:lineRule="exact"/>
        <w:rPr>
          <w:sz w:val="20"/>
          <w:szCs w:val="20"/>
          <w:color w:val="auto"/>
        </w:rPr>
      </w:pPr>
    </w:p>
    <w:p>
      <w:pPr>
        <w:ind w:right="280" w:firstLine="644"/>
        <w:spacing w:after="0" w:line="246" w:lineRule="auto"/>
        <w:rPr>
          <w:sz w:val="20"/>
          <w:szCs w:val="20"/>
          <w:color w:val="auto"/>
        </w:rPr>
      </w:pPr>
      <w:r>
        <w:rPr>
          <w:rFonts w:ascii="Arial" w:cs="Arial" w:eastAsia="Arial" w:hAnsi="Arial"/>
          <w:sz w:val="18"/>
          <w:szCs w:val="18"/>
          <w:color w:val="auto"/>
        </w:rPr>
        <w:t>The ultimate impact from the COVID-19 pandemic is difficult to predict. While many uncertainties exist, we currently anticipate no material change in our financial condition or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380365</wp:posOffset>
            </wp:positionV>
            <wp:extent cx="6180455" cy="3471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180455"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We are a leading innovative technology provider in the global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 interconnected world.</w:t>
      </w:r>
    </w:p>
    <w:p>
      <w:pPr>
        <w:spacing w:after="0" w:line="202"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203"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Metrics</w:t>
      </w:r>
    </w:p>
    <w:p>
      <w:pPr>
        <w:spacing w:after="0" w:line="234" w:lineRule="exact"/>
        <w:rPr>
          <w:sz w:val="20"/>
          <w:szCs w:val="20"/>
          <w:color w:val="auto"/>
        </w:rPr>
      </w:pPr>
    </w:p>
    <w:p>
      <w:pPr>
        <w:ind w:right="260" w:firstLine="637"/>
        <w:spacing w:after="0" w:line="246"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142875</wp:posOffset>
            </wp:positionV>
            <wp:extent cx="20059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480" w:type="dxa"/>
            <w:vAlign w:val="bottom"/>
            <w:tcBorders>
              <w:bottom w:val="single" w:sz="8" w:color="CFF0FC"/>
            </w:tcBorders>
          </w:tcPr>
          <w:p>
            <w:pPr>
              <w:spacing w:after="0"/>
              <w:rPr>
                <w:sz w:val="15"/>
                <w:szCs w:val="15"/>
                <w:color w:val="auto"/>
              </w:rPr>
            </w:pPr>
          </w:p>
        </w:tc>
        <w:tc>
          <w:tcPr>
            <w:tcW w:w="33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3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1,010,974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966,095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Backlog (1)</w:t>
            </w:r>
          </w:p>
        </w:tc>
        <w:tc>
          <w:tcPr>
            <w:tcW w:w="3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8,170,126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7,801,180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3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60" w:type="dxa"/>
            <w:vAlign w:val="bottom"/>
          </w:tcPr>
          <w:p>
            <w:pPr>
              <w:jc w:val="right"/>
              <w:ind w:right="161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ind w:left="640" w:right="2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9512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1230" cy="8890"/>
                    </a:xfrm>
                    <a:prstGeom prst="rect">
                      <a:avLst/>
                    </a:prstGeom>
                    <a:noFill/>
                  </pic:spPr>
                </pic:pic>
              </a:graphicData>
            </a:graphic>
          </wp:anchor>
        </w:drawing>
        <w:t>Difference between our backlog of $8.2 billion and our remaining unsatisfied performance obligations, or RUPO, of $5.1 billion, each as of March 31, 2021, is due to (i) unissued task orders and unexercised option years, to the extent their issuance or exercise is probable, as well as (ii) contract awards, to the extent we believe contract execution and funding is probable.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26" w:lineRule="exact"/>
        <w:rPr>
          <w:sz w:val="20"/>
          <w:szCs w:val="20"/>
          <w:color w:val="auto"/>
        </w:rPr>
      </w:pPr>
    </w:p>
    <w:p>
      <w:pPr>
        <w:ind w:right="160" w:firstLine="637"/>
        <w:spacing w:after="0"/>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4240" w:type="dxa"/>
            <w:vAlign w:val="bottom"/>
            <w:tcBorders>
              <w:bottom w:val="single" w:sz="8" w:color="CFF0FC"/>
            </w:tcBorders>
          </w:tcPr>
          <w:p>
            <w:pPr>
              <w:spacing w:after="0"/>
              <w:rPr>
                <w:sz w:val="14"/>
                <w:szCs w:val="14"/>
                <w:color w:val="auto"/>
              </w:rPr>
            </w:pPr>
          </w:p>
        </w:tc>
        <w:tc>
          <w:tcPr>
            <w:tcW w:w="26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FF0FC"/>
            </w:tcBorders>
          </w:tcPr>
          <w:p>
            <w:pPr>
              <w:spacing w:after="0"/>
              <w:rPr>
                <w:sz w:val="14"/>
                <w:szCs w:val="14"/>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424,621</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615,690</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26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586,353</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350,405</w:t>
            </w:r>
          </w:p>
        </w:tc>
        <w:tc>
          <w:tcPr>
            <w:tcW w:w="100" w:type="dxa"/>
            <w:vAlign w:val="bottom"/>
            <w:tcBorders>
              <w:bottom w:val="single" w:sz="8" w:color="CFF0FC"/>
            </w:tcBorders>
          </w:tcPr>
          <w:p>
            <w:pPr>
              <w:spacing w:after="0"/>
              <w:rPr>
                <w:sz w:val="18"/>
                <w:szCs w:val="18"/>
                <w:color w:val="auto"/>
              </w:rPr>
            </w:pPr>
          </w:p>
        </w:tc>
      </w:tr>
      <w:tr>
        <w:trPr>
          <w:trHeight w:val="20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 Awards</w:t>
            </w:r>
          </w:p>
        </w:tc>
        <w:tc>
          <w:tcPr>
            <w:tcW w:w="2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1,010,974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966,095</w:t>
            </w:r>
          </w:p>
        </w:tc>
        <w:tc>
          <w:tcPr>
            <w:tcW w:w="100" w:type="dxa"/>
            <w:vAlign w:val="bottom"/>
            <w:shd w:val="clear" w:color="auto" w:fill="CFF0FC"/>
          </w:tcPr>
          <w:p>
            <w:pPr>
              <w:spacing w:after="0"/>
              <w:rPr>
                <w:sz w:val="18"/>
                <w:szCs w:val="18"/>
                <w:color w:val="auto"/>
              </w:rPr>
            </w:pP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26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change in new awards in our Federal Solutions segment for the three months ended March 31, 2021 when compared to the corresponding period last year was impacted by one large contract awarded in the first quarter of 2020. The awards in Critical Infrastructure for the three months ended March 31, 2021 were impacted by several large contracts awarded in the first quarter of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880" w:right="560" w:hanging="238"/>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88" w:lineRule="exact"/>
        <w:rPr>
          <w:rFonts w:ascii="Arial" w:cs="Arial" w:eastAsia="Arial" w:hAnsi="Arial"/>
          <w:sz w:val="18"/>
          <w:szCs w:val="18"/>
          <w:color w:val="auto"/>
        </w:rPr>
      </w:pPr>
    </w:p>
    <w:p>
      <w:pPr>
        <w:ind w:left="880" w:right="60" w:hanging="238"/>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97"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151765</wp:posOffset>
            </wp:positionV>
            <wp:extent cx="20059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Federal Solutions:</w:t>
            </w:r>
          </w:p>
        </w:tc>
        <w:tc>
          <w:tcPr>
            <w:tcW w:w="2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 (1)</w:t>
            </w:r>
          </w:p>
        </w:tc>
        <w:tc>
          <w:tcPr>
            <w:tcW w:w="2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1,127,717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1,338,903</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4,010,656</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3,716,023</w:t>
            </w:r>
          </w:p>
        </w:tc>
        <w:tc>
          <w:tcPr>
            <w:tcW w:w="100" w:type="dxa"/>
            <w:vAlign w:val="bottom"/>
            <w:tcBorders>
              <w:bottom w:val="single" w:sz="8" w:color="CFF0FC"/>
            </w:tcBorders>
          </w:tcPr>
          <w:p>
            <w:pPr>
              <w:spacing w:after="0"/>
              <w:rPr>
                <w:sz w:val="18"/>
                <w:szCs w:val="18"/>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23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5,138,373</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5,054,926</w:t>
            </w:r>
          </w:p>
        </w:tc>
        <w:tc>
          <w:tcPr>
            <w:tcW w:w="100" w:type="dxa"/>
            <w:vAlign w:val="bottom"/>
            <w:shd w:val="clear" w:color="auto" w:fill="CFF0FC"/>
          </w:tcPr>
          <w:p>
            <w:pPr>
              <w:spacing w:after="0"/>
              <w:rPr>
                <w:sz w:val="18"/>
                <w:szCs w:val="18"/>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2,956,255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2,707,701</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75,498</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38,553</w:t>
            </w:r>
          </w:p>
        </w:tc>
        <w:tc>
          <w:tcPr>
            <w:tcW w:w="100" w:type="dxa"/>
            <w:vAlign w:val="bottom"/>
            <w:tcBorders>
              <w:bottom w:val="single" w:sz="8" w:color="CFF0FC"/>
            </w:tcBorders>
          </w:tcPr>
          <w:p>
            <w:pPr>
              <w:spacing w:after="0"/>
              <w:rPr>
                <w:sz w:val="18"/>
                <w:szCs w:val="18"/>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23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3,031,753</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2,746,254</w:t>
            </w:r>
          </w:p>
        </w:tc>
        <w:tc>
          <w:tcPr>
            <w:tcW w:w="100" w:type="dxa"/>
            <w:vAlign w:val="bottom"/>
            <w:shd w:val="clear" w:color="auto" w:fill="CFF0FC"/>
          </w:tcPr>
          <w:p>
            <w:pPr>
              <w:spacing w:after="0"/>
              <w:rPr>
                <w:sz w:val="18"/>
                <w:szCs w:val="18"/>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Total Backlog (2)</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8,170,126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7,801,180</w:t>
            </w:r>
          </w:p>
        </w:tc>
        <w:tc>
          <w:tcPr>
            <w:tcW w:w="10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ind w:left="1000" w:right="260" w:hanging="62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presented in the first quarter of 2020, funded backlog for the Federal Solutions segment was overstated by $320.4 million with a corresponding understatement in unfunded backlog. There was no impact on total Federal Solutions backlog or total backlog for Parsons Corporation.</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0" w:right="419" w:bottom="1440" w:gutter="0" w:footer="0" w:header="0"/>
        </w:sectPr>
      </w:pPr>
    </w:p>
    <w:bookmarkStart w:id="29" w:name="page30"/>
    <w:bookmarkEnd w:id="29"/>
    <w:p>
      <w:pPr>
        <w:ind w:left="1000" w:right="60" w:hanging="62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 between our backlog of $8.2 billion and our RUPO of $5.1 billion, each as of March 31, 2021, is due to (i) unissued task orders and unexercised option years, to the extent their issuance or exercise is probable, as well as (ii) contract awards, to the extent we believe contract execution and funding is probable.</w:t>
      </w:r>
    </w:p>
    <w:p>
      <w:pPr>
        <w:spacing w:after="0" w:line="203" w:lineRule="exact"/>
        <w:rPr>
          <w:sz w:val="20"/>
          <w:szCs w:val="20"/>
          <w:color w:val="auto"/>
        </w:rPr>
      </w:pPr>
    </w:p>
    <w:p>
      <w:pPr>
        <w:ind w:right="40" w:firstLine="637"/>
        <w:spacing w:after="0" w:line="238"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202"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We expect to recognize $2.7 billion of our funded backlog at March 31, 2021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 Risk Relating to Our Business—We may not realize the full value of our backlog, which may result in lower than expected revenue” in the Company’s Form 10-K for the year ended December 31, 2020.</w:t>
      </w:r>
    </w:p>
    <w:p>
      <w:pPr>
        <w:spacing w:after="0" w:line="205" w:lineRule="exact"/>
        <w:rPr>
          <w:sz w:val="20"/>
          <w:szCs w:val="20"/>
          <w:color w:val="auto"/>
        </w:rPr>
      </w:pPr>
    </w:p>
    <w:p>
      <w:pPr>
        <w:ind w:right="540" w:firstLine="637"/>
        <w:spacing w:after="0" w:line="246"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26"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314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6860" w:type="dxa"/>
            <w:vAlign w:val="bottom"/>
          </w:tcPr>
          <w:p>
            <w:pPr>
              <w:spacing w:after="0"/>
              <w:rPr>
                <w:sz w:val="14"/>
                <w:szCs w:val="14"/>
                <w:color w:val="auto"/>
              </w:rPr>
            </w:pP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2021</w:t>
            </w: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2020</w:t>
            </w:r>
          </w:p>
        </w:tc>
      </w:tr>
      <w:tr>
        <w:trPr>
          <w:trHeight w:val="210"/>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460" w:type="dxa"/>
            <w:vAlign w:val="bottom"/>
            <w:tcBorders>
              <w:top w:val="single" w:sz="8" w:color="auto"/>
            </w:tcBorders>
            <w:shd w:val="clear" w:color="auto" w:fill="CFF0FC"/>
          </w:tcPr>
          <w:p>
            <w:pPr>
              <w:jc w:val="right"/>
              <w:ind w:right="477"/>
              <w:spacing w:after="0"/>
              <w:rPr>
                <w:sz w:val="20"/>
                <w:szCs w:val="20"/>
                <w:color w:val="auto"/>
              </w:rPr>
            </w:pPr>
            <w:r>
              <w:rPr>
                <w:rFonts w:ascii="Arial" w:cs="Arial" w:eastAsia="Arial" w:hAnsi="Arial"/>
                <w:sz w:val="18"/>
                <w:szCs w:val="18"/>
                <w:color w:val="auto"/>
              </w:rPr>
              <w:t>0.9</w:t>
            </w:r>
          </w:p>
        </w:tc>
        <w:tc>
          <w:tcPr>
            <w:tcW w:w="24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ind w:right="475"/>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460" w:type="dxa"/>
            <w:vAlign w:val="bottom"/>
          </w:tcPr>
          <w:p>
            <w:pPr>
              <w:jc w:val="right"/>
              <w:ind w:right="477"/>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440" w:type="dxa"/>
            <w:vAlign w:val="bottom"/>
          </w:tcPr>
          <w:p>
            <w:pPr>
              <w:jc w:val="right"/>
              <w:ind w:right="47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460" w:type="dxa"/>
            <w:vAlign w:val="bottom"/>
            <w:shd w:val="clear" w:color="auto" w:fill="CFF0FC"/>
          </w:tcPr>
          <w:p>
            <w:pPr>
              <w:jc w:val="right"/>
              <w:ind w:right="477"/>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75"/>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8"/>
                <w:szCs w:val="18"/>
                <w:color w:val="auto"/>
              </w:rPr>
            </w:pPr>
          </w:p>
        </w:tc>
      </w:tr>
    </w:tbl>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34" w:lineRule="exact"/>
        <w:rPr>
          <w:sz w:val="20"/>
          <w:szCs w:val="20"/>
          <w:color w:val="auto"/>
        </w:rPr>
      </w:pPr>
    </w:p>
    <w:p>
      <w:pPr>
        <w:ind w:right="40" w:firstLine="637"/>
        <w:spacing w:after="0" w:line="238"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2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95"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26" w:lineRule="exact"/>
        <w:rPr>
          <w:sz w:val="20"/>
          <w:szCs w:val="20"/>
          <w:color w:val="auto"/>
        </w:rPr>
      </w:pPr>
    </w:p>
    <w:p>
      <w:pPr>
        <w:ind w:right="60" w:firstLine="637"/>
        <w:spacing w:after="0" w:line="236"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26" w:lineRule="exact"/>
        <w:rPr>
          <w:sz w:val="20"/>
          <w:szCs w:val="20"/>
          <w:color w:val="auto"/>
        </w:rPr>
      </w:pPr>
    </w:p>
    <w:p>
      <w:pPr>
        <w:ind w:right="40" w:firstLine="637"/>
        <w:spacing w:after="0" w:line="238"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26" w:lineRule="exact"/>
        <w:rPr>
          <w:sz w:val="20"/>
          <w:szCs w:val="20"/>
          <w:color w:val="auto"/>
        </w:rPr>
      </w:pPr>
    </w:p>
    <w:p>
      <w:pPr>
        <w:ind w:right="160" w:firstLine="637"/>
        <w:spacing w:after="0" w:line="237" w:lineRule="auto"/>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Braxton Science &amp; Technology Group, LLC</w:t>
      </w:r>
    </w:p>
    <w:p>
      <w:pPr>
        <w:spacing w:after="0" w:line="122" w:lineRule="exact"/>
        <w:rPr>
          <w:sz w:val="20"/>
          <w:szCs w:val="20"/>
          <w:color w:val="auto"/>
        </w:rPr>
      </w:pPr>
    </w:p>
    <w:p>
      <w:pPr>
        <w:ind w:right="60" w:firstLine="637"/>
        <w:spacing w:after="0" w:line="259" w:lineRule="auto"/>
        <w:rPr>
          <w:sz w:val="20"/>
          <w:szCs w:val="20"/>
          <w:color w:val="auto"/>
        </w:rPr>
      </w:pPr>
      <w:r>
        <w:rPr>
          <w:rFonts w:ascii="Arial" w:cs="Arial" w:eastAsia="Arial" w:hAnsi="Arial"/>
          <w:sz w:val="17"/>
          <w:szCs w:val="17"/>
          <w:color w:val="auto"/>
        </w:rPr>
        <w:t>On November 19, 2020, we acquired Braxton for $308.8 million. Braxton operates at the forefront of satellite operations, ground system automation, flight dynamics, and spacecraft and antenna simulation for the U.S. Department of Defense and Intelligence Community. The acquisition was funded by cash on-hand. The financial results of Braxton have been included in our consolidated results of operations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from November 19, 2020 onward.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recognize revenue for work performed under cost-plus, time-and-materials and fixed-price contracts as follows:</w:t>
      </w:r>
    </w:p>
    <w:p>
      <w:pPr>
        <w:spacing w:after="0" w:line="212"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205" w:lineRule="exact"/>
        <w:rPr>
          <w:sz w:val="20"/>
          <w:szCs w:val="20"/>
          <w:color w:val="auto"/>
        </w:rPr>
      </w:pPr>
    </w:p>
    <w:p>
      <w:pPr>
        <w:ind w:right="200" w:firstLine="637"/>
        <w:spacing w:after="0"/>
        <w:rPr>
          <w:sz w:val="20"/>
          <w:szCs w:val="20"/>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12" w:lineRule="exact"/>
        <w:rPr>
          <w:sz w:val="20"/>
          <w:szCs w:val="20"/>
          <w:color w:val="auto"/>
        </w:rPr>
      </w:pPr>
    </w:p>
    <w:p>
      <w:pPr>
        <w:ind w:right="160" w:firstLine="637"/>
        <w:spacing w:after="0"/>
        <w:rPr>
          <w:sz w:val="20"/>
          <w:szCs w:val="20"/>
          <w:color w:val="auto"/>
        </w:rPr>
      </w:pPr>
      <w:r>
        <w:rPr>
          <w:rFonts w:ascii="Arial" w:cs="Arial" w:eastAsia="Arial" w:hAnsi="Arial"/>
          <w:sz w:val="18"/>
          <w:szCs w:val="18"/>
          <w:color w:val="auto"/>
        </w:rPr>
        <w:t>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2020 for a description of our policies on revenue recognition.</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31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686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 2021</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March 31, 2020</w:t>
            </w:r>
          </w:p>
        </w:tc>
      </w:tr>
      <w:tr>
        <w:trPr>
          <w:trHeight w:val="209"/>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Fixed-price</w:t>
            </w: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7"/>
              </w:rPr>
              <w:t>26.3%</w:t>
            </w:r>
          </w:p>
        </w:tc>
        <w:tc>
          <w:tcPr>
            <w:tcW w:w="2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Time-and-materials</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27.4%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46.3%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right="20" w:firstLine="637"/>
        <w:spacing w:after="0" w:line="236"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205" w:lineRule="exact"/>
        <w:rPr>
          <w:sz w:val="20"/>
          <w:szCs w:val="20"/>
          <w:color w:val="auto"/>
        </w:rPr>
      </w:pPr>
    </w:p>
    <w:p>
      <w:pPr>
        <w:ind w:right="200" w:firstLine="637"/>
        <w:spacing w:after="0"/>
        <w:rPr>
          <w:sz w:val="20"/>
          <w:szCs w:val="20"/>
          <w:color w:val="auto"/>
        </w:rPr>
      </w:pPr>
      <w:r>
        <w:rPr>
          <w:rFonts w:ascii="Arial" w:cs="Arial" w:eastAsia="Arial" w:hAnsi="Arial"/>
          <w:sz w:val="18"/>
          <w:szCs w:val="18"/>
          <w:color w:val="auto"/>
        </w:rPr>
        <w:t>Our recognition of revenue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(loss) of unconsolidated joint ventures. Our revenues included amounts related to services we provided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2" w:name="page33"/>
    <w:bookmarkEnd w:id="32"/>
    <w:p>
      <w:pPr>
        <w:ind w:right="500"/>
        <w:spacing w:after="0" w:line="246" w:lineRule="auto"/>
        <w:rPr>
          <w:sz w:val="20"/>
          <w:szCs w:val="20"/>
          <w:color w:val="auto"/>
        </w:rPr>
      </w:pPr>
      <w:r>
        <w:rPr>
          <w:rFonts w:ascii="Arial" w:cs="Arial" w:eastAsia="Arial" w:hAnsi="Arial"/>
          <w:sz w:val="18"/>
          <w:szCs w:val="18"/>
          <w:color w:val="auto"/>
        </w:rPr>
        <w:t>to our unconsolidated joint ventures for the three months ended March 31, 2021 and March 31, 2020 of $42.0 million and $40.4 million,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26" w:lineRule="exact"/>
        <w:rPr>
          <w:sz w:val="20"/>
          <w:szCs w:val="20"/>
          <w:color w:val="auto"/>
        </w:rPr>
      </w:pPr>
    </w:p>
    <w:p>
      <w:pPr>
        <w:ind w:right="180" w:firstLine="637"/>
        <w:spacing w:after="0" w:line="238"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March 31, 2021 and March 31, 2020 was $13.2 million and $14.9 million, respectively, and is recorded in “Direct cost of contracts” and “Selling, general and administrative expenses.”</w:t>
      </w:r>
    </w:p>
    <w:p>
      <w:pPr>
        <w:spacing w:after="0" w:line="202" w:lineRule="exact"/>
        <w:rPr>
          <w:sz w:val="20"/>
          <w:szCs w:val="20"/>
          <w:color w:val="auto"/>
        </w:rPr>
      </w:pPr>
    </w:p>
    <w:p>
      <w:pPr>
        <w:ind w:right="60" w:firstLine="637"/>
        <w:spacing w:after="0" w:line="246"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97" w:lineRule="exact"/>
        <w:rPr>
          <w:sz w:val="20"/>
          <w:szCs w:val="20"/>
          <w:color w:val="auto"/>
        </w:rPr>
      </w:pPr>
    </w:p>
    <w:p>
      <w:pPr>
        <w:ind w:right="740" w:firstLine="637"/>
        <w:spacing w:after="0" w:line="246"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640" w:firstLine="637"/>
        <w:spacing w:after="0" w:line="246"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4"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months ended March 31, 2021 and March 31, 2020.</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80" w:type="dxa"/>
            <w:vAlign w:val="bottom"/>
            <w:tcBorders>
              <w:bottom w:val="single" w:sz="8" w:color="CFF0FC"/>
            </w:tcBorders>
            <w:vMerge w:val="continue"/>
          </w:tcPr>
          <w:p>
            <w:pPr>
              <w:spacing w:after="0"/>
              <w:rPr>
                <w:sz w:val="14"/>
                <w:szCs w:val="14"/>
                <w:color w:val="auto"/>
              </w:rPr>
            </w:pPr>
          </w:p>
        </w:tc>
        <w:tc>
          <w:tcPr>
            <w:tcW w:w="2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68,699</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60,496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Income Margin (2)</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 (3)</w:t>
            </w:r>
          </w:p>
        </w:tc>
        <w:tc>
          <w:tcPr>
            <w:tcW w:w="2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ind w:left="1000" w:hanging="62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76" w:lineRule="exact"/>
        <w:rPr>
          <w:rFonts w:ascii="Arial" w:cs="Arial" w:eastAsia="Arial" w:hAnsi="Arial"/>
          <w:sz w:val="18"/>
          <w:szCs w:val="18"/>
          <w:color w:val="auto"/>
        </w:rPr>
      </w:pPr>
    </w:p>
    <w:p>
      <w:pPr>
        <w:ind w:left="1000" w:hanging="62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44" w:lineRule="exact"/>
        <w:rPr>
          <w:rFonts w:ascii="Arial" w:cs="Arial" w:eastAsia="Arial" w:hAnsi="Arial"/>
          <w:sz w:val="18"/>
          <w:szCs w:val="18"/>
          <w:color w:val="auto"/>
        </w:rPr>
      </w:pPr>
    </w:p>
    <w:p>
      <w:pPr>
        <w:ind w:left="1000" w:hanging="62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33" w:name="page34"/>
    <w:bookmarkEnd w:id="33"/>
    <w:tbl>
      <w:tblPr>
        <w:tblLayout w:type="fixed"/>
        <w:tblInd w:w="58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552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FF0FC"/>
            </w:tcBorders>
          </w:tcPr>
          <w:p>
            <w:pPr>
              <w:spacing w:after="0"/>
              <w:rPr>
                <w:sz w:val="14"/>
                <w:szCs w:val="14"/>
                <w:color w:val="auto"/>
              </w:rPr>
            </w:pPr>
          </w:p>
        </w:tc>
      </w:tr>
      <w:tr>
        <w:trPr>
          <w:trHeight w:val="20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12,973</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32,409</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(7,721)</w:t>
            </w:r>
          </w:p>
        </w:tc>
      </w:tr>
      <w:tr>
        <w:trPr>
          <w:trHeight w:val="216"/>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Transaction-related costs (a)</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12,011</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40"/>
              <w:spacing w:after="0"/>
              <w:rPr>
                <w:sz w:val="20"/>
                <w:szCs w:val="20"/>
                <w:color w:val="auto"/>
              </w:rPr>
            </w:pPr>
            <w:r>
              <w:rPr>
                <w:rFonts w:ascii="Arial" w:cs="Arial" w:eastAsia="Arial" w:hAnsi="Arial"/>
                <w:sz w:val="18"/>
                <w:szCs w:val="18"/>
                <w:color w:val="auto"/>
              </w:rPr>
              <w:t>Restructuring (b)</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w:t>
            </w:r>
          </w:p>
        </w:tc>
        <w:tc>
          <w:tcPr>
            <w:tcW w:w="1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FF0FC"/>
          </w:tcPr>
          <w:p>
            <w:pPr>
              <w:spacing w:after="0"/>
              <w:rPr>
                <w:sz w:val="18"/>
                <w:szCs w:val="18"/>
                <w:color w:val="auto"/>
              </w:rPr>
            </w:pPr>
          </w:p>
        </w:tc>
      </w:tr>
      <w:tr>
        <w:trPr>
          <w:trHeight w:val="210"/>
        </w:trPr>
        <w:tc>
          <w:tcPr>
            <w:tcW w:w="55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68,699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60,496</w:t>
            </w: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28" w:lineRule="exact"/>
        <w:rPr>
          <w:sz w:val="20"/>
          <w:szCs w:val="20"/>
          <w:color w:val="auto"/>
        </w:rPr>
      </w:pPr>
    </w:p>
    <w:p>
      <w:pPr>
        <w:ind w:left="640" w:right="140" w:hanging="632"/>
        <w:spacing w:after="0" w:line="23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40" w:right="120" w:hanging="632"/>
        <w:spacing w:after="0" w:line="24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97" w:lineRule="exact"/>
        <w:rPr>
          <w:sz w:val="20"/>
          <w:szCs w:val="20"/>
          <w:color w:val="auto"/>
        </w:rPr>
      </w:pPr>
    </w:p>
    <w:p>
      <w:pPr>
        <w:ind w:right="160" w:firstLine="637"/>
        <w:spacing w:after="0" w:line="238"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202" w:lineRule="exact"/>
        <w:rPr>
          <w:sz w:val="20"/>
          <w:szCs w:val="20"/>
          <w:color w:val="auto"/>
        </w:rPr>
      </w:pPr>
    </w:p>
    <w:p>
      <w:pPr>
        <w:ind w:right="60" w:firstLine="637"/>
        <w:spacing w:after="0" w:line="235"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214" w:lineRule="exact"/>
        <w:rPr>
          <w:sz w:val="20"/>
          <w:szCs w:val="20"/>
          <w:color w:val="auto"/>
        </w:rPr>
      </w:pPr>
    </w:p>
    <w:p>
      <w:pPr>
        <w:ind w:right="240" w:firstLine="63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2021</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Dollar</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5240" w:type="dxa"/>
            <w:vAlign w:val="bottom"/>
          </w:tcPr>
          <w:p>
            <w:pPr>
              <w:spacing w:after="0"/>
              <w:rPr>
                <w:sz w:val="20"/>
                <w:szCs w:val="20"/>
                <w:color w:val="auto"/>
              </w:rPr>
            </w:pPr>
            <w:r>
              <w:rPr>
                <w:rFonts w:ascii="Arial" w:cs="Arial" w:eastAsia="Arial" w:hAnsi="Arial"/>
                <w:sz w:val="18"/>
                <w:szCs w:val="18"/>
                <w:color w:val="auto"/>
              </w:rPr>
              <w:t>Federal Solutions Adjusted EBITDA attributable to Parsons</w:t>
            </w:r>
          </w:p>
        </w:tc>
        <w:tc>
          <w:tcPr>
            <w:tcW w:w="4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8"/>
                <w:szCs w:val="18"/>
                <w:color w:val="auto"/>
              </w:rPr>
              <w:t>Corporation</w:t>
            </w:r>
          </w:p>
        </w:tc>
        <w:tc>
          <w:tcPr>
            <w:tcW w:w="820" w:type="dxa"/>
            <w:vAlign w:val="bottom"/>
            <w:gridSpan w:val="2"/>
          </w:tcPr>
          <w:p>
            <w:pPr>
              <w:jc w:val="right"/>
              <w:ind w:right="168"/>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31,982</w:t>
            </w:r>
          </w:p>
        </w:tc>
        <w:tc>
          <w:tcPr>
            <w:tcW w:w="240" w:type="dxa"/>
            <w:vAlign w:val="bottom"/>
          </w:tcPr>
          <w:p>
            <w:pPr>
              <w:spacing w:after="0"/>
              <w:rPr>
                <w:sz w:val="17"/>
                <w:szCs w:val="17"/>
                <w:color w:val="auto"/>
              </w:rPr>
            </w:pPr>
          </w:p>
        </w:tc>
        <w:tc>
          <w:tcPr>
            <w:tcW w:w="600" w:type="dxa"/>
            <w:vAlign w:val="bottom"/>
          </w:tcPr>
          <w:p>
            <w:pPr>
              <w:jc w:val="right"/>
              <w:ind w:right="416"/>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31,617</w:t>
            </w:r>
          </w:p>
        </w:tc>
        <w:tc>
          <w:tcPr>
            <w:tcW w:w="4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365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1.2%</w:t>
            </w: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Critical Infrastructure Adjusted EBITDA attributable to Parsons</w:t>
            </w:r>
          </w:p>
        </w:tc>
        <w:tc>
          <w:tcPr>
            <w:tcW w:w="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3"/>
        </w:trPr>
        <w:tc>
          <w:tcPr>
            <w:tcW w:w="52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Corporation</w:t>
            </w: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31,657</w:t>
            </w: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27,357</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4,300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15.7%</w:t>
            </w:r>
          </w:p>
        </w:tc>
      </w:tr>
      <w:tr>
        <w:trPr>
          <w:trHeight w:val="216"/>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4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w:t>
            </w:r>
          </w:p>
        </w:tc>
        <w:tc>
          <w:tcPr>
            <w:tcW w:w="24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232.5%</w:t>
            </w: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Adjusted EBITDA</w:t>
            </w:r>
          </w:p>
        </w:tc>
        <w:tc>
          <w:tcPr>
            <w:tcW w:w="8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68,699</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60,496</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w:t>
            </w: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413"/>
        </w:trPr>
        <w:tc>
          <w:tcPr>
            <w:tcW w:w="5240" w:type="dxa"/>
            <w:vAlign w:val="bottom"/>
          </w:tcPr>
          <w:p>
            <w:pPr>
              <w:spacing w:after="0"/>
              <w:rPr>
                <w:sz w:val="24"/>
                <w:szCs w:val="24"/>
                <w:color w:val="auto"/>
              </w:rPr>
            </w:pPr>
          </w:p>
        </w:tc>
        <w:tc>
          <w:tcPr>
            <w:tcW w:w="820" w:type="dxa"/>
            <w:vAlign w:val="bottom"/>
            <w:gridSpan w:val="2"/>
          </w:tcPr>
          <w:p>
            <w:pPr>
              <w:jc w:val="right"/>
              <w:ind w:right="268"/>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1"/>
        </w:trPr>
        <w:tc>
          <w:tcPr>
            <w:tcW w:w="5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34" w:name="page35"/>
    <w:bookmarkEnd w:id="34"/>
    <w:p>
      <w:pPr>
        <w:ind w:right="780" w:firstLine="637"/>
        <w:spacing w:after="0" w:line="246" w:lineRule="auto"/>
        <w:rPr>
          <w:sz w:val="20"/>
          <w:szCs w:val="20"/>
          <w:color w:val="auto"/>
        </w:rPr>
      </w:pPr>
      <w:r>
        <w:rPr>
          <w:rFonts w:ascii="Arial" w:cs="Arial" w:eastAsia="Arial" w:hAnsi="Arial"/>
          <w:sz w:val="18"/>
          <w:szCs w:val="18"/>
          <w:color w:val="auto"/>
        </w:rPr>
        <w:t>The following table sets forth our results of operations for the three months ended March 31, 2021 and March 31, 2020 as a percentage of revenue.</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31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r>
      <w:tr>
        <w:trPr>
          <w:trHeight w:val="169"/>
        </w:trPr>
        <w:tc>
          <w:tcPr>
            <w:tcW w:w="674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March 31, 2021</w:t>
            </w:r>
          </w:p>
        </w:tc>
        <w:tc>
          <w:tcPr>
            <w:tcW w:w="32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CFF0FC"/>
            </w:tcBorders>
          </w:tcPr>
          <w:p>
            <w:pPr>
              <w:spacing w:after="0"/>
              <w:rPr>
                <w:sz w:val="14"/>
                <w:szCs w:val="14"/>
                <w:color w:val="auto"/>
              </w:rPr>
            </w:pPr>
          </w:p>
        </w:tc>
      </w:tr>
      <w:tr>
        <w:trPr>
          <w:trHeight w:val="20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76.5%</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79.3%</w:t>
            </w: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0.9%</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r>
      <w:tr>
        <w:trPr>
          <w:trHeight w:val="20"/>
        </w:trPr>
        <w:tc>
          <w:tcPr>
            <w:tcW w:w="674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 (loss)</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r>
        <w:trPr>
          <w:trHeight w:val="20"/>
        </w:trPr>
        <w:tc>
          <w:tcPr>
            <w:tcW w:w="67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Interest income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income, net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gain associated with claim on long-term contract</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67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740" w:type="dxa"/>
            <w:vAlign w:val="bottom"/>
          </w:tcPr>
          <w:p>
            <w:pPr>
              <w:ind w:left="240"/>
              <w:spacing w:after="0"/>
              <w:rPr>
                <w:sz w:val="20"/>
                <w:szCs w:val="20"/>
                <w:color w:val="auto"/>
              </w:rPr>
            </w:pPr>
            <w:r>
              <w:rPr>
                <w:rFonts w:ascii="Arial" w:cs="Arial" w:eastAsia="Arial" w:hAnsi="Arial"/>
                <w:sz w:val="18"/>
                <w:szCs w:val="18"/>
                <w:color w:val="auto"/>
              </w:rPr>
              <w:t>Total other income (expense)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0"/>
        </w:trPr>
        <w:tc>
          <w:tcPr>
            <w:tcW w:w="674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before income tax expense</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r>
      <w:tr>
        <w:trPr>
          <w:trHeight w:val="20"/>
        </w:trPr>
        <w:tc>
          <w:tcPr>
            <w:tcW w:w="674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including noncontrolling interests</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0"/>
        </w:trPr>
        <w:tc>
          <w:tcPr>
            <w:tcW w:w="674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Parsons Corporation</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874,697</w:t>
            </w:r>
          </w:p>
        </w:tc>
        <w:tc>
          <w:tcPr>
            <w:tcW w:w="5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970,993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(96,296)</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644"/>
        <w:spacing w:after="0"/>
        <w:rPr>
          <w:sz w:val="20"/>
          <w:szCs w:val="20"/>
          <w:color w:val="auto"/>
        </w:rPr>
      </w:pPr>
      <w:r>
        <w:rPr>
          <w:rFonts w:ascii="Arial" w:cs="Arial" w:eastAsia="Arial" w:hAnsi="Arial"/>
          <w:sz w:val="18"/>
          <w:szCs w:val="18"/>
          <w:color w:val="auto"/>
        </w:rPr>
        <w:t>Revenue decreased $ 96.3 million for the three months ended March 31, 2021 when compared to the corresponding period last year, primarily due to a decrease in revenue in our Critical Infrastructure segment of $70.8 million and a decrease in our Federal Solutions segment of $25.5 million. See “Segment Results” below for a further discussion.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669,082</w:t>
            </w:r>
          </w:p>
        </w:tc>
        <w:tc>
          <w:tcPr>
            <w:tcW w:w="5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769,632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(100,550)</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Direct cost of contracts decreased $100.6 million for the three months ended March 31, 2021 when compared to the corresponding period last year, primarily due to decreases of $71.7 million in our Critical Infrastructure segment and $28.9 million in our Federal Solutions segment. The decrease in our Critical Infrastructure segment was primarily due to a decrease in business volume, particularly programs with high levels of pass-through costs reaching substantial completion. The decrease in our Federal Solutions segment was primarily due to a decrease in business volume.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tcBorders>
              <w:bottom w:val="single" w:sz="8" w:color="CFF0FC"/>
            </w:tcBorders>
            <w:vMerge w:val="continue"/>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2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w:t>
            </w:r>
          </w:p>
        </w:tc>
        <w:tc>
          <w:tcPr>
            <w:tcW w:w="860" w:type="dxa"/>
            <w:vAlign w:val="bottom"/>
            <w:gridSpan w:val="2"/>
            <w:shd w:val="clear" w:color="auto" w:fill="CFF0FC"/>
          </w:tcPr>
          <w:p>
            <w:pPr>
              <w:jc w:val="right"/>
              <w:ind w:right="4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432"/>
        </w:trPr>
        <w:tc>
          <w:tcPr>
            <w:tcW w:w="4780" w:type="dxa"/>
            <w:vAlign w:val="bottom"/>
          </w:tcPr>
          <w:p>
            <w:pPr>
              <w:spacing w:after="0"/>
              <w:rPr>
                <w:sz w:val="24"/>
                <w:szCs w:val="24"/>
                <w:color w:val="auto"/>
              </w:rPr>
            </w:pPr>
          </w:p>
        </w:tc>
        <w:tc>
          <w:tcPr>
            <w:tcW w:w="1240" w:type="dxa"/>
            <w:vAlign w:val="bottom"/>
            <w:gridSpan w:val="2"/>
          </w:tcPr>
          <w:p>
            <w:pPr>
              <w:jc w:val="right"/>
              <w:ind w:right="228"/>
              <w:spacing w:after="0"/>
              <w:rPr>
                <w:sz w:val="20"/>
                <w:szCs w:val="20"/>
                <w:color w:val="auto"/>
              </w:rPr>
            </w:pPr>
            <w:r>
              <w:rPr>
                <w:rFonts w:ascii="Arial" w:cs="Arial" w:eastAsia="Arial" w:hAnsi="Arial"/>
                <w:sz w:val="18"/>
                <w:szCs w:val="18"/>
                <w:color w:val="auto"/>
              </w:rPr>
              <w:t>33</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ind w:right="140" w:firstLine="637"/>
        <w:spacing w:after="0"/>
        <w:rPr>
          <w:sz w:val="20"/>
          <w:szCs w:val="20"/>
          <w:color w:val="auto"/>
        </w:rPr>
      </w:pPr>
      <w:r>
        <w:rPr>
          <w:rFonts w:ascii="Arial" w:cs="Arial" w:eastAsia="Arial" w:hAnsi="Arial"/>
          <w:sz w:val="18"/>
          <w:szCs w:val="18"/>
          <w:color w:val="auto"/>
        </w:rPr>
        <w:t>Equity in earnings of unconsolidated joint ventures increased $1.4 million for the three months ended March 31, 2021 compared to the corresponding period last year, primarily related to increased activity and margins in certain joint ventures, partially offset by reduction in activity on others.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187,522</w:t>
            </w:r>
          </w:p>
        </w:tc>
        <w:tc>
          <w:tcPr>
            <w:tcW w:w="5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183,774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637"/>
        <w:spacing w:after="0" w:line="246" w:lineRule="auto"/>
        <w:rPr>
          <w:sz w:val="20"/>
          <w:szCs w:val="20"/>
          <w:color w:val="auto"/>
        </w:rPr>
      </w:pPr>
      <w:r>
        <w:rPr>
          <w:rFonts w:ascii="Arial" w:cs="Arial" w:eastAsia="Arial" w:hAnsi="Arial"/>
          <w:sz w:val="18"/>
          <w:szCs w:val="18"/>
          <w:color w:val="auto"/>
        </w:rPr>
        <w:t>Selling, general and administrative expenses (“SG&amp;A”) for the three months ended March 31, 2021 and March 31, 2020 include $7.0 million and $(7.7) million, respectively, of compensation cost (income) related to equity-based awards.</w:t>
      </w:r>
    </w:p>
    <w:p>
      <w:pPr>
        <w:spacing w:after="0" w:line="197"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Equity awards issued prior to the Company’s IPO settle in cash and are remeasured to an updated fair value at each reporting period until the award is settled. Compensation cost is trued-up at each reporting period for changes in fair value pro-rated for the portion of the requisite service period rendered. Prior to the IPO on May 8, 2019, the fair value of a share of the Company’s common stock was established by the ESOP trustee. See “Note 19 – Fair Value of Financial Instruments” in the Company’s Form 10-K for the year ended December 31, 2020 for a further discussion of how a share of the Company’s common stock was valued prior to the IPO. Subsequent to the IPO, the share price of the Company’s common stock is based on quoted prices on the New York Stock Exchange.</w:t>
      </w:r>
    </w:p>
    <w:p>
      <w:pPr>
        <w:spacing w:after="0" w:line="205" w:lineRule="exact"/>
        <w:rPr>
          <w:sz w:val="20"/>
          <w:szCs w:val="20"/>
          <w:color w:val="auto"/>
        </w:rPr>
      </w:pPr>
    </w:p>
    <w:p>
      <w:pPr>
        <w:jc w:val="both"/>
        <w:ind w:right="360" w:firstLine="637"/>
        <w:spacing w:after="0" w:line="246" w:lineRule="auto"/>
        <w:rPr>
          <w:sz w:val="20"/>
          <w:szCs w:val="20"/>
          <w:color w:val="auto"/>
        </w:rPr>
      </w:pPr>
      <w:r>
        <w:rPr>
          <w:rFonts w:ascii="Arial" w:cs="Arial" w:eastAsia="Arial" w:hAnsi="Arial"/>
          <w:sz w:val="18"/>
          <w:szCs w:val="18"/>
          <w:color w:val="auto"/>
        </w:rPr>
        <w:t>Excluding the compensation costs discussed above, SG&amp;A for the three months ended March 31, 2021 and March 31, 2020 was $180.5 million and $191.5 million, respectively.</w:t>
      </w:r>
    </w:p>
    <w:p>
      <w:pPr>
        <w:spacing w:after="0" w:line="197" w:lineRule="exact"/>
        <w:rPr>
          <w:sz w:val="20"/>
          <w:szCs w:val="20"/>
          <w:color w:val="auto"/>
        </w:rPr>
      </w:pPr>
    </w:p>
    <w:p>
      <w:pPr>
        <w:jc w:val="both"/>
        <w:ind w:right="340" w:firstLine="637"/>
        <w:spacing w:after="0"/>
        <w:rPr>
          <w:sz w:val="20"/>
          <w:szCs w:val="20"/>
          <w:color w:val="auto"/>
        </w:rPr>
      </w:pPr>
      <w:r>
        <w:rPr>
          <w:rFonts w:ascii="Arial" w:cs="Arial" w:eastAsia="Arial" w:hAnsi="Arial"/>
          <w:sz w:val="18"/>
          <w:szCs w:val="18"/>
          <w:color w:val="auto"/>
        </w:rPr>
        <w:t>The decrease in SG&amp;A of $11.0 million, exclusive of equity compensation cost, for the three months ended March 31, 2021 when compared to the corresponding period last year was primarily due to a $9.7 million reduction in transaction-related costs and $3.1 million reduction in other costs. These decreases were partially offset by a $1.8 million increase in intangible asset amortization.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Variance</w:t>
            </w:r>
          </w:p>
        </w:tc>
        <w:tc>
          <w:tcPr>
            <w:tcW w:w="1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47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(4,541)</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(4,022)</w:t>
            </w: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(519)</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(1,791)</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(452)</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(1,339)</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ind w:left="260"/>
              <w:spacing w:after="0"/>
              <w:rPr>
                <w:sz w:val="20"/>
                <w:szCs w:val="20"/>
                <w:color w:val="auto"/>
              </w:rPr>
            </w:pPr>
            <w:r>
              <w:rPr>
                <w:rFonts w:ascii="Arial" w:cs="Arial" w:eastAsia="Arial" w:hAnsi="Arial"/>
                <w:sz w:val="18"/>
                <w:szCs w:val="18"/>
                <w:color w:val="auto"/>
              </w:rPr>
              <w:t>Total other income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(6,234)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(4,246)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(1,988)</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80" w:firstLine="637"/>
        <w:spacing w:after="0"/>
        <w:rPr>
          <w:sz w:val="20"/>
          <w:szCs w:val="20"/>
          <w:color w:val="auto"/>
        </w:rPr>
      </w:pPr>
      <w:r>
        <w:rPr>
          <w:rFonts w:ascii="Arial" w:cs="Arial" w:eastAsia="Arial" w:hAnsi="Arial"/>
          <w:sz w:val="18"/>
          <w:szCs w:val="18"/>
          <w:color w:val="auto"/>
        </w:rPr>
        <w:t>Interest income is related to interest earned on cash balances held. Interest expense is primarily due to debt related to our business acquisitions and Convertible Senior Note. The amounts in other income (expense), net are primarily related to transaction gains and losses on foreign currency transactions and sublease income.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Variance</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w:t>
            </w:r>
          </w:p>
        </w:tc>
        <w:tc>
          <w:tcPr>
            <w:tcW w:w="88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300" w:firstLine="637"/>
        <w:spacing w:after="0" w:line="238" w:lineRule="auto"/>
        <w:rPr>
          <w:sz w:val="20"/>
          <w:szCs w:val="20"/>
          <w:color w:val="auto"/>
        </w:rPr>
      </w:pPr>
      <w:r>
        <w:rPr>
          <w:rFonts w:ascii="Arial" w:cs="Arial" w:eastAsia="Arial" w:hAnsi="Arial"/>
          <w:sz w:val="18"/>
          <w:szCs w:val="18"/>
          <w:color w:val="auto"/>
        </w:rPr>
        <w:t>The Company’s effective tax rate was 27.7% and 26.1% and income tax expense was $5.4 million and $5.1 million for the three months ended March 31, 2021 and March 31, 2020, respectively. The most significant items contributing to the change in the effective tax rate relate to an increase of foreign losses which have no tax benefit and a settlement of a state tax audit. The difference between the statutory U.S. federal income tax rate of 21.0% and the effective tax rate for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6" w:name="page37"/>
    <w:bookmarkEnd w:id="36"/>
    <w:p>
      <w:pPr>
        <w:ind w:right="120"/>
        <w:spacing w:after="0" w:line="246" w:lineRule="auto"/>
        <w:rPr>
          <w:sz w:val="20"/>
          <w:szCs w:val="20"/>
          <w:color w:val="auto"/>
        </w:rPr>
      </w:pPr>
      <w:r>
        <w:rPr>
          <w:rFonts w:ascii="Arial" w:cs="Arial" w:eastAsia="Arial" w:hAnsi="Arial"/>
          <w:sz w:val="18"/>
          <w:szCs w:val="18"/>
          <w:color w:val="auto"/>
        </w:rPr>
        <w:t>the quarter ended March 31, 2021 primarily relates to state income taxes and a recorded valuation allowance on foreign tax credits, partially offset by benefits related to income attributable to noncontrolling interest and federal research tax credits.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234" w:lineRule="exact"/>
        <w:rPr>
          <w:sz w:val="20"/>
          <w:szCs w:val="20"/>
          <w:color w:val="auto"/>
        </w:rPr>
      </w:pPr>
    </w:p>
    <w:p>
      <w:pPr>
        <w:ind w:right="680" w:firstLine="637"/>
        <w:spacing w:after="0" w:line="246"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8" w:lineRule="exact"/>
        <w:rPr>
          <w:sz w:val="20"/>
          <w:szCs w:val="20"/>
          <w:color w:val="auto"/>
        </w:rPr>
      </w:pPr>
    </w:p>
    <w:p>
      <w:pPr>
        <w:jc w:val="both"/>
        <w:ind w:right="160"/>
        <w:spacing w:after="0" w:line="243"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201" w:lineRule="exact"/>
        <w:rPr>
          <w:sz w:val="20"/>
          <w:szCs w:val="20"/>
          <w:color w:val="auto"/>
        </w:rPr>
      </w:pPr>
    </w:p>
    <w:p>
      <w:pPr>
        <w:ind w:right="240" w:firstLine="63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10"/>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 Corporation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31,982</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Critical Infrastructure Adjusted EBITDA attributable to Parsons Corporation</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31,657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68,699</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Solutions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9"/>
              </w:rPr>
              <w:t>Variance</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452,069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477,571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(25,502)</w:t>
            </w:r>
          </w:p>
        </w:tc>
        <w:tc>
          <w:tcPr>
            <w:tcW w:w="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31,982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31,617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37"/>
        <w:spacing w:after="0" w:line="246" w:lineRule="auto"/>
        <w:rPr>
          <w:sz w:val="20"/>
          <w:szCs w:val="20"/>
          <w:color w:val="auto"/>
        </w:rPr>
      </w:pPr>
      <w:r>
        <w:rPr>
          <w:rFonts w:ascii="Arial" w:cs="Arial" w:eastAsia="Arial" w:hAnsi="Arial"/>
          <w:sz w:val="18"/>
          <w:szCs w:val="18"/>
          <w:color w:val="auto"/>
        </w:rPr>
        <w:t>The decrease in Federal Solutions revenue for the three months ended March 31, 2021 compared to the corresponding periods last year was primarily due to a decrease in business volume.</w:t>
      </w:r>
    </w:p>
    <w:p>
      <w:pPr>
        <w:spacing w:after="0" w:line="197"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The increase in Federal Solutions Adjusted EBITDA attributable to Parsons Corporation for the three months ended March 31, 2021 compared to the corresponding period last year was primarily related to higher profits margins and acquisitions, offset by lower business volume.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Variance</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422,628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493,422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(70,794)</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31,657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27,357</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4,300</w:t>
            </w:r>
          </w:p>
        </w:tc>
        <w:tc>
          <w:tcPr>
            <w:tcW w:w="2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637"/>
        <w:spacing w:after="0" w:line="246" w:lineRule="auto"/>
        <w:rPr>
          <w:sz w:val="20"/>
          <w:szCs w:val="20"/>
          <w:color w:val="auto"/>
        </w:rPr>
      </w:pPr>
      <w:r>
        <w:rPr>
          <w:rFonts w:ascii="Arial" w:cs="Arial" w:eastAsia="Arial" w:hAnsi="Arial"/>
          <w:sz w:val="18"/>
          <w:szCs w:val="18"/>
          <w:color w:val="auto"/>
        </w:rPr>
        <w:t>The decrease in Critical Infrastructure revenue for the three months ended March 31, 2021 compared to the corresponding periods last year was primarily due to a decrease in business volume on contracts with pass-through revenue.</w:t>
      </w:r>
    </w:p>
    <w:p>
      <w:pPr>
        <w:spacing w:after="0" w:line="197" w:lineRule="exact"/>
        <w:rPr>
          <w:sz w:val="20"/>
          <w:szCs w:val="20"/>
          <w:color w:val="auto"/>
        </w:rPr>
      </w:pPr>
    </w:p>
    <w:p>
      <w:pPr>
        <w:ind w:right="120" w:firstLine="637"/>
        <w:spacing w:after="0"/>
        <w:rPr>
          <w:sz w:val="20"/>
          <w:szCs w:val="20"/>
          <w:color w:val="auto"/>
        </w:rPr>
      </w:pPr>
      <w:r>
        <w:rPr>
          <w:rFonts w:ascii="Arial" w:cs="Arial" w:eastAsia="Arial" w:hAnsi="Arial"/>
          <w:sz w:val="18"/>
          <w:szCs w:val="18"/>
          <w:color w:val="auto"/>
        </w:rPr>
        <w:t>The increase in Adjusted EBITDA attributable to Parsons Corporation in Critical Infrastructure for the three months ended March 31, 2021 was primarily related to a decrease in SG&amp;A, an increase in contract profitability and an increase in equity in earnings of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180" w:firstLine="637"/>
        <w:spacing w:after="0" w:line="246" w:lineRule="auto"/>
        <w:rPr>
          <w:sz w:val="20"/>
          <w:szCs w:val="20"/>
          <w:color w:val="auto"/>
        </w:rPr>
      </w:pPr>
      <w:r>
        <w:rPr>
          <w:rFonts w:ascii="Arial" w:cs="Arial" w:eastAsia="Arial" w:hAnsi="Arial"/>
          <w:sz w:val="18"/>
          <w:szCs w:val="18"/>
          <w:color w:val="auto"/>
        </w:rPr>
        <w:t>We finance our operations and capital expenditures through a combination of internally generated cash from operations, our Senior Notes, Convertible Senior Notes, and periodic borrowings under our Revolving Credit Facility.</w:t>
      </w:r>
    </w:p>
    <w:p>
      <w:pPr>
        <w:spacing w:after="0" w:line="197"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205" w:lineRule="exact"/>
        <w:rPr>
          <w:sz w:val="20"/>
          <w:szCs w:val="20"/>
          <w:color w:val="auto"/>
        </w:rPr>
      </w:pPr>
    </w:p>
    <w:p>
      <w:pPr>
        <w:jc w:val="both"/>
        <w:ind w:right="180" w:firstLine="637"/>
        <w:spacing w:after="0" w:line="238" w:lineRule="auto"/>
        <w:rPr>
          <w:sz w:val="20"/>
          <w:szCs w:val="20"/>
          <w:color w:val="auto"/>
        </w:rPr>
      </w:pPr>
      <w:r>
        <w:rPr>
          <w:rFonts w:ascii="Arial" w:cs="Arial" w:eastAsia="Arial" w:hAnsi="Arial"/>
          <w:sz w:val="18"/>
          <w:szCs w:val="18"/>
          <w:color w:val="auto"/>
        </w:rPr>
        <w:t>As of March 31, 2021,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We do not anticipate that the COVID-19 pandemic-related economic impacts will impair our ability to continue to maintain compliance with our debt covenants or access available borrowing capacity from our banks.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203"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71 days at March 31, 2021 and 64 days at March 31, 2020. Our working capital (current assets less current liabilities) was $691.5 million at March 31, 2021 and $655.7 million at December 31, 2020.</w:t>
      </w:r>
    </w:p>
    <w:p>
      <w:pPr>
        <w:spacing w:after="0" w:line="208"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Our cash, cash equivalents and restricted cash decreased by $87.8 million to $399.4 million at March 31, 2021 from $487.2 million at December 31, 2020.</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5"/>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(65,965)</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(118,983)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(11,045)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(12,202)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(11,224)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63,712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(87,804)</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(68,652)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bottom w:val="single" w:sz="8" w:color="CFF0FC"/>
            </w:tcBorders>
            <w:vMerge w:val="restart"/>
          </w:tcPr>
          <w:p>
            <w:pPr>
              <w:jc w:val="right"/>
              <w:ind w:right="1610"/>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2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ind w:right="120" w:firstLine="637"/>
        <w:spacing w:after="0" w:line="237" w:lineRule="auto"/>
        <w:rPr>
          <w:sz w:val="20"/>
          <w:szCs w:val="20"/>
          <w:color w:val="auto"/>
        </w:rPr>
      </w:pPr>
      <w:r>
        <w:rPr>
          <w:rFonts w:ascii="Arial" w:cs="Arial" w:eastAsia="Arial" w:hAnsi="Arial"/>
          <w:sz w:val="18"/>
          <w:szCs w:val="18"/>
          <w:color w:val="auto"/>
        </w:rPr>
        <w:t>Net cash used in operating activities consists primarily of net income (loss) adjusted for noncash items, such as: equity in earnings (loss)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97" w:lineRule="exact"/>
        <w:rPr>
          <w:sz w:val="20"/>
          <w:szCs w:val="20"/>
          <w:color w:val="auto"/>
        </w:rPr>
      </w:pPr>
    </w:p>
    <w:p>
      <w:pPr>
        <w:ind w:right="420" w:firstLine="637"/>
        <w:spacing w:after="0" w:line="238" w:lineRule="auto"/>
        <w:rPr>
          <w:sz w:val="20"/>
          <w:szCs w:val="20"/>
          <w:color w:val="auto"/>
        </w:rPr>
      </w:pPr>
      <w:r>
        <w:rPr>
          <w:rFonts w:ascii="Arial" w:cs="Arial" w:eastAsia="Arial" w:hAnsi="Arial"/>
          <w:sz w:val="18"/>
          <w:szCs w:val="18"/>
          <w:color w:val="auto"/>
        </w:rPr>
        <w:t>Net cash used in operating activities decreased $53.0 million for the three months ended March 31, 2021 compared to the three months ended March 31, 2020. The change in net cash used in operating activities is from a $6.9 million increase in net income after adjusting for non-cash items, a $23.8 million change in other long-term liabilities, and a $22.3 million decrease in cash outflows from our working capital accounts (primarily from accounts receivable and contract liabilities offset by accrued expenses, accounts payable and contract assets).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97"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Net cash used in investing activities decreased $1.2 million for the three months ended March 31, 2021, when compared to the three months ended March 31, 2020, primarily due to a decrease in cash used for capital expenditures of $8.2 million, offset by proceeds from sale of investments in unconsolidated joint ventures, net of return of investments in unconsolidated joint ventures of $7.8 million. The Company had no business acquisitions during the three months ended March 31, 2021 and March 31,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right="120" w:firstLine="637"/>
        <w:spacing w:after="0" w:line="246" w:lineRule="auto"/>
        <w:rPr>
          <w:sz w:val="20"/>
          <w:szCs w:val="20"/>
          <w:color w:val="auto"/>
        </w:rPr>
      </w:pPr>
      <w:r>
        <w:rPr>
          <w:rFonts w:ascii="Arial" w:cs="Arial" w:eastAsia="Arial" w:hAnsi="Arial"/>
          <w:sz w:val="18"/>
          <w:szCs w:val="18"/>
          <w:color w:val="auto"/>
        </w:rPr>
        <w:t>Net cash provided by financing activities is primarily associated with proceeds from debt, the repayment thereof, and distributions to noncontrolling interests.</w:t>
      </w:r>
    </w:p>
    <w:p>
      <w:pPr>
        <w:spacing w:after="0" w:line="197" w:lineRule="exact"/>
        <w:rPr>
          <w:sz w:val="20"/>
          <w:szCs w:val="20"/>
          <w:color w:val="auto"/>
        </w:rPr>
      </w:pPr>
    </w:p>
    <w:p>
      <w:pPr>
        <w:jc w:val="both"/>
        <w:ind w:right="20" w:firstLine="637"/>
        <w:spacing w:after="0"/>
        <w:rPr>
          <w:sz w:val="20"/>
          <w:szCs w:val="20"/>
          <w:color w:val="auto"/>
        </w:rPr>
      </w:pPr>
      <w:r>
        <w:rPr>
          <w:rFonts w:ascii="Arial" w:cs="Arial" w:eastAsia="Arial" w:hAnsi="Arial"/>
          <w:sz w:val="18"/>
          <w:szCs w:val="18"/>
          <w:color w:val="auto"/>
        </w:rPr>
        <w:t>Net cash provided by financing activities decreased $74.9 million for the three months ended March 31, 2021 compared to the three months ended March 31, 2020. The change in cash flows from financing activities is primarily due to no borrowings and larger distributions to noncontrolling interests.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26" w:lineRule="exact"/>
        <w:rPr>
          <w:sz w:val="20"/>
          <w:szCs w:val="20"/>
          <w:color w:val="auto"/>
        </w:rPr>
      </w:pPr>
    </w:p>
    <w:p>
      <w:pPr>
        <w:ind w:right="120" w:firstLine="637"/>
        <w:spacing w:after="0"/>
        <w:rPr>
          <w:sz w:val="20"/>
          <w:szCs w:val="20"/>
          <w:color w:val="auto"/>
        </w:rPr>
      </w:pPr>
      <w:r>
        <w:rPr>
          <w:rFonts w:ascii="Arial" w:cs="Arial" w:eastAsia="Arial" w:hAnsi="Arial"/>
          <w:sz w:val="18"/>
          <w:szCs w:val="18"/>
          <w:color w:val="auto"/>
        </w:rPr>
        <w:t>We also have in place several secondary bank credit lines for issuing letters of credit, principally for foreign contracts, to support performance and completion guarantees. Letters of credit commitments outstanding under these bank lines aggregated $203.9 million as of March 31, 2021. Letters of credit outstanding under the Credit Agreement total $45.3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right="1300" w:firstLine="637"/>
        <w:spacing w:after="0" w:line="246" w:lineRule="auto"/>
        <w:rPr>
          <w:sz w:val="20"/>
          <w:szCs w:val="20"/>
          <w:color w:val="auto"/>
        </w:rPr>
      </w:pPr>
      <w:r>
        <w:rPr>
          <w:rFonts w:ascii="Arial" w:cs="Arial" w:eastAsia="Arial" w:hAnsi="Arial"/>
          <w:sz w:val="18"/>
          <w:szCs w:val="18"/>
          <w:color w:val="auto"/>
        </w:rPr>
        <w:t>See the information set forth in “Note 3—Summary of Significant Accounting Policies—Recently Adopted Accounting Pronouncements” in the notes to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26" w:lineRule="exact"/>
        <w:rPr>
          <w:sz w:val="20"/>
          <w:szCs w:val="20"/>
          <w:color w:val="auto"/>
        </w:rPr>
      </w:pPr>
    </w:p>
    <w:p>
      <w:pPr>
        <w:ind w:right="260" w:firstLine="637"/>
        <w:spacing w:after="0"/>
        <w:rPr>
          <w:sz w:val="20"/>
          <w:szCs w:val="20"/>
          <w:color w:val="auto"/>
        </w:rPr>
      </w:pPr>
      <w:r>
        <w:rPr>
          <w:rFonts w:ascii="Arial" w:cs="Arial" w:eastAsia="Arial" w:hAnsi="Arial"/>
          <w:sz w:val="18"/>
          <w:szCs w:val="18"/>
          <w:color w:val="auto"/>
        </w:rPr>
        <w:t>As of March 31, 2021,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right="180" w:firstLine="637"/>
        <w:spacing w:after="0" w:line="237" w:lineRule="auto"/>
        <w:rPr>
          <w:sz w:val="20"/>
          <w:szCs w:val="20"/>
          <w:color w:val="auto"/>
        </w:rPr>
      </w:pPr>
      <w:r>
        <w:rPr>
          <w:rFonts w:ascii="Arial" w:cs="Arial" w:eastAsia="Arial" w:hAnsi="Arial"/>
          <w:sz w:val="18"/>
          <w:szCs w:val="18"/>
          <w:color w:val="auto"/>
        </w:rPr>
        <w:t>We are exposed to interest rate risks related to the Company’s Revolving Credit Facility. As of March 31, 2021, there were no amounts outstanding under the Revolving Credit Facility. Borrowings under the Credit Facility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March 31, 2021 and December 31, 2020 were 1.86% and 1.87%,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6"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26" w:lineRule="exact"/>
        <w:rPr>
          <w:sz w:val="20"/>
          <w:szCs w:val="20"/>
          <w:color w:val="auto"/>
        </w:rPr>
      </w:pPr>
    </w:p>
    <w:p>
      <w:pPr>
        <w:ind w:right="60" w:firstLine="637"/>
        <w:spacing w:after="0" w:line="236" w:lineRule="auto"/>
        <w:rPr>
          <w:sz w:val="20"/>
          <w:szCs w:val="20"/>
          <w:color w:val="auto"/>
        </w:rPr>
      </w:pPr>
      <w:r>
        <w:rPr>
          <w:rFonts w:ascii="Arial" w:cs="Arial" w:eastAsia="Arial" w:hAnsi="Arial"/>
          <w:sz w:val="18"/>
          <w:szCs w:val="18"/>
          <w:color w:val="auto"/>
        </w:rPr>
        <w:t>Our management carried out, as of March 31, 2021,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March 31, 2021,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9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During the first quarter of 2021, there were no changes to our internal control over financial reporting that have materially affected, or are reasonably likely to materially affect, our internal control over financial reporting.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right="460" w:firstLine="637"/>
        <w:spacing w:after="0" w:line="246"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ind w:right="240" w:firstLine="637"/>
        <w:spacing w:after="0"/>
        <w:rPr>
          <w:sz w:val="20"/>
          <w:szCs w:val="20"/>
          <w:color w:val="auto"/>
        </w:rPr>
      </w:pPr>
      <w:r>
        <w:rPr>
          <w:rFonts w:ascii="Arial" w:cs="Arial" w:eastAsia="Arial" w:hAnsi="Arial"/>
          <w:sz w:val="18"/>
          <w:szCs w:val="18"/>
          <w:color w:val="auto"/>
        </w:rPr>
        <w:t>There have been no material changes from our Risk Factors disclosed in the Company’s Form 10-K for the year ended December 31, 2020 other than as set forth below. See also our updates for the COVID-19 pandemic included in Management’s Discussion and Analysis of Financial Condition and Results of Operations of this Form 10-Q.</w:t>
      </w:r>
    </w:p>
    <w:p>
      <w:pPr>
        <w:spacing w:after="0" w:line="18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Our business, results of operations, financial condition, cash flows and stock price can be adversely affected by pandemics, epidemics or other public health emergencies, such as the recent outbreak of COVID-19.</w:t>
      </w:r>
    </w:p>
    <w:p>
      <w:pPr>
        <w:spacing w:after="0" w:line="68"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Our business, results of operations, financial condition, cash flows and stock price can be adversely affected by pandemics, epidemics or other public health emergencies, such as the recent outbreak of COVID-19 which has spread from China to many other countries including the United States. In March 2020, the World Health Organization characterized COVID-19 as a pandemic, and the President of the United States declared the COVID-19 outbreak a national emergency. The outbreak has resulted in governments around the world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95"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Although we have continued our operations consistent with federal guidelines and state and local orders, the outbreak of COVID-19 and any preventive or protective actions taken by governmental authorities may have a material adverse effect on our operations, employees and customers, including business shutdowns or disruptions. The extent to which COVID-19 may adversely impact our business depends on future developments, which are highly uncertain and unpredictable, depending upon the severity and duration of the outbreak and the effectiveness of actions taken globally to contain or mitigate its effects. Any resulting financial impact cannot be estimated reasonably at this time but may materially adversely affect our ability to collect accounts receivables and our business, results of operations, financial condition and cash flows. Even after the COVID-19 pandemic has subsided, we may experience materially adverse impacts to our business due to any resulting economic recession or depression. Additionally, concerns over the economic impact of COVID-19 have caused extreme volatility in financial and other capital markets which has and may continue to adversely impact our stock price and our ability to access capital markets. To the extent the COVID-19 pandemic adversely affects our business and financial results, it may also have the effect of heightening many of the other risks described in our Form 10-K for the year ended December 31, 2020, such as those relating to government spending and priorities.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ind w:right="96"/>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8000" w:type="dxa"/>
            <w:vAlign w:val="bottom"/>
            <w:tcBorders>
              <w:bottom w:val="single" w:sz="8" w:color="auto"/>
            </w:tcBorders>
            <w:gridSpan w:val="5"/>
          </w:tcPr>
          <w:p>
            <w:pPr>
              <w:ind w:left="246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Certification of Principal Executive Officer Pursuant to Rules 13a-14(a) and 15d-14(a) under the Securities Exchange Act of 1934,</w:t>
              </w:r>
            </w:hyperlink>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as Adopted Pursuant to Section 302 of the Sarbanes-Oxley Act of 2002.</w:t>
              </w:r>
            </w:hyperlink>
          </w:p>
        </w:tc>
        <w:tc>
          <w:tcPr>
            <w:tcW w:w="4560" w:type="dxa"/>
            <w:vAlign w:val="bottom"/>
            <w:gridSpan w:val="4"/>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4"/>
                <w:szCs w:val="24"/>
                <w:color w:val="auto"/>
              </w:rPr>
            </w:pPr>
          </w:p>
        </w:tc>
        <w:tc>
          <w:tcPr>
            <w:tcW w:w="102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Certification of Principal Financial Officer Pursuant to Rules 13a-14(a) and 15d-14(a) under the Securities Exchange Act of 1934,</w:t>
              </w:r>
            </w:hyperlink>
          </w:p>
        </w:tc>
        <w:tc>
          <w:tcPr>
            <w:tcW w:w="60" w:type="dxa"/>
            <w:vAlign w:val="bottom"/>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as Adopted Pursuant to Section 302 of the Sarbanes-Oxley Act of 2002.</w:t>
              </w:r>
            </w:hyperlink>
          </w:p>
        </w:tc>
        <w:tc>
          <w:tcPr>
            <w:tcW w:w="4560" w:type="dxa"/>
            <w:vAlign w:val="bottom"/>
            <w:gridSpan w:val="4"/>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96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Certification of Principal Executive Officer Pursuant to 18 U.S.C. Section 1350, as Adopted Pursuant to Section 906 of the</w:t>
              </w:r>
            </w:hyperlink>
          </w:p>
        </w:tc>
        <w:tc>
          <w:tcPr>
            <w:tcW w:w="620" w:type="dxa"/>
            <w:vAlign w:val="bottom"/>
            <w:gridSpan w:val="2"/>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Sarbanes-Oxley Act of 2002.</w:t>
              </w:r>
            </w:hyperlink>
          </w:p>
        </w:tc>
        <w:tc>
          <w:tcPr>
            <w:tcW w:w="8000" w:type="dxa"/>
            <w:vAlign w:val="bottom"/>
            <w:gridSpan w:val="5"/>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962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Certification of Principal Financial Officer Pursuant to 18 U.S.C. Section 1350, as Adopted Pursuant to Section 906 of the</w:t>
              </w:r>
            </w:hyperlink>
          </w:p>
        </w:tc>
        <w:tc>
          <w:tcPr>
            <w:tcW w:w="680" w:type="dxa"/>
            <w:vAlign w:val="bottom"/>
            <w:gridSpan w:val="3"/>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Sarbanes-Oxley Act of 2002.</w:t>
              </w:r>
            </w:hyperlink>
          </w:p>
        </w:tc>
        <w:tc>
          <w:tcPr>
            <w:tcW w:w="8000" w:type="dxa"/>
            <w:vAlign w:val="bottom"/>
            <w:gridSpan w:val="5"/>
          </w:tcPr>
          <w:p>
            <w:pPr>
              <w:spacing w:after="0"/>
              <w:rPr>
                <w:sz w:val="15"/>
                <w:szCs w:val="15"/>
                <w:color w:val="auto"/>
              </w:rPr>
            </w:pPr>
          </w:p>
        </w:tc>
      </w:tr>
    </w:tbl>
    <w:p>
      <w:pPr>
        <w:spacing w:after="0" w:line="134" w:lineRule="exact"/>
        <w:rPr>
          <w:sz w:val="20"/>
          <w:szCs w:val="20"/>
          <w:color w:val="auto"/>
        </w:rPr>
      </w:pPr>
    </w:p>
    <w:p>
      <w:pPr>
        <w:ind w:left="940" w:right="40" w:hanging="932"/>
        <w:spacing w:after="0" w:line="257" w:lineRule="auto"/>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March 31, 2021,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94" w:lineRule="exact"/>
        <w:rPr>
          <w:sz w:val="20"/>
          <w:szCs w:val="20"/>
          <w:color w:val="auto"/>
        </w:rPr>
      </w:pPr>
    </w:p>
    <w:p>
      <w:pPr>
        <w:ind w:left="940" w:right="80" w:hanging="932"/>
        <w:spacing w:after="0" w:line="246" w:lineRule="auto"/>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860" w:val="left"/>
          <w:tab w:leader="none" w:pos="8040" w:val="left"/>
        </w:tabs>
        <w:rPr>
          <w:sz w:val="20"/>
          <w:szCs w:val="20"/>
          <w:color w:val="auto"/>
        </w:rPr>
      </w:pPr>
      <w:r>
        <w:rPr>
          <w:rFonts w:ascii="Arial" w:cs="Arial" w:eastAsia="Arial" w:hAnsi="Arial"/>
          <w:sz w:val="18"/>
          <w:szCs w:val="18"/>
          <w:color w:val="auto"/>
        </w:rPr>
        <w:t>Date: 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-1905</wp:posOffset>
            </wp:positionV>
            <wp:extent cx="31629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25"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George L. Ball</w:t>
      </w: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320" w:top="549" w:right="5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Charles L. Harrington, certify that:</w:t>
      </w:r>
    </w:p>
    <w:p>
      <w:pPr>
        <w:spacing w:after="0" w:line="212"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20" w:right="6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1" w:lineRule="exact"/>
        <w:rPr>
          <w:rFonts w:ascii="Arial" w:cs="Arial" w:eastAsia="Arial" w:hAnsi="Arial"/>
          <w:sz w:val="18"/>
          <w:szCs w:val="18"/>
          <w:color w:val="auto"/>
        </w:rPr>
      </w:pPr>
    </w:p>
    <w:p>
      <w:pPr>
        <w:ind w:left="1040" w:right="28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1" w:lineRule="exact"/>
        <w:rPr>
          <w:rFonts w:ascii="Arial" w:cs="Arial" w:eastAsia="Arial" w:hAnsi="Arial"/>
          <w:sz w:val="18"/>
          <w:szCs w:val="18"/>
          <w:color w:val="auto"/>
        </w:rPr>
      </w:pPr>
    </w:p>
    <w:p>
      <w:pPr>
        <w:ind w:left="1040" w:right="26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1" w:lineRule="exact"/>
        <w:rPr>
          <w:rFonts w:ascii="Arial" w:cs="Arial" w:eastAsia="Arial" w:hAnsi="Arial"/>
          <w:sz w:val="18"/>
          <w:szCs w:val="18"/>
          <w:color w:val="auto"/>
        </w:rPr>
      </w:pPr>
    </w:p>
    <w:p>
      <w:pPr>
        <w:jc w:val="both"/>
        <w:ind w:left="1040" w:right="20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1" w:lineRule="exact"/>
        <w:rPr>
          <w:rFonts w:ascii="Arial" w:cs="Arial" w:eastAsia="Arial" w:hAnsi="Arial"/>
          <w:sz w:val="18"/>
          <w:szCs w:val="18"/>
          <w:color w:val="auto"/>
        </w:rPr>
      </w:pPr>
    </w:p>
    <w:p>
      <w:pPr>
        <w:ind w:left="1040" w:right="2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1" w:lineRule="exact"/>
        <w:rPr>
          <w:rFonts w:ascii="Arial" w:cs="Arial" w:eastAsia="Arial" w:hAnsi="Arial"/>
          <w:sz w:val="18"/>
          <w:szCs w:val="18"/>
          <w:color w:val="auto"/>
        </w:rPr>
      </w:pPr>
    </w:p>
    <w:p>
      <w:pPr>
        <w:ind w:left="520" w:right="26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20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20" w:hanging="519"/>
        <w:spacing w:after="0" w:line="246"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 w:leader="none" w:pos="8180" w:val="left"/>
        </w:tabs>
        <w:rPr>
          <w:sz w:val="20"/>
          <w:szCs w:val="20"/>
          <w:color w:val="auto"/>
        </w:rPr>
      </w:pPr>
      <w:r>
        <w:rPr>
          <w:rFonts w:ascii="Arial" w:cs="Arial" w:eastAsia="Arial" w:hAnsi="Arial"/>
          <w:sz w:val="18"/>
          <w:szCs w:val="18"/>
          <w:color w:val="auto"/>
        </w:rPr>
        <w:t>Date: 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6314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Charles L. Harrington</w:t>
      </w:r>
    </w:p>
    <w:p>
      <w:pPr>
        <w:spacing w:after="0" w:line="3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George L. Ball, certify that:</w:t>
      </w:r>
    </w:p>
    <w:p>
      <w:pPr>
        <w:spacing w:after="0" w:line="212"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20" w:right="6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ind w:left="1040" w:right="28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left="1040" w:right="26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1040" w:right="20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40" w:right="2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20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20" w:hanging="519"/>
        <w:spacing w:after="0" w:line="246"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 w:leader="none" w:pos="8460" w:val="left"/>
        </w:tabs>
        <w:rPr>
          <w:sz w:val="20"/>
          <w:szCs w:val="20"/>
          <w:color w:val="auto"/>
        </w:rPr>
      </w:pPr>
      <w:r>
        <w:rPr>
          <w:rFonts w:ascii="Arial" w:cs="Arial" w:eastAsia="Arial" w:hAnsi="Arial"/>
          <w:sz w:val="18"/>
          <w:szCs w:val="18"/>
          <w:color w:val="auto"/>
        </w:rPr>
        <w:t>Date: 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6314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George L. Ball</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ind w:right="160" w:firstLine="526"/>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2021 as filed with the Securities and Exchange Commission on the date hereof (the “Report”), I, Charles L. Harrington, Chief Executive Officer of the Company, certify, pursuant to 18 U.S.C. § 1350, as adopted pursuant to § 906 of the Sarbanes-Oxley Act of 2002, that:</w:t>
      </w:r>
    </w:p>
    <w:p>
      <w:pPr>
        <w:spacing w:after="0" w:line="203"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40" w:right="20" w:hanging="519"/>
        <w:spacing w:after="0" w:line="246"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180" w:val="left"/>
          <w:tab w:leader="none" w:pos="7880" w:val="left"/>
        </w:tabs>
        <w:rPr>
          <w:sz w:val="20"/>
          <w:szCs w:val="20"/>
          <w:color w:val="auto"/>
        </w:rPr>
      </w:pPr>
      <w:r>
        <w:rPr>
          <w:rFonts w:ascii="Arial" w:cs="Arial" w:eastAsia="Arial" w:hAnsi="Arial"/>
          <w:sz w:val="18"/>
          <w:szCs w:val="18"/>
          <w:color w:val="auto"/>
        </w:rPr>
        <w:t>Date: 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-1905</wp:posOffset>
            </wp:positionV>
            <wp:extent cx="30086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Charles L. Harrington</w:t>
      </w:r>
    </w:p>
    <w:p>
      <w:pPr>
        <w:ind w:left="7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80" w:firstLine="526"/>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180" w:firstLine="510"/>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2021 as filed with the Securities and Exchange Commission on the date hereof (the “Report”), I, George L. Ball, Chief Financial Officer of the Company, certify, pursuant to 18 U.S.C. § 1350, as adopted pursuant to § 906 of the Sarbanes-Oxley Act of 2002, that:</w:t>
      </w:r>
    </w:p>
    <w:p>
      <w:pPr>
        <w:spacing w:after="0" w:line="203"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00" w:right="60" w:hanging="493"/>
        <w:spacing w:after="0" w:line="246"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180" w:val="left"/>
          <w:tab w:leader="none" w:pos="8160" w:val="left"/>
        </w:tabs>
        <w:rPr>
          <w:sz w:val="20"/>
          <w:szCs w:val="20"/>
          <w:color w:val="auto"/>
        </w:rPr>
      </w:pPr>
      <w:r>
        <w:rPr>
          <w:rFonts w:ascii="Arial" w:cs="Arial" w:eastAsia="Arial" w:hAnsi="Arial"/>
          <w:sz w:val="18"/>
          <w:szCs w:val="18"/>
          <w:color w:val="auto"/>
        </w:rPr>
        <w:t>Date: 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-1905</wp:posOffset>
            </wp:positionV>
            <wp:extent cx="30086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5"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George L. Ball</w:t>
      </w:r>
    </w:p>
    <w:p>
      <w:pPr>
        <w:jc w:val="center"/>
        <w:ind w:left="64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00" w:firstLine="510"/>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lowerLetter"/>
      <w:start w:val="4"/>
    </w:lvl>
  </w:abstractNum>
  <w:abstractNum w:abstractNumId="9">
    <w:nsid w:val="8EDBDAB"/>
    <w:multiLevelType w:val="hybridMultilevel"/>
    <w:lvl w:ilvl="0">
      <w:lvlJc w:val="left"/>
      <w:lvlText w:val="%1."/>
      <w:numFmt w:val="decimal"/>
      <w:start w:val="6"/>
    </w:lvl>
  </w:abstractNum>
  <w:abstractNum w:abstractNumId="10">
    <w:nsid w:val="79838CB2"/>
    <w:multiLevelType w:val="hybridMultilevel"/>
    <w:lvl w:ilvl="0">
      <w:lvlJc w:val="left"/>
      <w:lvlText w:val="%1."/>
      <w:numFmt w:val="decimal"/>
      <w:start w:val="7"/>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1."/>
      <w:numFmt w:val="decimal"/>
      <w:start w:val="10"/>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2"/>
    </w:lvl>
  </w:abstractNum>
  <w:abstractNum w:abstractNumId="17">
    <w:nsid w:val="836C40E"/>
    <w:multiLevelType w:val="hybridMultilevel"/>
    <w:lvl w:ilvl="0">
      <w:lvlJc w:val="left"/>
      <w:lvlText w:val="%1."/>
      <w:numFmt w:val="decimal"/>
      <w:start w:val="13"/>
    </w:lvl>
  </w:abstractNum>
  <w:abstractNum w:abstractNumId="18">
    <w:nsid w:val="2901D82"/>
    <w:multiLevelType w:val="hybridMultilevel"/>
    <w:lvl w:ilvl="0">
      <w:lvlJc w:val="left"/>
      <w:lvlText w:val="%1."/>
      <w:numFmt w:val="decimal"/>
      <w:start w:val="14"/>
    </w:lvl>
  </w:abstractNum>
  <w:abstractNum w:abstractNumId="19">
    <w:nsid w:val="3A95F874"/>
    <w:multiLevelType w:val="hybridMultilevel"/>
    <w:lvl w:ilvl="0">
      <w:lvlJc w:val="left"/>
      <w:lvlText w:val="%1."/>
      <w:numFmt w:val="decimal"/>
      <w:start w:val="15"/>
    </w:lvl>
  </w:abstractNum>
  <w:abstractNum w:abstractNumId="20">
    <w:nsid w:val="8138641"/>
    <w:multiLevelType w:val="hybridMultilevel"/>
    <w:lvl w:ilvl="0">
      <w:lvlJc w:val="left"/>
      <w:lvlText w:val="%1."/>
      <w:numFmt w:val="decimal"/>
      <w:start w:val="16"/>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7"/>
    </w:lvl>
  </w:abstractNum>
  <w:abstractNum w:abstractNumId="23">
    <w:nsid w:val="737B8DDC"/>
    <w:multiLevelType w:val="hybridMultilevel"/>
    <w:lvl w:ilvl="0">
      <w:lvlJc w:val="left"/>
      <w:lvlText w:val="%1."/>
      <w:numFmt w:val="decimal"/>
      <w:start w:val="6"/>
    </w:lvl>
  </w:abstractNum>
  <w:abstractNum w:abstractNumId="24">
    <w:nsid w:val="6CEAF087"/>
    <w:multiLevelType w:val="hybridMultilevel"/>
    <w:lvl w:ilvl="0">
      <w:lvlJc w:val="left"/>
      <w:lvlText w:val="%1."/>
      <w:numFmt w:val="decimal"/>
      <w:start w:val="18"/>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2"/>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101"/>
    </w:lvl>
  </w:abstractNum>
  <w:abstractNum w:abstractNumId="33">
    <w:nsid w:val="3804823E"/>
    <w:multiLevelType w:val="hybridMultilevel"/>
    <w:lvl w:ilvl="0">
      <w:lvlJc w:val="left"/>
      <w:lvlText w:val="%1"/>
      <w:numFmt w:val="decimal"/>
      <w:start w:val="104"/>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2021-05-05T05:39:01Z</dcterms:created>
  <dcterms:modified xsi:type="dcterms:W3CDTF">2021-05-05T05:39:01Z</dcterms:modified>
</cp:coreProperties>
</file>