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Parsons Corporation</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00" w:type="dxa"/>
        <w:tblCellMar>
          <w:top w:w="0" w:type="dxa"/>
          <w:left w:w="0" w:type="dxa"/>
          <w:bottom w:w="0" w:type="dxa"/>
          <w:right w:w="0" w:type="dxa"/>
        </w:tblCellMar>
      </w:tblPr>
      <w:tr>
        <w:trPr>
          <w:trHeight w:val="222"/>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001-07782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95-3232481</w:t>
            </w:r>
          </w:p>
        </w:tc>
      </w:tr>
      <w:tr>
        <w:trPr>
          <w:trHeight w:val="149"/>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9"/>
              </w:rPr>
              <w:t>14291 Park Meadow Drive, Suite 100</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9"/>
              </w:rPr>
              <w:t>Chantilly, Virginia</w:t>
            </w:r>
          </w:p>
        </w:tc>
        <w:tc>
          <w:tcPr>
            <w:tcW w:w="31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20151</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(703) 988-8500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79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3320" w:type="dxa"/>
            <w:vAlign w:val="bottom"/>
            <w:tcBorders>
              <w:bottom w:val="single" w:sz="8" w:color="auto"/>
            </w:tcBorders>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32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Common Stock, $1 par value</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PSN</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Given the recent Department of State reorganization issued May 29, 2025, which created additional uncertainty surrounding Parsons’ confidential contract, the Company is removing the anticipated financial effects of contract from its 2025 guidance for any period after June 2025. After that date, the Company is unable to accurately estimate the size or scope of its potential work. Set forth below is the Company’s previous and updated guidance for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940" w:type="dxa"/>
            <w:vAlign w:val="bottom"/>
            <w:shd w:val="clear" w:color="auto" w:fill="4E95D9"/>
          </w:tcPr>
          <w:p>
            <w:pPr>
              <w:spacing w:after="0"/>
              <w:rPr>
                <w:sz w:val="17"/>
                <w:szCs w:val="17"/>
                <w:color w:val="auto"/>
              </w:rPr>
            </w:pPr>
          </w:p>
        </w:tc>
        <w:tc>
          <w:tcPr>
            <w:tcW w:w="1200" w:type="dxa"/>
            <w:vAlign w:val="bottom"/>
            <w:shd w:val="clear" w:color="auto" w:fill="4E95D9"/>
          </w:tcPr>
          <w:p>
            <w:pPr>
              <w:spacing w:after="0"/>
              <w:rPr>
                <w:sz w:val="17"/>
                <w:szCs w:val="17"/>
                <w:color w:val="auto"/>
              </w:rPr>
            </w:pPr>
          </w:p>
        </w:tc>
        <w:tc>
          <w:tcPr>
            <w:tcW w:w="820" w:type="dxa"/>
            <w:vAlign w:val="bottom"/>
            <w:shd w:val="clear" w:color="auto" w:fill="4E95D9"/>
          </w:tcPr>
          <w:p>
            <w:pPr>
              <w:spacing w:after="0"/>
              <w:rPr>
                <w:sz w:val="17"/>
                <w:szCs w:val="17"/>
                <w:color w:val="auto"/>
              </w:rPr>
            </w:pPr>
          </w:p>
        </w:tc>
        <w:tc>
          <w:tcPr>
            <w:tcW w:w="1120" w:type="dxa"/>
            <w:vAlign w:val="bottom"/>
            <w:shd w:val="clear" w:color="auto" w:fill="4E95D9"/>
          </w:tcPr>
          <w:p>
            <w:pPr>
              <w:spacing w:after="0"/>
              <w:rPr>
                <w:sz w:val="17"/>
                <w:szCs w:val="17"/>
                <w:color w:val="auto"/>
              </w:rPr>
            </w:pPr>
          </w:p>
        </w:tc>
        <w:tc>
          <w:tcPr>
            <w:tcW w:w="2000" w:type="dxa"/>
            <w:vAlign w:val="bottom"/>
            <w:shd w:val="clear" w:color="auto" w:fill="4E95D9"/>
          </w:tcPr>
          <w:p>
            <w:pPr>
              <w:jc w:val="center"/>
              <w:spacing w:after="0"/>
              <w:rPr>
                <w:sz w:val="20"/>
                <w:szCs w:val="20"/>
                <w:color w:val="auto"/>
              </w:rPr>
            </w:pPr>
            <w:r>
              <w:rPr>
                <w:rFonts w:ascii="Arial" w:cs="Arial" w:eastAsia="Arial" w:hAnsi="Arial"/>
                <w:sz w:val="18"/>
                <w:szCs w:val="18"/>
                <w:color w:val="auto"/>
                <w:w w:val="99"/>
              </w:rPr>
              <w:t>FY25 Y/Y Change</w:t>
            </w:r>
          </w:p>
        </w:tc>
      </w:tr>
      <w:tr>
        <w:trPr>
          <w:trHeight w:val="221"/>
        </w:trPr>
        <w:tc>
          <w:tcPr>
            <w:tcW w:w="5160" w:type="dxa"/>
            <w:vAlign w:val="bottom"/>
          </w:tcPr>
          <w:p>
            <w:pPr>
              <w:spacing w:after="0"/>
              <w:rPr>
                <w:sz w:val="19"/>
                <w:szCs w:val="19"/>
                <w:color w:val="auto"/>
              </w:rPr>
            </w:pPr>
          </w:p>
        </w:tc>
        <w:tc>
          <w:tcPr>
            <w:tcW w:w="2140" w:type="dxa"/>
            <w:vAlign w:val="bottom"/>
            <w:gridSpan w:val="2"/>
            <w:shd w:val="clear" w:color="auto" w:fill="4E95D9"/>
          </w:tcPr>
          <w:p>
            <w:pPr>
              <w:jc w:val="center"/>
              <w:spacing w:after="0"/>
              <w:rPr>
                <w:sz w:val="20"/>
                <w:szCs w:val="20"/>
                <w:color w:val="auto"/>
              </w:rPr>
            </w:pPr>
            <w:r>
              <w:rPr>
                <w:rFonts w:ascii="Arial" w:cs="Arial" w:eastAsia="Arial" w:hAnsi="Arial"/>
                <w:sz w:val="18"/>
                <w:szCs w:val="18"/>
                <w:color w:val="auto"/>
                <w:w w:val="99"/>
              </w:rPr>
              <w:t>Current FY25 Guidance</w:t>
            </w:r>
          </w:p>
        </w:tc>
        <w:tc>
          <w:tcPr>
            <w:tcW w:w="1940" w:type="dxa"/>
            <w:vAlign w:val="bottom"/>
            <w:gridSpan w:val="2"/>
            <w:shd w:val="clear" w:color="auto" w:fill="4E95D9"/>
          </w:tcPr>
          <w:p>
            <w:pPr>
              <w:jc w:val="center"/>
              <w:spacing w:after="0"/>
              <w:rPr>
                <w:sz w:val="20"/>
                <w:szCs w:val="20"/>
                <w:color w:val="auto"/>
              </w:rPr>
            </w:pPr>
            <w:r>
              <w:rPr>
                <w:rFonts w:ascii="Arial" w:cs="Arial" w:eastAsia="Arial" w:hAnsi="Arial"/>
                <w:sz w:val="18"/>
                <w:szCs w:val="18"/>
                <w:color w:val="auto"/>
                <w:w w:val="99"/>
              </w:rPr>
              <w:t>Prior FY25 Guidance</w:t>
            </w:r>
          </w:p>
        </w:tc>
        <w:tc>
          <w:tcPr>
            <w:tcW w:w="2000" w:type="dxa"/>
            <w:vAlign w:val="bottom"/>
            <w:shd w:val="clear" w:color="auto" w:fill="4E95D9"/>
          </w:tcPr>
          <w:p>
            <w:pPr>
              <w:jc w:val="center"/>
              <w:spacing w:after="0"/>
              <w:rPr>
                <w:sz w:val="20"/>
                <w:szCs w:val="20"/>
                <w:color w:val="auto"/>
              </w:rPr>
            </w:pPr>
            <w:r>
              <w:rPr>
                <w:rFonts w:ascii="Arial" w:cs="Arial" w:eastAsia="Arial" w:hAnsi="Arial"/>
                <w:sz w:val="18"/>
                <w:szCs w:val="18"/>
                <w:color w:val="auto"/>
                <w:w w:val="99"/>
              </w:rPr>
              <w:t>at Mid-Point</w:t>
            </w: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Total Revenue</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$6,450</w:t>
            </w:r>
          </w:p>
        </w:tc>
        <w:tc>
          <w:tcPr>
            <w:tcW w:w="1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$6,650M</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$7,000</w:t>
            </w:r>
          </w:p>
        </w:tc>
        <w:tc>
          <w:tcPr>
            <w:tcW w:w="1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$7,500M</w:t>
            </w:r>
          </w:p>
        </w:tc>
        <w:tc>
          <w:tcPr>
            <w:tcW w:w="20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-3% (-5% organic)</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Total Revenue Excluding Confidential Contract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$6,165</w:t>
            </w:r>
          </w:p>
        </w:tc>
        <w:tc>
          <w:tcPr>
            <w:tcW w:w="1200" w:type="dxa"/>
            <w:vAlign w:val="bottom"/>
          </w:tcPr>
          <w:p>
            <w:pPr>
              <w:ind w:left="20"/>
              <w:spacing w:after="0" w:line="202" w:lineRule="exact"/>
              <w:rPr>
                <w:sz w:val="20"/>
                <w:szCs w:val="20"/>
                <w:color w:val="auto"/>
              </w:rPr>
            </w:pPr>
            <w:r>
              <w:rPr>
                <w:rFonts w:ascii="Arial" w:cs="Arial" w:eastAsia="Arial" w:hAnsi="Arial"/>
                <w:sz w:val="18"/>
                <w:szCs w:val="18"/>
                <w:color w:val="auto"/>
              </w:rPr>
              <w:t>- $6,365M</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$6,250</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 $6,450M</w:t>
            </w:r>
          </w:p>
        </w:tc>
        <w:tc>
          <w:tcPr>
            <w:tcW w:w="2000" w:type="dxa"/>
            <w:vAlign w:val="bottom"/>
          </w:tcPr>
          <w:p>
            <w:pPr>
              <w:jc w:val="center"/>
              <w:spacing w:after="0" w:line="202" w:lineRule="exact"/>
              <w:rPr>
                <w:sz w:val="20"/>
                <w:szCs w:val="20"/>
                <w:color w:val="auto"/>
              </w:rPr>
            </w:pPr>
            <w:r>
              <w:rPr>
                <w:rFonts w:ascii="Arial" w:cs="Arial" w:eastAsia="Arial" w:hAnsi="Arial"/>
                <w:sz w:val="18"/>
                <w:szCs w:val="18"/>
                <w:color w:val="auto"/>
              </w:rPr>
              <w:t>+17% (14% organic)</w:t>
            </w: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 xml:space="preserve">Adjusted EBITDA including non-controlling interest </w:t>
            </w:r>
            <w:r>
              <w:rPr>
                <w:rFonts w:ascii="Arial" w:cs="Arial" w:eastAsia="Arial" w:hAnsi="Arial"/>
                <w:sz w:val="14"/>
                <w:szCs w:val="14"/>
                <w:color w:val="auto"/>
              </w:rPr>
              <w:t>(1)</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$590</w:t>
            </w:r>
          </w:p>
        </w:tc>
        <w:tc>
          <w:tcPr>
            <w:tcW w:w="1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$630M</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$640</w:t>
            </w:r>
          </w:p>
        </w:tc>
        <w:tc>
          <w:tcPr>
            <w:tcW w:w="1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$710M</w:t>
            </w:r>
          </w:p>
        </w:tc>
        <w:tc>
          <w:tcPr>
            <w:tcW w:w="2000" w:type="dxa"/>
            <w:vAlign w:val="bottom"/>
            <w:shd w:val="clear" w:color="auto" w:fill="CFF0FC"/>
          </w:tcPr>
          <w:p>
            <w:pPr>
              <w:jc w:val="right"/>
              <w:ind w:right="750"/>
              <w:spacing w:after="0" w:line="202" w:lineRule="exact"/>
              <w:rPr>
                <w:sz w:val="20"/>
                <w:szCs w:val="20"/>
                <w:color w:val="auto"/>
              </w:rPr>
            </w:pPr>
            <w:r>
              <w:rPr>
                <w:rFonts w:ascii="Arial" w:cs="Arial" w:eastAsia="Arial" w:hAnsi="Arial"/>
                <w:sz w:val="18"/>
                <w:szCs w:val="18"/>
                <w:color w:val="auto"/>
              </w:rPr>
              <w:t>+1%</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Adjusted EBITDA including non-controlling interest margin</w:t>
            </w:r>
          </w:p>
        </w:tc>
        <w:tc>
          <w:tcPr>
            <w:tcW w:w="2140" w:type="dxa"/>
            <w:vAlign w:val="bottom"/>
            <w:gridSpan w:val="2"/>
          </w:tcPr>
          <w:p>
            <w:pPr>
              <w:jc w:val="right"/>
              <w:ind w:right="490"/>
              <w:spacing w:after="0" w:line="202" w:lineRule="exact"/>
              <w:rPr>
                <w:sz w:val="20"/>
                <w:szCs w:val="20"/>
                <w:color w:val="auto"/>
              </w:rPr>
            </w:pPr>
            <w:r>
              <w:rPr>
                <w:rFonts w:ascii="Arial" w:cs="Arial" w:eastAsia="Arial" w:hAnsi="Arial"/>
                <w:sz w:val="18"/>
                <w:szCs w:val="18"/>
                <w:color w:val="auto"/>
              </w:rPr>
              <w:t>9.1% - 9.5%</w:t>
            </w:r>
          </w:p>
        </w:tc>
        <w:tc>
          <w:tcPr>
            <w:tcW w:w="1940" w:type="dxa"/>
            <w:vAlign w:val="bottom"/>
            <w:gridSpan w:val="2"/>
          </w:tcPr>
          <w:p>
            <w:pPr>
              <w:jc w:val="right"/>
              <w:ind w:right="410"/>
              <w:spacing w:after="0" w:line="202" w:lineRule="exact"/>
              <w:rPr>
                <w:sz w:val="20"/>
                <w:szCs w:val="20"/>
                <w:color w:val="auto"/>
              </w:rPr>
            </w:pPr>
            <w:r>
              <w:rPr>
                <w:rFonts w:ascii="Arial" w:cs="Arial" w:eastAsia="Arial" w:hAnsi="Arial"/>
                <w:sz w:val="18"/>
                <w:szCs w:val="18"/>
                <w:color w:val="auto"/>
              </w:rPr>
              <w:t>9.1% - 9.5%</w:t>
            </w:r>
          </w:p>
        </w:tc>
        <w:tc>
          <w:tcPr>
            <w:tcW w:w="2000" w:type="dxa"/>
            <w:vAlign w:val="bottom"/>
          </w:tcPr>
          <w:p>
            <w:pPr>
              <w:jc w:val="center"/>
              <w:spacing w:after="0" w:line="202" w:lineRule="exact"/>
              <w:rPr>
                <w:sz w:val="20"/>
                <w:szCs w:val="20"/>
                <w:color w:val="auto"/>
              </w:rPr>
            </w:pPr>
            <w:r>
              <w:rPr>
                <w:rFonts w:ascii="Arial" w:cs="Arial" w:eastAsia="Arial" w:hAnsi="Arial"/>
                <w:sz w:val="18"/>
                <w:szCs w:val="18"/>
                <w:color w:val="auto"/>
                <w:w w:val="99"/>
              </w:rPr>
              <w:t>30 bps expansion</w:t>
            </w: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Flow from operating activities</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$380</w:t>
            </w:r>
          </w:p>
        </w:tc>
        <w:tc>
          <w:tcPr>
            <w:tcW w:w="1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$420M</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$420</w:t>
            </w:r>
          </w:p>
        </w:tc>
        <w:tc>
          <w:tcPr>
            <w:tcW w:w="1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$480M</w:t>
            </w:r>
          </w:p>
        </w:tc>
        <w:tc>
          <w:tcPr>
            <w:tcW w:w="2000" w:type="dxa"/>
            <w:vAlign w:val="bottom"/>
            <w:shd w:val="clear" w:color="auto" w:fill="CFF0FC"/>
          </w:tcPr>
          <w:p>
            <w:pPr>
              <w:jc w:val="right"/>
              <w:ind w:right="710"/>
              <w:spacing w:after="0" w:line="202" w:lineRule="exact"/>
              <w:rPr>
                <w:sz w:val="20"/>
                <w:szCs w:val="20"/>
                <w:color w:val="auto"/>
              </w:rPr>
            </w:pPr>
            <w:r>
              <w:rPr>
                <w:rFonts w:ascii="Arial" w:cs="Arial" w:eastAsia="Arial" w:hAnsi="Arial"/>
                <w:sz w:val="18"/>
                <w:szCs w:val="18"/>
                <w:color w:val="auto"/>
              </w:rPr>
              <w:t>-24%</w:t>
            </w:r>
          </w:p>
        </w:tc>
      </w:tr>
    </w:tbl>
    <w:p>
      <w:pPr>
        <w:spacing w:after="0" w:line="234" w:lineRule="exact"/>
        <w:rPr>
          <w:sz w:val="20"/>
          <w:szCs w:val="20"/>
          <w:color w:val="auto"/>
        </w:rPr>
      </w:pPr>
    </w:p>
    <w:p>
      <w:pPr>
        <w:jc w:val="both"/>
        <w:ind w:firstLine="8"/>
        <w:spacing w:after="0" w:line="217" w:lineRule="auto"/>
        <w:tabs>
          <w:tab w:leader="none" w:pos="114" w:val="left"/>
        </w:tabs>
        <w:numPr>
          <w:ilvl w:val="0"/>
          <w:numId w:val="2"/>
        </w:numPr>
        <w:rPr>
          <w:rFonts w:ascii="Arial" w:cs="Arial" w:eastAsia="Arial" w:hAnsi="Arial"/>
          <w:sz w:val="24"/>
          <w:szCs w:val="24"/>
          <w:color w:val="auto"/>
          <w:vertAlign w:val="superscript"/>
        </w:rPr>
      </w:pPr>
      <w:r>
        <w:rPr>
          <w:rFonts w:ascii="Arial" w:cs="Arial" w:eastAsia="Arial" w:hAnsi="Arial"/>
          <w:sz w:val="14"/>
          <w:szCs w:val="14"/>
          <w:color w:val="auto"/>
        </w:rPr>
        <w:t>Net income guidance and reconciliation is not presented as the company believes volatility associated with interest, taxes, depreciation, amortization and other matters affecting net income, including but not limited to one-time and nonrecurring events and impact of M&amp;A, makes those items not reasonably available and thus the company is unable to provide accurate net income guidance or reconciliation for fiscal year 2025.</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1573530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PARSONS CORPORATION</w:t>
      </w:r>
    </w:p>
    <w:p>
      <w:pPr>
        <w:spacing w:after="0" w:line="347"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Arial" w:cs="Arial" w:eastAsia="Arial" w:hAnsi="Arial"/>
          <w:sz w:val="18"/>
          <w:szCs w:val="18"/>
          <w:color w:val="auto"/>
        </w:rPr>
        <w:t>Date:</w:t>
        <w:tab/>
        <w:t>June 2,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R. Kolloway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8890</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Michael R. Kolloway</w:t>
      </w:r>
    </w:p>
    <w:p>
      <w:pPr>
        <w:spacing w:after="0" w:line="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5" w:right="45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2025-06-02T16:39:11Z</dcterms:created>
  <dcterms:modified xsi:type="dcterms:W3CDTF">2025-06-02T16:39:11Z</dcterms:modified>
</cp:coreProperties>
</file>