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3680" w:right="1260" w:hanging="2419"/>
        <w:spacing w:after="0" w:line="326" w:lineRule="auto"/>
        <w:tabs>
          <w:tab w:leader="none" w:pos="167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660" w:hanging="370"/>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8" w:lineRule="exact"/>
        <w:rPr>
          <w:sz w:val="24"/>
          <w:szCs w:val="24"/>
          <w:color w:val="auto"/>
        </w:rPr>
      </w:pPr>
    </w:p>
    <w:p>
      <w:pPr>
        <w:ind w:left="41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77470</wp:posOffset>
            </wp:positionV>
            <wp:extent cx="2339975" cy="539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tbl>
      <w:tblPr>
        <w:tblLayout w:type="fixed"/>
        <w:tblInd w:w="1280" w:type="dxa"/>
        <w:tblCellMar>
          <w:top w:w="0" w:type="dxa"/>
          <w:left w:w="0" w:type="dxa"/>
          <w:bottom w:w="0" w:type="dxa"/>
          <w:right w:w="0" w:type="dxa"/>
        </w:tblCellMar>
      </w:tblPr>
      <w:tr>
        <w:trPr>
          <w:trHeight w:val="212"/>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rPr>
              <w:t>Delaware</w:t>
            </w:r>
          </w:p>
        </w:tc>
        <w:tc>
          <w:tcPr>
            <w:tcW w:w="29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(State or other jurisdiction of</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incorporation or organization)</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Identification No.)</w:t>
            </w:r>
          </w:p>
        </w:tc>
      </w:tr>
      <w:tr>
        <w:trPr>
          <w:trHeight w:val="280"/>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14291 Park Meadow Drive, Suite 100</w:t>
            </w:r>
          </w:p>
        </w:tc>
        <w:tc>
          <w:tcPr>
            <w:tcW w:w="2940" w:type="dxa"/>
            <w:vAlign w:val="bottom"/>
          </w:tcPr>
          <w:p>
            <w:pPr>
              <w:spacing w:after="0"/>
              <w:rPr>
                <w:sz w:val="24"/>
                <w:szCs w:val="24"/>
                <w:color w:val="auto"/>
              </w:rPr>
            </w:pPr>
          </w:p>
        </w:tc>
      </w:tr>
      <w:tr>
        <w:trPr>
          <w:trHeight w:val="212"/>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Chantilly, Virginia</w:t>
            </w:r>
          </w:p>
        </w:tc>
        <w:tc>
          <w:tcPr>
            <w:tcW w:w="29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20151</w:t>
            </w:r>
          </w:p>
        </w:tc>
      </w:tr>
      <w:tr>
        <w:trPr>
          <w:trHeight w:val="196"/>
        </w:trPr>
        <w:tc>
          <w:tcPr>
            <w:tcW w:w="4820" w:type="dxa"/>
            <w:vAlign w:val="bottom"/>
          </w:tcPr>
          <w:p>
            <w:pPr>
              <w:jc w:val="center"/>
              <w:ind w:right="1659"/>
              <w:spacing w:after="0"/>
              <w:rPr>
                <w:sz w:val="20"/>
                <w:szCs w:val="20"/>
                <w:color w:val="auto"/>
              </w:rPr>
            </w:pPr>
            <w:r>
              <w:rPr>
                <w:rFonts w:ascii="Arial" w:cs="Arial" w:eastAsia="Arial" w:hAnsi="Arial"/>
                <w:sz w:val="14"/>
                <w:szCs w:val="14"/>
                <w:b w:val="1"/>
                <w:bCs w:val="1"/>
                <w:color w:val="auto"/>
              </w:rPr>
              <w:t>(Address of principal executive offices)</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24"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4"/>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PSN</w:t>
            </w:r>
          </w:p>
        </w:tc>
        <w:tc>
          <w:tcPr>
            <w:tcW w:w="12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41" w:lineRule="exact"/>
        <w:rPr>
          <w:sz w:val="24"/>
          <w:szCs w:val="24"/>
          <w:color w:val="auto"/>
        </w:rPr>
      </w:pPr>
    </w:p>
    <w:p>
      <w:pPr>
        <w:jc w:val="both"/>
        <w:ind w:right="300"/>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80"/>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jc w:val="both"/>
        <w:ind w:right="500" w:firstLine="599"/>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2"/>
        </w:trPr>
        <w:tc>
          <w:tcPr>
            <w:tcW w:w="238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line="202" w:lineRule="exact"/>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ind w:right="140" w:firstLine="599"/>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600" w:right="1300" w:hanging="598"/>
        <w:spacing w:after="0" w:line="251" w:lineRule="exact"/>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20, 2025, the registrant had 106,488,582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7"/>
          </w:tcPr>
          <w:p>
            <w:pPr>
              <w:ind w:left="200"/>
              <w:spacing w:after="0"/>
              <w:rPr>
                <w:sz w:val="20"/>
                <w:szCs w:val="20"/>
                <w:color w:val="auto"/>
              </w:rPr>
            </w:pPr>
            <w:r>
              <w:rPr>
                <w:rFonts w:ascii="Arial" w:cs="Arial" w:eastAsia="Arial" w:hAnsi="Arial"/>
                <w:sz w:val="25"/>
                <w:szCs w:val="25"/>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11"/>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060" w:type="dxa"/>
            <w:vAlign w:val="bottom"/>
            <w:gridSpan w:val="15"/>
            <w:vMerge w:val="restart"/>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4"/>
                <w:szCs w:val="14"/>
                <w:color w:val="auto"/>
              </w:rPr>
            </w:pPr>
          </w:p>
        </w:tc>
        <w:tc>
          <w:tcPr>
            <w:tcW w:w="2260" w:type="dxa"/>
            <w:vAlign w:val="bottom"/>
            <w:tcBorders>
              <w:bottom w:val="single" w:sz="8" w:color="0000FF"/>
            </w:tcBorders>
            <w:gridSpan w:val="11"/>
            <w:vMerge w:val="continue"/>
          </w:tcPr>
          <w:p>
            <w:pPr>
              <w:spacing w:after="0"/>
              <w:rPr>
                <w:sz w:val="14"/>
                <w:szCs w:val="14"/>
                <w:color w:val="auto"/>
              </w:rPr>
            </w:pPr>
          </w:p>
        </w:tc>
        <w:tc>
          <w:tcPr>
            <w:tcW w:w="7060" w:type="dxa"/>
            <w:vAlign w:val="bottom"/>
            <w:gridSpan w:val="15"/>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68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Consolidated Balance Sheets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Consolidated Statements of</w:t>
            </w:r>
          </w:p>
        </w:tc>
        <w:tc>
          <w:tcPr>
            <w:tcW w:w="20" w:type="dxa"/>
            <w:vAlign w:val="bottom"/>
            <w:tcBorders>
              <w:top w:val="single" w:sz="8" w:color="0000EE"/>
              <w:bottom w:val="single" w:sz="8" w:color="0000FF"/>
            </w:tcBorders>
          </w:tcPr>
          <w:p>
            <w:pPr>
              <w:spacing w:after="0"/>
              <w:rPr>
                <w:sz w:val="15"/>
                <w:szCs w:val="15"/>
                <w:color w:val="auto"/>
              </w:rPr>
            </w:pPr>
          </w:p>
        </w:tc>
        <w:tc>
          <w:tcPr>
            <w:tcW w:w="48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77"/>
              </w:rPr>
              <w:t>Income</w:t>
            </w:r>
          </w:p>
        </w:tc>
        <w:tc>
          <w:tcPr>
            <w:tcW w:w="40" w:type="dxa"/>
            <w:vAlign w:val="bottom"/>
            <w:tcBorders>
              <w:bottom w:val="single" w:sz="8" w:color="0000EE"/>
            </w:tcBorders>
          </w:tcPr>
          <w:p>
            <w:pPr>
              <w:spacing w:after="0"/>
              <w:rPr>
                <w:sz w:val="15"/>
                <w:szCs w:val="15"/>
                <w:color w:val="auto"/>
              </w:rPr>
            </w:pPr>
          </w:p>
        </w:tc>
        <w:tc>
          <w:tcPr>
            <w:tcW w:w="642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Consolidated Statements of Comprehensive Income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16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Consolidated Statements of Cash Flows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20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94"/>
              </w:rPr>
              <w:t>Consolidated Statements of Shareholders’</w:t>
            </w:r>
          </w:p>
        </w:tc>
        <w:tc>
          <w:tcPr>
            <w:tcW w:w="20" w:type="dxa"/>
            <w:vAlign w:val="bottom"/>
            <w:tcBorders>
              <w:top w:val="single" w:sz="8" w:color="0000EE"/>
            </w:tcBorders>
          </w:tcPr>
          <w:p>
            <w:pPr>
              <w:spacing w:after="0"/>
              <w:rPr>
                <w:sz w:val="15"/>
                <w:szCs w:val="15"/>
                <w:color w:val="auto"/>
              </w:rPr>
            </w:pPr>
          </w:p>
        </w:tc>
        <w:tc>
          <w:tcPr>
            <w:tcW w:w="6100" w:type="dxa"/>
            <w:vAlign w:val="bottom"/>
            <w:gridSpan w:val="7"/>
          </w:tcPr>
          <w:p>
            <w:pPr>
              <w:ind w:left="200"/>
              <w:spacing w:after="0" w:line="182" w:lineRule="exact"/>
              <w:rPr>
                <w:sz w:val="20"/>
                <w:szCs w:val="20"/>
                <w:color w:val="auto"/>
              </w:rPr>
            </w:pPr>
            <w:r>
              <w:rPr>
                <w:rFonts w:ascii="Arial" w:cs="Arial" w:eastAsia="Arial" w:hAnsi="Arial"/>
                <w:sz w:val="18"/>
                <w:szCs w:val="18"/>
                <w:color w:val="0000FF"/>
              </w:rPr>
              <w:t>Equity</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Notes to Unaudited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438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Management’s Discussion and Analysis of Financial</w:t>
            </w:r>
          </w:p>
        </w:tc>
        <w:tc>
          <w:tcPr>
            <w:tcW w:w="4940" w:type="dxa"/>
            <w:vAlign w:val="bottom"/>
            <w:gridSpan w:val="4"/>
          </w:tcPr>
          <w:p>
            <w:pPr>
              <w:spacing w:after="0" w:line="182" w:lineRule="exact"/>
              <w:rPr>
                <w:sz w:val="20"/>
                <w:szCs w:val="20"/>
                <w:color w:val="auto"/>
              </w:rPr>
            </w:pPr>
            <w:r>
              <w:rPr>
                <w:rFonts w:ascii="Arial" w:cs="Arial" w:eastAsia="Arial" w:hAnsi="Arial"/>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472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OTHER INFORMATION</w:t>
            </w:r>
          </w:p>
        </w:tc>
        <w:tc>
          <w:tcPr>
            <w:tcW w:w="560" w:type="dxa"/>
            <w:vAlign w:val="bottom"/>
            <w:gridSpan w:val="4"/>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196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Legal Proceedings</w:t>
            </w:r>
          </w:p>
        </w:tc>
        <w:tc>
          <w:tcPr>
            <w:tcW w:w="600" w:type="dxa"/>
            <w:vAlign w:val="bottom"/>
            <w:gridSpan w:val="5"/>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tcPr>
          <w:p>
            <w:pPr>
              <w:spacing w:after="0"/>
              <w:rPr>
                <w:sz w:val="15"/>
                <w:szCs w:val="15"/>
                <w:color w:val="auto"/>
              </w:rPr>
            </w:pPr>
          </w:p>
        </w:tc>
        <w:tc>
          <w:tcPr>
            <w:tcW w:w="620" w:type="dxa"/>
            <w:vAlign w:val="bottom"/>
            <w:gridSpan w:val="6"/>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5"/>
              </w:rPr>
              <w:t>Unregistered</w:t>
            </w:r>
          </w:p>
        </w:tc>
        <w:tc>
          <w:tcPr>
            <w:tcW w:w="20" w:type="dxa"/>
            <w:vAlign w:val="bottom"/>
            <w:tcBorders>
              <w:top w:val="single" w:sz="8" w:color="0000EE"/>
            </w:tcBorders>
          </w:tcPr>
          <w:p>
            <w:pPr>
              <w:spacing w:after="0"/>
              <w:rPr>
                <w:sz w:val="15"/>
                <w:szCs w:val="15"/>
                <w:color w:val="auto"/>
              </w:rPr>
            </w:pPr>
          </w:p>
        </w:tc>
        <w:tc>
          <w:tcPr>
            <w:tcW w:w="8300" w:type="dxa"/>
            <w:vAlign w:val="bottom"/>
            <w:gridSpan w:val="21"/>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Mine Safety Disclosures</w:t>
            </w:r>
          </w:p>
        </w:tc>
        <w:tc>
          <w:tcPr>
            <w:tcW w:w="67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15"/>
                <w:szCs w:val="15"/>
                <w:color w:val="auto"/>
              </w:rPr>
            </w:pPr>
          </w:p>
        </w:tc>
        <w:tc>
          <w:tcPr>
            <w:tcW w:w="740" w:type="dxa"/>
            <w:vAlign w:val="bottom"/>
            <w:tcBorders>
              <w:top w:val="single" w:sz="8" w:color="0000FF"/>
            </w:tcBorders>
            <w:gridSpan w:val="4"/>
          </w:tcPr>
          <w:p>
            <w:pPr>
              <w:spacing w:after="0"/>
              <w:rPr>
                <w:sz w:val="15"/>
                <w:szCs w:val="15"/>
                <w:color w:val="auto"/>
              </w:rPr>
            </w:pPr>
          </w:p>
        </w:tc>
        <w:tc>
          <w:tcPr>
            <w:tcW w:w="7920" w:type="dxa"/>
            <w:vAlign w:val="bottom"/>
            <w:gridSpan w:val="2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Cash and cash equivalents (including $91,469 and $202,121 Cash of consolidated joint ventures)</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422,554</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453,548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220"/>
              <w:spacing w:after="0"/>
              <w:rPr>
                <w:sz w:val="20"/>
                <w:szCs w:val="20"/>
                <w:color w:val="auto"/>
              </w:rPr>
            </w:pPr>
            <w:r>
              <w:rPr>
                <w:rFonts w:ascii="Arial" w:cs="Arial" w:eastAsia="Arial" w:hAnsi="Arial"/>
                <w:sz w:val="14"/>
                <w:szCs w:val="14"/>
                <w:color w:val="auto"/>
              </w:rPr>
              <w:t>Accounts receivable, net (including $397,196 and $294,700 Accounts receivable of consolidated joint 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1,223,904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1,100,396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Contract assets (including $9,197 and $7,906 Contract assets of consolidated joint ventures)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822,487</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741,504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tcPr>
          <w:p>
            <w:pPr>
              <w:ind w:left="220"/>
              <w:spacing w:after="0" w:line="153" w:lineRule="exact"/>
              <w:rPr>
                <w:sz w:val="20"/>
                <w:szCs w:val="20"/>
                <w:color w:val="auto"/>
              </w:rPr>
            </w:pPr>
            <w:r>
              <w:rPr>
                <w:rFonts w:ascii="Arial" w:cs="Arial" w:eastAsia="Arial" w:hAnsi="Arial"/>
                <w:sz w:val="14"/>
                <w:szCs w:val="14"/>
                <w:color w:val="auto"/>
              </w:rPr>
              <w:t>Prepaid expenses and other current assets (including $17,208 and $14,723 Prepaid expenses and other current assets of</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180,100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166,952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740" w:type="dxa"/>
            <w:vAlign w:val="bottom"/>
          </w:tcPr>
          <w:p>
            <w:pPr>
              <w:ind w:left="180"/>
              <w:spacing w:after="0" w:line="158" w:lineRule="exact"/>
              <w:rPr>
                <w:sz w:val="20"/>
                <w:szCs w:val="20"/>
                <w:color w:val="auto"/>
              </w:rPr>
            </w:pPr>
            <w:r>
              <w:rPr>
                <w:rFonts w:ascii="Arial" w:cs="Arial" w:eastAsia="Arial" w:hAnsi="Arial"/>
                <w:sz w:val="14"/>
                <w:szCs w:val="14"/>
                <w:color w:val="auto"/>
              </w:rPr>
              <w:t>consolidated joint ventures)</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40" w:type="dxa"/>
            <w:vAlign w:val="bottom"/>
            <w:tcBorders>
              <w:bottom w:val="single" w:sz="8" w:color="CFF0FC"/>
            </w:tcBorders>
            <w:shd w:val="clear" w:color="auto" w:fill="CFF0FC"/>
          </w:tcPr>
          <w:p>
            <w:pPr>
              <w:ind w:left="340"/>
              <w:spacing w:after="0" w:line="155" w:lineRule="exact"/>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2,649,045</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2,462,400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Property and Equipment, net (including $2,800 and $2,971 Property and equipment of consolidated joint ventures)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125,867</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tcPr>
          <w:p>
            <w:pPr>
              <w:ind w:left="180"/>
              <w:spacing w:after="0" w:line="153" w:lineRule="exact"/>
              <w:rPr>
                <w:sz w:val="20"/>
                <w:szCs w:val="20"/>
                <w:color w:val="auto"/>
              </w:rPr>
            </w:pPr>
            <w:r>
              <w:rPr>
                <w:rFonts w:ascii="Arial" w:cs="Arial" w:eastAsia="Arial" w:hAnsi="Arial"/>
                <w:sz w:val="14"/>
                <w:szCs w:val="14"/>
                <w:color w:val="auto"/>
              </w:rPr>
              <w:t>Right of use assets, operating leases (including $4,208 and $5,726 Right of use assets, operating leases of consolidated joint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tcPr>
          <w:p>
            <w:pPr>
              <w:ind w:left="180"/>
              <w:spacing w:after="0"/>
              <w:rPr>
                <w:sz w:val="20"/>
                <w:szCs w:val="20"/>
                <w:color w:val="auto"/>
              </w:rPr>
            </w:pPr>
            <w:r>
              <w:rPr>
                <w:rFonts w:ascii="Arial" w:cs="Arial" w:eastAsia="Arial" w:hAnsi="Arial"/>
                <w:sz w:val="14"/>
                <w:szCs w:val="14"/>
                <w:color w:val="auto"/>
              </w:rPr>
              <w:t>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133,535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2,163,469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2,082,680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Investments in and advances to unconsolidated joint 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156,421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138,759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339,426</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349,937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106,921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133,450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62,033</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56,113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740" w:type="dxa"/>
            <w:vAlign w:val="bottom"/>
          </w:tcPr>
          <w:p>
            <w:pPr>
              <w:ind w:left="340"/>
              <w:spacing w:after="0" w:line="155" w:lineRule="exact"/>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5,736,717</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5,487,962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740" w:type="dxa"/>
            <w:vAlign w:val="bottom"/>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Accounts payable (including $36,515 and $28,214 Accounts payable of consolidated joint ventures)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271,415</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207,589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Accrued expenses and other current liabilities (including $213,246 and $198,797 Accrued expenses and other current liabilities of</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consolidated joint ventures)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912,138</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894,425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Contract liabilities (including $57,327 and $66,144 Contract liabilities of consolidated joint 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343,509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289,799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Short-term lease liabilities, operating leases (including $2,516 and $3,522 Short-term lease liabilities, operating leases of</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consolidated joint ventures)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49,514</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11,375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Short Term Debt</w:t>
            </w: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463,405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740" w:type="dxa"/>
            <w:vAlign w:val="bottom"/>
          </w:tcPr>
          <w:p>
            <w:pPr>
              <w:ind w:left="340"/>
              <w:spacing w:after="0" w:line="155" w:lineRule="exact"/>
              <w:rPr>
                <w:sz w:val="20"/>
                <w:szCs w:val="20"/>
                <w:color w:val="auto"/>
              </w:rPr>
            </w:pPr>
            <w:r>
              <w:rPr>
                <w:rFonts w:ascii="Arial" w:cs="Arial" w:eastAsia="Arial" w:hAnsi="Arial"/>
                <w:sz w:val="14"/>
                <w:szCs w:val="14"/>
                <w:color w:val="auto"/>
              </w:rPr>
              <w:t>Total current liabilities</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1,587,951</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1,915,644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Long-term employee incentives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29,838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1,236,700</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784,096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tcPr>
          <w:p>
            <w:pPr>
              <w:ind w:left="180"/>
              <w:spacing w:after="0" w:line="153" w:lineRule="exact"/>
              <w:rPr>
                <w:sz w:val="20"/>
                <w:szCs w:val="20"/>
                <w:color w:val="auto"/>
              </w:rPr>
            </w:pPr>
            <w:r>
              <w:rPr>
                <w:rFonts w:ascii="Arial" w:cs="Arial" w:eastAsia="Arial" w:hAnsi="Arial"/>
                <w:sz w:val="14"/>
                <w:szCs w:val="14"/>
                <w:color w:val="auto"/>
              </w:rPr>
              <w:t>Long-term lease liabilities, operating leases (including $1,689 and $2,203 Long-term lease liabilities, operating leases of</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tcPr>
          <w:p>
            <w:pPr>
              <w:ind w:left="180"/>
              <w:spacing w:after="0"/>
              <w:rPr>
                <w:sz w:val="20"/>
                <w:szCs w:val="20"/>
                <w:color w:val="auto"/>
              </w:rPr>
            </w:pPr>
            <w:r>
              <w:rPr>
                <w:rFonts w:ascii="Arial" w:cs="Arial" w:eastAsia="Arial" w:hAnsi="Arial"/>
                <w:sz w:val="14"/>
                <w:szCs w:val="14"/>
                <w:color w:val="auto"/>
              </w:rPr>
              <w:t>consolidated joint 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97,673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114,386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Deferred tax liabilities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17,665</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Other long-term liabilities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102,250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740" w:type="dxa"/>
            <w:vAlign w:val="bottom"/>
            <w:tcBorders>
              <w:bottom w:val="single" w:sz="8" w:color="CFF0FC"/>
            </w:tcBorders>
            <w:shd w:val="clear" w:color="auto" w:fill="CFF0FC"/>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3,072,077</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2,953,473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740" w:type="dxa"/>
            <w:vAlign w:val="bottom"/>
          </w:tcPr>
          <w:p>
            <w:pPr>
              <w:spacing w:after="0" w:line="143" w:lineRule="exact"/>
              <w:rPr>
                <w:sz w:val="20"/>
                <w:szCs w:val="20"/>
                <w:color w:val="auto"/>
              </w:rPr>
            </w:pPr>
            <w:r>
              <w:rPr>
                <w:rFonts w:ascii="Arial" w:cs="Arial" w:eastAsia="Arial" w:hAnsi="Arial"/>
                <w:sz w:val="14"/>
                <w:szCs w:val="14"/>
                <w:color w:val="auto"/>
              </w:rPr>
              <w:t>Contingencies (Note 12)</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tcPr>
          <w:p>
            <w:pPr>
              <w:ind w:left="180"/>
              <w:spacing w:after="0" w:line="153" w:lineRule="exact"/>
              <w:rPr>
                <w:sz w:val="20"/>
                <w:szCs w:val="20"/>
                <w:color w:val="auto"/>
              </w:rPr>
            </w:pPr>
            <w:r>
              <w:rPr>
                <w:rFonts w:ascii="Arial" w:cs="Arial" w:eastAsia="Arial" w:hAnsi="Arial"/>
                <w:sz w:val="14"/>
                <w:szCs w:val="14"/>
                <w:color w:val="auto"/>
              </w:rPr>
              <w:t>Common stock, $1 par value; authorized 1,000,000,000 shares; 146,368,908 and 146,656,225 shares issued; 55,535,089 and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tcPr>
          <w:p>
            <w:pPr>
              <w:ind w:left="180"/>
              <w:spacing w:after="0"/>
              <w:rPr>
                <w:sz w:val="20"/>
                <w:szCs w:val="20"/>
                <w:color w:val="auto"/>
              </w:rPr>
            </w:pPr>
            <w:r>
              <w:rPr>
                <w:rFonts w:ascii="Arial" w:cs="Arial" w:eastAsia="Arial" w:hAnsi="Arial"/>
                <w:sz w:val="14"/>
                <w:szCs w:val="14"/>
                <w:color w:val="auto"/>
              </w:rPr>
              <w:t>52,657,447 public shares outstanding; 50,952,945 and 54,117,904 ESOP shares outstanding</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146,369</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146,655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Treasury stock, 39,880,875 shares at cost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(815,282)</w:t>
            </w:r>
          </w:p>
        </w:tc>
        <w:tc>
          <w:tcPr>
            <w:tcW w:w="2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(815,282)</w:t>
            </w: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2,645,230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2,684,829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Retained earnings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605,795</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426,781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(24,282)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(26,594)</w:t>
            </w:r>
          </w:p>
        </w:tc>
        <w:tc>
          <w:tcPr>
            <w:tcW w:w="0" w:type="dxa"/>
            <w:vAlign w:val="bottom"/>
          </w:tcPr>
          <w:p>
            <w:pPr>
              <w:spacing w:after="0"/>
              <w:rPr>
                <w:sz w:val="1"/>
                <w:szCs w:val="1"/>
                <w:color w:val="auto"/>
              </w:rPr>
            </w:pPr>
          </w:p>
        </w:tc>
      </w:tr>
      <w:tr>
        <w:trPr>
          <w:trHeight w:val="155"/>
        </w:trPr>
        <w:tc>
          <w:tcPr>
            <w:tcW w:w="8740" w:type="dxa"/>
            <w:vAlign w:val="bottom"/>
            <w:shd w:val="clear" w:color="auto" w:fill="CFF0FC"/>
          </w:tcPr>
          <w:p>
            <w:pPr>
              <w:ind w:left="180"/>
              <w:spacing w:after="0" w:line="155" w:lineRule="exact"/>
              <w:rPr>
                <w:sz w:val="20"/>
                <w:szCs w:val="20"/>
                <w:color w:val="auto"/>
              </w:rPr>
            </w:pPr>
            <w:r>
              <w:rPr>
                <w:rFonts w:ascii="Arial" w:cs="Arial" w:eastAsia="Arial" w:hAnsi="Arial"/>
                <w:sz w:val="14"/>
                <w:szCs w:val="14"/>
                <w:color w:val="auto"/>
              </w:rPr>
              <w:t>Total Parsons Corporation shareholders' equity</w:t>
            </w: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2,557,830</w:t>
            </w:r>
          </w:p>
        </w:tc>
        <w:tc>
          <w:tcPr>
            <w:tcW w:w="22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2,416,389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106,810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740" w:type="dxa"/>
            <w:vAlign w:val="bottom"/>
            <w:tcBorders>
              <w:bottom w:val="single" w:sz="8" w:color="CFF0FC"/>
            </w:tcBorders>
            <w:shd w:val="clear" w:color="auto" w:fill="CFF0FC"/>
          </w:tcPr>
          <w:p>
            <w:pPr>
              <w:ind w:left="180"/>
              <w:spacing w:after="0" w:line="155" w:lineRule="exact"/>
              <w:rPr>
                <w:sz w:val="20"/>
                <w:szCs w:val="20"/>
                <w:color w:val="auto"/>
              </w:rPr>
            </w:pPr>
            <w:r>
              <w:rPr>
                <w:rFonts w:ascii="Arial" w:cs="Arial" w:eastAsia="Arial" w:hAnsi="Arial"/>
                <w:sz w:val="14"/>
                <w:szCs w:val="14"/>
                <w:color w:val="auto"/>
              </w:rPr>
              <w:t>Total shareholders' equity</w:t>
            </w:r>
          </w:p>
        </w:tc>
        <w:tc>
          <w:tcPr>
            <w:tcW w:w="10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2,664,640</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2,534,489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40" w:type="dxa"/>
            <w:vAlign w:val="bottom"/>
          </w:tcPr>
          <w:p>
            <w:pPr>
              <w:ind w:left="340"/>
              <w:spacing w:after="0" w:line="155" w:lineRule="exact"/>
              <w:rPr>
                <w:sz w:val="20"/>
                <w:szCs w:val="20"/>
                <w:color w:val="auto"/>
              </w:rPr>
            </w:pPr>
            <w:r>
              <w:rPr>
                <w:rFonts w:ascii="Arial" w:cs="Arial" w:eastAsia="Arial" w:hAnsi="Arial"/>
                <w:sz w:val="14"/>
                <w:szCs w:val="14"/>
                <w:color w:val="auto"/>
              </w:rPr>
              <w:t>Total liabilities and shareholders' equity</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5,736,717</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5,487,962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-4465320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-4465320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-3531235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-2262505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-1310640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-1293495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-136525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5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5460" w:type="dxa"/>
            <w:vAlign w:val="bottom"/>
          </w:tcPr>
          <w:p>
            <w:pPr>
              <w:spacing w:after="0"/>
              <w:rPr>
                <w:sz w:val="12"/>
                <w:szCs w:val="12"/>
                <w:color w:val="auto"/>
              </w:rPr>
            </w:pPr>
          </w:p>
        </w:tc>
        <w:tc>
          <w:tcPr>
            <w:tcW w:w="1360" w:type="dxa"/>
            <w:vAlign w:val="bottom"/>
            <w:tcBorders>
              <w:top w:val="single" w:sz="8" w:color="auto"/>
            </w:tcBorders>
            <w:gridSpan w:val="3"/>
          </w:tcPr>
          <w:p>
            <w:pPr>
              <w:jc w:val="right"/>
              <w:ind w:right="300"/>
              <w:spacing w:after="0" w:line="147" w:lineRule="exact"/>
              <w:rPr>
                <w:sz w:val="20"/>
                <w:szCs w:val="20"/>
                <w:color w:val="auto"/>
              </w:rPr>
            </w:pPr>
            <w:r>
              <w:rPr>
                <w:rFonts w:ascii="Arial" w:cs="Arial" w:eastAsia="Arial" w:hAnsi="Arial"/>
                <w:sz w:val="14"/>
                <w:szCs w:val="14"/>
                <w:b w:val="1"/>
                <w:bCs w:val="1"/>
                <w:color w:val="auto"/>
              </w:rPr>
              <w:t>September 30,</w:t>
            </w: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11"/>
              <w:spacing w:after="0" w:line="147"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2"/>
                <w:szCs w:val="12"/>
                <w:color w:val="auto"/>
              </w:rPr>
            </w:pPr>
          </w:p>
        </w:tc>
        <w:tc>
          <w:tcPr>
            <w:tcW w:w="1220" w:type="dxa"/>
            <w:vAlign w:val="bottom"/>
            <w:tcBorders>
              <w:top w:val="single" w:sz="8" w:color="auto"/>
            </w:tcBorders>
            <w:gridSpan w:val="3"/>
          </w:tcPr>
          <w:p>
            <w:pPr>
              <w:jc w:val="right"/>
              <w:ind w:right="20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51"/>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71"/>
        </w:trPr>
        <w:tc>
          <w:tcPr>
            <w:tcW w:w="5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1,621,748</w:t>
            </w:r>
          </w:p>
        </w:tc>
        <w:tc>
          <w:tcPr>
            <w:tcW w:w="1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1,810,116</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4,760,431</w:t>
            </w:r>
          </w:p>
        </w:tc>
        <w:tc>
          <w:tcPr>
            <w:tcW w:w="1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5,016,259</w:t>
            </w:r>
          </w:p>
        </w:tc>
        <w:tc>
          <w:tcPr>
            <w:tcW w:w="10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1,261,893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1,449,831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3,698,240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3,979,589</w:t>
            </w:r>
          </w:p>
        </w:tc>
        <w:tc>
          <w:tcPr>
            <w:tcW w:w="100" w:type="dxa"/>
            <w:vAlign w:val="bottom"/>
          </w:tcPr>
          <w:p>
            <w:pPr>
              <w:spacing w:after="0"/>
              <w:rPr>
                <w:sz w:val="17"/>
                <w:szCs w:val="17"/>
                <w:color w:val="auto"/>
              </w:rPr>
            </w:pP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8,266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872</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6,937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(18,025)</w:t>
            </w:r>
          </w:p>
        </w:tc>
      </w:tr>
      <w:tr>
        <w:trPr>
          <w:trHeight w:val="202"/>
        </w:trPr>
        <w:tc>
          <w:tcPr>
            <w:tcW w:w="54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260,166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246,169</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756,279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690,391</w:t>
            </w:r>
          </w:p>
        </w:tc>
        <w:tc>
          <w:tcPr>
            <w:tcW w:w="100" w:type="dxa"/>
            <w:vAlign w:val="bottom"/>
          </w:tcPr>
          <w:p>
            <w:pPr>
              <w:spacing w:after="0"/>
              <w:rPr>
                <w:sz w:val="17"/>
                <w:szCs w:val="17"/>
                <w:color w:val="auto"/>
              </w:rPr>
            </w:pPr>
          </w:p>
        </w:tc>
      </w:tr>
      <w:tr>
        <w:trPr>
          <w:trHeight w:val="196"/>
        </w:trPr>
        <w:tc>
          <w:tcPr>
            <w:tcW w:w="54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107,955</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114,988</w:t>
            </w:r>
          </w:p>
        </w:tc>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312,849</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328,254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6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1,839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4,232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5,049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9,209</w:t>
            </w:r>
          </w:p>
        </w:tc>
        <w:tc>
          <w:tcPr>
            <w:tcW w:w="100" w:type="dxa"/>
            <w:vAlign w:val="bottom"/>
          </w:tcPr>
          <w:p>
            <w:pPr>
              <w:spacing w:after="0"/>
              <w:rPr>
                <w:sz w:val="17"/>
                <w:szCs w:val="17"/>
                <w:color w:val="auto"/>
              </w:rPr>
            </w:pP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(13,535)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(13,034)</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(38,350)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(39,040)</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(18,355)</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1,921</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8,224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(510)</w:t>
            </w:r>
          </w:p>
        </w:tc>
      </w:tr>
      <w:tr>
        <w:trPr>
          <w:trHeight w:val="20"/>
        </w:trPr>
        <w:tc>
          <w:tcPr>
            <w:tcW w:w="54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460" w:type="dxa"/>
            <w:vAlign w:val="bottom"/>
          </w:tcPr>
          <w:p>
            <w:pPr>
              <w:spacing w:after="0" w:line="196" w:lineRule="exact"/>
              <w:rPr>
                <w:sz w:val="20"/>
                <w:szCs w:val="20"/>
                <w:color w:val="auto"/>
              </w:rPr>
            </w:pPr>
            <w:r>
              <w:rPr>
                <w:rFonts w:ascii="Arial" w:cs="Arial" w:eastAsia="Arial" w:hAnsi="Arial"/>
                <w:sz w:val="18"/>
                <w:szCs w:val="18"/>
                <w:color w:val="auto"/>
              </w:rPr>
              <w:t>Total other income (expense)</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(10,126)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(6,881)</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(25,077)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(48,696)</w:t>
            </w:r>
          </w:p>
        </w:tc>
      </w:tr>
      <w:tr>
        <w:trPr>
          <w:trHeight w:val="19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income tax expense</w:t>
            </w: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97,829</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108,107</w:t>
            </w:r>
          </w:p>
        </w:tc>
        <w:tc>
          <w:tcPr>
            <w:tcW w:w="3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287,772</w:t>
            </w:r>
          </w:p>
        </w:tc>
        <w:tc>
          <w:tcPr>
            <w:tcW w:w="1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279,558</w:t>
            </w:r>
          </w:p>
        </w:tc>
        <w:tc>
          <w:tcPr>
            <w:tcW w:w="10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(16,035)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(22,518)</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(53,702)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(58,257)</w:t>
            </w:r>
          </w:p>
        </w:tc>
      </w:tr>
      <w:tr>
        <w:trPr>
          <w:trHeight w:val="196"/>
        </w:trPr>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81,794</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85,589</w:t>
            </w:r>
          </w:p>
        </w:tc>
        <w:tc>
          <w:tcPr>
            <w:tcW w:w="3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234,070</w:t>
            </w:r>
          </w:p>
        </w:tc>
        <w:tc>
          <w:tcPr>
            <w:tcW w:w="1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221,301</w:t>
            </w:r>
          </w:p>
        </w:tc>
        <w:tc>
          <w:tcPr>
            <w:tcW w:w="10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(17,671)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(13,638)</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(48,514)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(40,428)</w:t>
            </w:r>
          </w:p>
        </w:tc>
      </w:tr>
      <w:tr>
        <w:trPr>
          <w:trHeight w:val="236"/>
        </w:trPr>
        <w:tc>
          <w:tcPr>
            <w:tcW w:w="54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income attributable to Parsons Corporation</w:t>
            </w:r>
          </w:p>
        </w:tc>
        <w:tc>
          <w:tcPr>
            <w:tcW w:w="240" w:type="dxa"/>
            <w:vAlign w:val="bottom"/>
            <w:tcBorders>
              <w:top w:val="single" w:sz="8" w:color="auto"/>
              <w:bottom w:val="single" w:sz="8" w:color="auto"/>
            </w:tcBorders>
            <w:shd w:val="clear" w:color="auto" w:fill="CFF0FC"/>
          </w:tcPr>
          <w:p>
            <w:pPr>
              <w:jc w:val="right"/>
              <w:ind w:right="54"/>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64,123</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9"/>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71,951</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4"/>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185,556</w:t>
            </w: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gridSpan w:val="2"/>
            <w:shd w:val="clear" w:color="auto" w:fill="CFF0FC"/>
          </w:tcPr>
          <w:p>
            <w:pPr>
              <w:jc w:val="right"/>
              <w:ind w:right="88"/>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180,873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460" w:type="dxa"/>
            <w:vAlign w:val="bottom"/>
          </w:tcPr>
          <w:p>
            <w:pPr>
              <w:spacing w:after="0" w:line="183" w:lineRule="exact"/>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0.60</w:t>
            </w:r>
          </w:p>
        </w:tc>
        <w:tc>
          <w:tcPr>
            <w:tcW w:w="1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0.68</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7"/>
                <w:szCs w:val="17"/>
                <w:color w:val="auto"/>
              </w:rPr>
            </w:pPr>
          </w:p>
        </w:tc>
      </w:tr>
      <w:tr>
        <w:trPr>
          <w:trHeight w:val="239"/>
        </w:trPr>
        <w:tc>
          <w:tcPr>
            <w:tcW w:w="546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0.59</w:t>
            </w:r>
          </w:p>
        </w:tc>
        <w:tc>
          <w:tcPr>
            <w:tcW w:w="180" w:type="dxa"/>
            <w:vAlign w:val="bottom"/>
          </w:tcPr>
          <w:p>
            <w:pPr>
              <w:spacing w:after="0"/>
              <w:rPr>
                <w:sz w:val="20"/>
                <w:szCs w:val="20"/>
                <w:color w:val="auto"/>
              </w:rPr>
            </w:pP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0.65</w:t>
            </w:r>
          </w:p>
        </w:tc>
        <w:tc>
          <w:tcPr>
            <w:tcW w:w="3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-1762760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-1762760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-1762760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-1762760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-1239520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-1239520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-1239520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-1239520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-433705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-416560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-433705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-416560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-433705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-416560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46"/>
        </w:trPr>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10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71"/>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295"/>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5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44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81,794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85,589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234,070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221,301</w:t>
            </w:r>
          </w:p>
        </w:tc>
        <w:tc>
          <w:tcPr>
            <w:tcW w:w="10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comprehensive income, net of tax</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(4,946)</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(1,195)</w:t>
            </w:r>
          </w:p>
        </w:tc>
      </w:tr>
      <w:tr>
        <w:trPr>
          <w:trHeight w:val="203"/>
        </w:trPr>
        <w:tc>
          <w:tcPr>
            <w:tcW w:w="5980" w:type="dxa"/>
            <w:vAlign w:val="bottom"/>
          </w:tcPr>
          <w:p>
            <w:pPr>
              <w:ind w:left="160"/>
              <w:spacing w:after="0" w:line="202" w:lineRule="exact"/>
              <w:rPr>
                <w:sz w:val="20"/>
                <w:szCs w:val="20"/>
                <w:color w:val="auto"/>
              </w:rPr>
            </w:pPr>
            <w:r>
              <w:rPr>
                <w:rFonts w:ascii="Arial" w:cs="Arial" w:eastAsia="Arial" w:hAnsi="Arial"/>
                <w:sz w:val="18"/>
                <w:szCs w:val="18"/>
                <w:color w:val="auto"/>
              </w:rPr>
              <w:t>Pension adjustments, net of tax</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(1,275)</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(1,206)</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w:t>
            </w:r>
          </w:p>
        </w:tc>
      </w:tr>
      <w:tr>
        <w:trPr>
          <w:trHeight w:val="196"/>
        </w:trPr>
        <w:tc>
          <w:tcPr>
            <w:tcW w:w="5980" w:type="dxa"/>
            <w:vAlign w:val="bottom"/>
            <w:shd w:val="clear" w:color="auto" w:fill="CFF0FC"/>
          </w:tcPr>
          <w:p>
            <w:pPr>
              <w:ind w:left="320"/>
              <w:spacing w:after="0" w:line="196" w:lineRule="exact"/>
              <w:rPr>
                <w:sz w:val="20"/>
                <w:szCs w:val="20"/>
                <w:color w:val="auto"/>
              </w:rPr>
            </w:pPr>
            <w:r>
              <w:rPr>
                <w:rFonts w:ascii="Arial" w:cs="Arial" w:eastAsia="Arial" w:hAnsi="Arial"/>
                <w:sz w:val="18"/>
                <w:szCs w:val="18"/>
                <w:color w:val="auto"/>
              </w:rPr>
              <w:t>Comprehensive income including noncontrolling interests, net of tax</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75,573</w:t>
            </w: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88,589</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236,386</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220,082</w:t>
            </w:r>
          </w:p>
        </w:tc>
        <w:tc>
          <w:tcPr>
            <w:tcW w:w="100" w:type="dxa"/>
            <w:vAlign w:val="bottom"/>
            <w:shd w:val="clear" w:color="auto" w:fill="CFF0FC"/>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Comprehensive income attributable to noncontrolling interests, net of tax</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(17,671)</w:t>
            </w:r>
          </w:p>
        </w:tc>
        <w:tc>
          <w:tcPr>
            <w:tcW w:w="22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(13,641)</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(48,514)</w:t>
            </w:r>
          </w:p>
        </w:tc>
        <w:tc>
          <w:tcPr>
            <w:tcW w:w="22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(40,443)</w:t>
            </w:r>
          </w:p>
        </w:tc>
      </w:tr>
      <w:tr>
        <w:trPr>
          <w:trHeight w:val="20"/>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attributable to Parsons Corporation, net of tax</w:t>
            </w:r>
          </w:p>
        </w:tc>
        <w:tc>
          <w:tcPr>
            <w:tcW w:w="44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57,902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74,948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187,872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179,639</w:t>
            </w:r>
          </w:p>
        </w:tc>
        <w:tc>
          <w:tcPr>
            <w:tcW w:w="100" w:type="dxa"/>
            <w:vAlign w:val="bottom"/>
            <w:shd w:val="clear" w:color="auto" w:fill="CFF0FC"/>
          </w:tcPr>
          <w:p>
            <w:pPr>
              <w:spacing w:after="0"/>
              <w:rPr>
                <w:sz w:val="18"/>
                <w:szCs w:val="18"/>
                <w:color w:val="auto"/>
              </w:rPr>
            </w:pP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-24765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For the Nine Months Ended</w:t>
            </w:r>
          </w:p>
        </w:tc>
      </w:tr>
      <w:tr>
        <w:trPr>
          <w:trHeight w:val="155"/>
        </w:trPr>
        <w:tc>
          <w:tcPr>
            <w:tcW w:w="7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September 30, 2025</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3"/>
                <w:szCs w:val="13"/>
                <w:color w:val="auto"/>
              </w:rPr>
            </w:pPr>
          </w:p>
        </w:tc>
      </w:tr>
      <w:tr>
        <w:trPr>
          <w:trHeight w:val="156"/>
        </w:trPr>
        <w:tc>
          <w:tcPr>
            <w:tcW w:w="76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Net income including noncontrolling interests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234,070</w:t>
            </w:r>
          </w:p>
        </w:tc>
        <w:tc>
          <w:tcPr>
            <w:tcW w:w="12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221,301</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85,844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73,513</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Amortization of debt issue costs</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6,563</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Loss (gain) on disposal of property and equipment</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Convertible debt repurchase loss</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18,355</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Deferred taxes</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27,841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(1,015)</w:t>
            </w: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Foreign currency transaction gains and losses</w:t>
            </w:r>
          </w:p>
        </w:tc>
        <w:tc>
          <w:tcPr>
            <w:tcW w:w="1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(5,327)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Equity in losses of unconsolidated joint ventures</w:t>
            </w:r>
          </w:p>
        </w:tc>
        <w:tc>
          <w:tcPr>
            <w:tcW w:w="12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(6,937)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18,025</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Return on investments in unconsolidated joint ventures</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26,562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31,770</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32,726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39,960</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Contributions of treasury stock</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54,023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43,372</w:t>
            </w:r>
          </w:p>
        </w:tc>
        <w:tc>
          <w:tcPr>
            <w:tcW w:w="100" w:type="dxa"/>
            <w:vAlign w:val="bottom"/>
            <w:shd w:val="clear" w:color="auto" w:fill="CFF0FC"/>
          </w:tcPr>
          <w:p>
            <w:pPr>
              <w:spacing w:after="0"/>
              <w:rPr>
                <w:sz w:val="14"/>
                <w:szCs w:val="14"/>
                <w:color w:val="auto"/>
              </w:rPr>
            </w:pPr>
          </w:p>
        </w:tc>
      </w:tr>
      <w:tr>
        <w:trPr>
          <w:trHeight w:val="153"/>
        </w:trPr>
        <w:tc>
          <w:tcPr>
            <w:tcW w:w="7600" w:type="dxa"/>
            <w:vAlign w:val="bottom"/>
          </w:tcPr>
          <w:p>
            <w:pPr>
              <w:ind w:left="300"/>
              <w:spacing w:after="0" w:line="153" w:lineRule="exact"/>
              <w:rPr>
                <w:sz w:val="20"/>
                <w:szCs w:val="20"/>
                <w:color w:val="auto"/>
              </w:rPr>
            </w:pPr>
            <w:r>
              <w:rPr>
                <w:rFonts w:ascii="Arial" w:cs="Arial" w:eastAsia="Arial" w:hAnsi="Arial"/>
                <w:sz w:val="14"/>
                <w:szCs w:val="14"/>
                <w:color w:val="auto"/>
              </w:rPr>
              <w:t>Changes in assets and liabilities, net of acquisitions and consolidated</w:t>
            </w: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7600" w:type="dxa"/>
            <w:vAlign w:val="bottom"/>
          </w:tcPr>
          <w:p>
            <w:pPr>
              <w:ind w:left="420"/>
              <w:spacing w:after="0"/>
              <w:rPr>
                <w:sz w:val="20"/>
                <w:szCs w:val="20"/>
                <w:color w:val="auto"/>
              </w:rPr>
            </w:pPr>
            <w:r>
              <w:rPr>
                <w:rFonts w:ascii="Arial" w:cs="Arial" w:eastAsia="Arial" w:hAnsi="Arial"/>
                <w:sz w:val="14"/>
                <w:szCs w:val="14"/>
                <w:color w:val="auto"/>
              </w:rPr>
              <w:t>joint ventures:</w:t>
            </w: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Accounts receivable</w:t>
            </w:r>
          </w:p>
        </w:tc>
        <w:tc>
          <w:tcPr>
            <w:tcW w:w="1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(90,740)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(116,468)</w:t>
            </w: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Contract assets</w:t>
            </w:r>
          </w:p>
        </w:tc>
        <w:tc>
          <w:tcPr>
            <w:tcW w:w="12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(70,659)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(29,597)</w:t>
            </w: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(17,249)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32,884</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45,365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56,665</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(47,559)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25,654</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Contract liabilities</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39,497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Income taxes</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(3,354)</w:t>
            </w:r>
          </w:p>
        </w:tc>
      </w:tr>
      <w:tr>
        <w:trPr>
          <w:trHeight w:val="162"/>
        </w:trPr>
        <w:tc>
          <w:tcPr>
            <w:tcW w:w="7600" w:type="dxa"/>
            <w:vAlign w:val="bottom"/>
          </w:tcPr>
          <w:p>
            <w:pPr>
              <w:ind w:left="360"/>
              <w:spacing w:after="0"/>
              <w:rPr>
                <w:sz w:val="20"/>
                <w:szCs w:val="20"/>
                <w:color w:val="auto"/>
              </w:rPr>
            </w:pPr>
            <w:r>
              <w:rPr>
                <w:rFonts w:ascii="Arial" w:cs="Arial" w:eastAsia="Arial" w:hAnsi="Arial"/>
                <w:sz w:val="14"/>
                <w:szCs w:val="14"/>
                <w:color w:val="auto"/>
              </w:rPr>
              <w:t>Other long-term liabilities</w:t>
            </w:r>
          </w:p>
        </w:tc>
        <w:tc>
          <w:tcPr>
            <w:tcW w:w="12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(4,327)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(22,602)</w:t>
            </w:r>
          </w:p>
        </w:tc>
      </w:tr>
      <w:tr>
        <w:trPr>
          <w:trHeight w:val="155"/>
        </w:trPr>
        <w:tc>
          <w:tcPr>
            <w:tcW w:w="7600" w:type="dxa"/>
            <w:vAlign w:val="bottom"/>
            <w:tcBorders>
              <w:bottom w:val="single" w:sz="8" w:color="CFF0FC"/>
            </w:tcBorders>
            <w:shd w:val="clear" w:color="auto" w:fill="CFF0FC"/>
          </w:tcPr>
          <w:p>
            <w:pPr>
              <w:ind w:left="30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310,864</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396,840</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76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Capital expenditures</w:t>
            </w:r>
          </w:p>
        </w:tc>
        <w:tc>
          <w:tcPr>
            <w:tcW w:w="1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(36,030)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(30,446)</w:t>
            </w: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Proceeds from sale of property and equipment</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Payments for acquisitions, net of cash acquired</w:t>
            </w:r>
          </w:p>
        </w:tc>
        <w:tc>
          <w:tcPr>
            <w:tcW w:w="1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(118,294)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(198,875)</w:t>
            </w: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Investments in unconsolidated joint ventures</w:t>
            </w:r>
          </w:p>
        </w:tc>
        <w:tc>
          <w:tcPr>
            <w:tcW w:w="12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(62,383)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(115,446)</w:t>
            </w: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Return of investments in unconsolidated joint ventures</w:t>
            </w:r>
          </w:p>
        </w:tc>
        <w:tc>
          <w:tcPr>
            <w:tcW w:w="12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28,358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4"/>
                <w:szCs w:val="14"/>
                <w:color w:val="auto"/>
              </w:rPr>
            </w:pPr>
          </w:p>
        </w:tc>
      </w:tr>
      <w:tr>
        <w:trPr>
          <w:trHeight w:val="155"/>
        </w:trPr>
        <w:tc>
          <w:tcPr>
            <w:tcW w:w="7600" w:type="dxa"/>
            <w:vAlign w:val="bottom"/>
          </w:tcPr>
          <w:p>
            <w:pPr>
              <w:ind w:left="300"/>
              <w:spacing w:after="0" w:line="155"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(188,314)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(344,614)</w:t>
            </w:r>
          </w:p>
        </w:tc>
        <w:tc>
          <w:tcPr>
            <w:tcW w:w="100" w:type="dxa"/>
            <w:vAlign w:val="bottom"/>
          </w:tcPr>
          <w:p>
            <w:pPr>
              <w:spacing w:after="0"/>
              <w:rPr>
                <w:sz w:val="13"/>
                <w:szCs w:val="13"/>
                <w:color w:val="auto"/>
              </w:rPr>
            </w:pPr>
          </w:p>
        </w:tc>
      </w:tr>
      <w:tr>
        <w:trPr>
          <w:trHeight w:val="156"/>
        </w:trPr>
        <w:tc>
          <w:tcPr>
            <w:tcW w:w="76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Proceeds from borrowings under credit agreement</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243,700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153,200</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Repayments of borrowings under credit agreement</w:t>
            </w:r>
          </w:p>
        </w:tc>
        <w:tc>
          <w:tcPr>
            <w:tcW w:w="1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(243,700)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(153,200)</w:t>
            </w: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Proceeds from issuance of convertible notes due 2029</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Repurchases of convertible notes due 2025</w:t>
            </w:r>
          </w:p>
        </w:tc>
        <w:tc>
          <w:tcPr>
            <w:tcW w:w="1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(113,405)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(495,590)</w:t>
            </w: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Proceeds from term loan</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450,000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Repayment of delayed draw term loan</w:t>
            </w:r>
          </w:p>
        </w:tc>
        <w:tc>
          <w:tcPr>
            <w:tcW w:w="1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(350,000)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Payments for debt issuance costs</w:t>
            </w:r>
          </w:p>
        </w:tc>
        <w:tc>
          <w:tcPr>
            <w:tcW w:w="12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(2,571)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(19,185)</w:t>
            </w: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Contributions by noncontrolling interests</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1,038</w:t>
            </w:r>
          </w:p>
        </w:tc>
        <w:tc>
          <w:tcPr>
            <w:tcW w:w="100" w:type="dxa"/>
            <w:vAlign w:val="bottom"/>
            <w:shd w:val="clear" w:color="auto" w:fill="CFF0FC"/>
          </w:tcPr>
          <w:p>
            <w:pPr>
              <w:spacing w:after="0"/>
              <w:rPr>
                <w:sz w:val="14"/>
                <w:szCs w:val="14"/>
                <w:color w:val="auto"/>
              </w:rPr>
            </w:pP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Distributions to noncontrolling interests</w:t>
            </w:r>
          </w:p>
        </w:tc>
        <w:tc>
          <w:tcPr>
            <w:tcW w:w="12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(62,827)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(29,006)</w:t>
            </w: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Repurchases of common stock</w:t>
            </w:r>
          </w:p>
        </w:tc>
        <w:tc>
          <w:tcPr>
            <w:tcW w:w="1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(64,994)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(10,000)</w:t>
            </w: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Taxes paid on vested stock</w:t>
            </w:r>
          </w:p>
        </w:tc>
        <w:tc>
          <w:tcPr>
            <w:tcW w:w="120" w:type="dxa"/>
            <w:vAlign w:val="bottom"/>
          </w:tcPr>
          <w:p>
            <w:pPr>
              <w:spacing w:after="0"/>
              <w:rPr>
                <w:sz w:val="14"/>
                <w:szCs w:val="1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color w:val="auto"/>
              </w:rPr>
              <w:t>(18,958)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(19,228)</w:t>
            </w: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Capped call transactions</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(88,400)</w:t>
            </w: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Bond hedge termination</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195,549</w:t>
            </w:r>
          </w:p>
        </w:tc>
        <w:tc>
          <w:tcPr>
            <w:tcW w:w="100" w:type="dxa"/>
            <w:vAlign w:val="bottom"/>
          </w:tcPr>
          <w:p>
            <w:pPr>
              <w:spacing w:after="0"/>
              <w:rPr>
                <w:sz w:val="14"/>
                <w:szCs w:val="14"/>
                <w:color w:val="auto"/>
              </w:rPr>
            </w:pPr>
          </w:p>
        </w:tc>
      </w:tr>
      <w:tr>
        <w:trPr>
          <w:trHeight w:val="162"/>
        </w:trPr>
        <w:tc>
          <w:tcPr>
            <w:tcW w:w="7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Redemption of warrants</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(104,952)</w:t>
            </w: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Proceeds from issuance of common stock</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3,740</w:t>
            </w:r>
          </w:p>
        </w:tc>
        <w:tc>
          <w:tcPr>
            <w:tcW w:w="100" w:type="dxa"/>
            <w:vAlign w:val="bottom"/>
          </w:tcPr>
          <w:p>
            <w:pPr>
              <w:spacing w:after="0"/>
              <w:rPr>
                <w:sz w:val="14"/>
                <w:szCs w:val="14"/>
                <w:color w:val="auto"/>
              </w:rPr>
            </w:pPr>
          </w:p>
        </w:tc>
      </w:tr>
      <w:tr>
        <w:trPr>
          <w:trHeight w:val="155"/>
        </w:trPr>
        <w:tc>
          <w:tcPr>
            <w:tcW w:w="760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12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(156,456)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233,966</w:t>
            </w:r>
          </w:p>
        </w:tc>
        <w:tc>
          <w:tcPr>
            <w:tcW w:w="100" w:type="dxa"/>
            <w:vAlign w:val="bottom"/>
            <w:shd w:val="clear" w:color="auto" w:fill="CFF0FC"/>
          </w:tcPr>
          <w:p>
            <w:pPr>
              <w:spacing w:after="0"/>
              <w:rPr>
                <w:sz w:val="13"/>
                <w:szCs w:val="13"/>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600" w:type="dxa"/>
            <w:vAlign w:val="bottom"/>
          </w:tcPr>
          <w:p>
            <w:pPr>
              <w:ind w:left="300"/>
              <w:spacing w:after="0" w:line="155" w:lineRule="exact"/>
              <w:rPr>
                <w:sz w:val="20"/>
                <w:szCs w:val="20"/>
                <w:color w:val="auto"/>
              </w:rPr>
            </w:pPr>
            <w:r>
              <w:rPr>
                <w:rFonts w:ascii="Arial" w:cs="Arial" w:eastAsia="Arial" w:hAnsi="Arial"/>
                <w:sz w:val="14"/>
                <w:szCs w:val="14"/>
                <w:color w:val="auto"/>
              </w:rPr>
              <w:t>Effect of exchange rate changes</w:t>
            </w:r>
          </w:p>
        </w:tc>
        <w:tc>
          <w:tcPr>
            <w:tcW w:w="12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2,912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(312)</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0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12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(30,994)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285,880</w:t>
            </w:r>
          </w:p>
        </w:tc>
        <w:tc>
          <w:tcPr>
            <w:tcW w:w="100" w:type="dxa"/>
            <w:vAlign w:val="bottom"/>
            <w:shd w:val="clear" w:color="auto" w:fill="CFF0FC"/>
          </w:tcPr>
          <w:p>
            <w:pPr>
              <w:spacing w:after="0"/>
              <w:rPr>
                <w:sz w:val="13"/>
                <w:szCs w:val="13"/>
                <w:color w:val="auto"/>
              </w:rPr>
            </w:pPr>
          </w:p>
        </w:tc>
      </w:tr>
      <w:tr>
        <w:trPr>
          <w:trHeight w:val="162"/>
        </w:trPr>
        <w:tc>
          <w:tcPr>
            <w:tcW w:w="7600" w:type="dxa"/>
            <w:vAlign w:val="bottom"/>
          </w:tcPr>
          <w:p>
            <w:pPr>
              <w:ind w:left="300"/>
              <w:spacing w:after="0"/>
              <w:rPr>
                <w:sz w:val="20"/>
                <w:szCs w:val="20"/>
                <w:color w:val="auto"/>
              </w:rPr>
            </w:pPr>
            <w:r>
              <w:rPr>
                <w:rFonts w:ascii="Arial" w:cs="Arial" w:eastAsia="Arial" w:hAnsi="Arial"/>
                <w:sz w:val="14"/>
                <w:szCs w:val="14"/>
                <w:color w:val="auto"/>
              </w:rPr>
              <w:t>Cash, cash equivalents and restricted cash:</w:t>
            </w: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Beginning of year</w:t>
            </w:r>
          </w:p>
        </w:tc>
        <w:tc>
          <w:tcPr>
            <w:tcW w:w="12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453,548</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272,943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600" w:type="dxa"/>
            <w:vAlign w:val="bottom"/>
          </w:tcPr>
          <w:p>
            <w:pPr>
              <w:ind w:left="300"/>
              <w:spacing w:after="0" w:line="155" w:lineRule="exact"/>
              <w:rPr>
                <w:sz w:val="20"/>
                <w:szCs w:val="20"/>
                <w:color w:val="auto"/>
              </w:rPr>
            </w:pPr>
            <w:r>
              <w:rPr>
                <w:rFonts w:ascii="Arial" w:cs="Arial" w:eastAsia="Arial" w:hAnsi="Arial"/>
                <w:sz w:val="14"/>
                <w:szCs w:val="14"/>
                <w:color w:val="auto"/>
              </w:rPr>
              <w:t>End of period</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422,554</w:t>
            </w:r>
          </w:p>
        </w:tc>
        <w:tc>
          <w:tcPr>
            <w:tcW w:w="120" w:type="dxa"/>
            <w:vAlign w:val="bottom"/>
          </w:tcPr>
          <w:p>
            <w:pPr>
              <w:spacing w:after="0"/>
              <w:rPr>
                <w:sz w:val="13"/>
                <w:szCs w:val="13"/>
                <w:color w:val="auto"/>
              </w:rPr>
            </w:pP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560" w:type="dxa"/>
            <w:vAlign w:val="bottom"/>
          </w:tcPr>
          <w:p>
            <w:pPr>
              <w:jc w:val="right"/>
              <w:spacing w:after="0" w:line="155" w:lineRule="exact"/>
              <w:rPr>
                <w:sz w:val="20"/>
                <w:szCs w:val="20"/>
                <w:color w:val="auto"/>
              </w:rPr>
            </w:pPr>
            <w:r>
              <w:rPr>
                <w:rFonts w:ascii="Arial" w:cs="Arial" w:eastAsia="Arial" w:hAnsi="Arial"/>
                <w:sz w:val="14"/>
                <w:szCs w:val="14"/>
                <w:color w:val="auto"/>
              </w:rPr>
              <w:t>558,823</w:t>
            </w:r>
          </w:p>
        </w:tc>
        <w:tc>
          <w:tcPr>
            <w:tcW w:w="100" w:type="dxa"/>
            <w:vAlign w:val="bottom"/>
          </w:tcPr>
          <w:p>
            <w:pPr>
              <w:spacing w:after="0"/>
              <w:rPr>
                <w:sz w:val="13"/>
                <w:szCs w:val="13"/>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-3068320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-2455545</wp:posOffset>
            </wp:positionV>
            <wp:extent cx="9398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-2455545</wp:posOffset>
            </wp:positionV>
            <wp:extent cx="9398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-565150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-136525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September 30, 2025 and September 30, 2024</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Parsons</w:t>
            </w:r>
          </w:p>
        </w:tc>
        <w:tc>
          <w:tcPr>
            <w:tcW w:w="80" w:type="dxa"/>
            <w:vAlign w:val="bottom"/>
          </w:tcPr>
          <w:p>
            <w:pPr>
              <w:spacing w:after="0"/>
              <w:rPr>
                <w:sz w:val="14"/>
                <w:szCs w:val="14"/>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00" w:type="dxa"/>
            <w:vAlign w:val="bottom"/>
            <w:tcBorders>
              <w:top w:val="single" w:sz="8" w:color="CFF0FC"/>
            </w:tcBorders>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Balance at June 30, 2025</w:t>
            </w:r>
          </w:p>
        </w:tc>
        <w:tc>
          <w:tcPr>
            <w:tcW w:w="260" w:type="dxa"/>
            <w:vAlign w:val="bottom"/>
            <w:tcBorders>
              <w:top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146,676</w:t>
            </w: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CFF0FC"/>
            </w:tcBorders>
            <w:gridSpan w:val="2"/>
            <w:shd w:val="clear" w:color="auto" w:fill="CFF0FC"/>
          </w:tcPr>
          <w:p>
            <w:pPr>
              <w:jc w:val="right"/>
              <w:ind w:right="59"/>
              <w:spacing w:after="0" w:line="149" w:lineRule="exact"/>
              <w:rPr>
                <w:sz w:val="20"/>
                <w:szCs w:val="20"/>
                <w:color w:val="auto"/>
              </w:rPr>
            </w:pPr>
            <w:r>
              <w:rPr>
                <w:rFonts w:ascii="Arial" w:cs="Arial" w:eastAsia="Arial" w:hAnsi="Arial"/>
                <w:sz w:val="14"/>
                <w:szCs w:val="14"/>
                <w:color w:val="auto"/>
              </w:rPr>
              <w:t>(815,282)</w:t>
            </w:r>
          </w:p>
        </w:tc>
        <w:tc>
          <w:tcPr>
            <w:tcW w:w="180" w:type="dxa"/>
            <w:vAlign w:val="bottom"/>
            <w:tcBorders>
              <w:top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2,660,579</w:t>
            </w:r>
          </w:p>
        </w:tc>
        <w:tc>
          <w:tcPr>
            <w:tcW w:w="14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541,965</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CFF0FC"/>
            </w:tcBorders>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(18,067)</w:t>
            </w: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2,515,871</w:t>
            </w:r>
          </w:p>
        </w:tc>
        <w:tc>
          <w:tcPr>
            <w:tcW w:w="1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CFF0FC"/>
            </w:tcBorders>
            <w:gridSpan w:val="2"/>
            <w:shd w:val="clear" w:color="auto" w:fill="CFF0F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105,740</w:t>
            </w:r>
          </w:p>
        </w:tc>
        <w:tc>
          <w:tcPr>
            <w:tcW w:w="14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2,621,611</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top w:val="single" w:sz="8" w:color="CFF0FC"/>
            </w:tcBorders>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64,123</w:t>
            </w: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64,123</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17,671</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81,794</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0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Foreign currency translation</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net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(4,940)</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(4,940)</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(4,946)</w:t>
            </w:r>
          </w:p>
        </w:tc>
        <w:tc>
          <w:tcPr>
            <w:tcW w:w="0" w:type="dxa"/>
            <w:vAlign w:val="bottom"/>
          </w:tcPr>
          <w:p>
            <w:pPr>
              <w:spacing w:after="0"/>
              <w:rPr>
                <w:sz w:val="1"/>
                <w:szCs w:val="1"/>
                <w:color w:val="auto"/>
              </w:rPr>
            </w:pPr>
          </w:p>
        </w:tc>
      </w:tr>
      <w:tr>
        <w:trPr>
          <w:trHeight w:val="153"/>
        </w:trPr>
        <w:tc>
          <w:tcPr>
            <w:tcW w:w="2100" w:type="dxa"/>
            <w:vAlign w:val="bottom"/>
          </w:tcPr>
          <w:p>
            <w:pPr>
              <w:ind w:left="40"/>
              <w:spacing w:after="0" w:line="153" w:lineRule="exact"/>
              <w:rPr>
                <w:sz w:val="20"/>
                <w:szCs w:val="20"/>
                <w:color w:val="auto"/>
              </w:rPr>
            </w:pPr>
            <w:r>
              <w:rPr>
                <w:rFonts w:ascii="Arial" w:cs="Arial" w:eastAsia="Arial" w:hAnsi="Arial"/>
                <w:sz w:val="14"/>
                <w:szCs w:val="14"/>
                <w:color w:val="auto"/>
              </w:rPr>
              <w:t>Pension adjustments,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12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(1,275)</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Distributions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(17,771)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(17,771)</w:t>
            </w:r>
          </w:p>
        </w:tc>
        <w:tc>
          <w:tcPr>
            <w:tcW w:w="0" w:type="dxa"/>
            <w:vAlign w:val="bottom"/>
          </w:tcPr>
          <w:p>
            <w:pPr>
              <w:spacing w:after="0"/>
              <w:rPr>
                <w:sz w:val="1"/>
                <w:szCs w:val="1"/>
                <w:color w:val="auto"/>
              </w:rPr>
            </w:pPr>
          </w:p>
        </w:tc>
      </w:tr>
      <w:tr>
        <w:trPr>
          <w:trHeight w:val="153"/>
        </w:trPr>
        <w:tc>
          <w:tcPr>
            <w:tcW w:w="210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Issuance of equity securities,</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 of retirement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(749)</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(24,677)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(25,000)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62"/>
        </w:trPr>
        <w:tc>
          <w:tcPr>
            <w:tcW w:w="2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Stock based compensation</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9,800</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9,800</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9,800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line="147" w:lineRule="exact"/>
              <w:rPr>
                <w:sz w:val="20"/>
                <w:szCs w:val="20"/>
                <w:color w:val="auto"/>
              </w:rPr>
            </w:pPr>
            <w:r>
              <w:rPr>
                <w:rFonts w:ascii="Arial" w:cs="Arial" w:eastAsia="Arial" w:hAnsi="Arial"/>
                <w:sz w:val="14"/>
                <w:szCs w:val="14"/>
                <w:b w:val="1"/>
                <w:bCs w:val="1"/>
                <w:color w:val="auto"/>
              </w:rPr>
              <w:t>Balance at September 30,</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146,369</w:t>
            </w:r>
          </w:p>
        </w:tc>
        <w:tc>
          <w:tcPr>
            <w:tcW w:w="2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(815,282</w:t>
            </w:r>
          </w:p>
        </w:tc>
        <w:tc>
          <w:tcPr>
            <w:tcW w:w="140" w:type="dxa"/>
            <w:vAlign w:val="bottom"/>
            <w:vMerge w:val="restart"/>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2,645,230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605,795</w:t>
            </w:r>
          </w:p>
        </w:tc>
        <w:tc>
          <w:tcPr>
            <w:tcW w:w="2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(24,282)</w:t>
            </w:r>
          </w:p>
        </w:tc>
        <w:tc>
          <w:tcPr>
            <w:tcW w:w="2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2,557,830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106,810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2,664,640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00" w:type="dxa"/>
            <w:vAlign w:val="bottom"/>
          </w:tcPr>
          <w:p>
            <w:pPr>
              <w:spacing w:after="0" w:line="12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2024</w:t>
            </w:r>
          </w:p>
        </w:tc>
        <w:tc>
          <w:tcPr>
            <w:tcW w:w="2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146,697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59"/>
              <w:spacing w:after="0" w:line="155" w:lineRule="exact"/>
              <w:rPr>
                <w:sz w:val="20"/>
                <w:szCs w:val="20"/>
                <w:color w:val="auto"/>
              </w:rPr>
            </w:pPr>
            <w:r>
              <w:rPr>
                <w:rFonts w:ascii="Arial" w:cs="Arial" w:eastAsia="Arial" w:hAnsi="Arial"/>
                <w:sz w:val="14"/>
                <w:szCs w:val="14"/>
                <w:color w:val="auto"/>
              </w:rPr>
              <w:t>(827,311)</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2,615,623</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302,640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(19,139)</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2,218,510</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101,134</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2,319,644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00" w:type="dxa"/>
            <w:vAlign w:val="bottom"/>
            <w:tcBorders>
              <w:top w:val="single" w:sz="8" w:color="CFF0FC"/>
            </w:tcBorders>
          </w:tcPr>
          <w:p>
            <w:pPr>
              <w:spacing w:after="0"/>
              <w:rPr>
                <w:sz w:val="20"/>
                <w:szCs w:val="20"/>
                <w:color w:val="auto"/>
              </w:rPr>
            </w:pPr>
            <w:r>
              <w:rPr>
                <w:rFonts w:ascii="Arial" w:cs="Arial" w:eastAsia="Arial" w:hAnsi="Arial"/>
                <w:sz w:val="14"/>
                <w:szCs w:val="14"/>
                <w:color w:val="auto"/>
              </w:rPr>
              <w:t>Net income</w:t>
            </w: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71,951</w:t>
            </w: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71,951</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13,638</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85,589</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0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Foreign currency translation</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FF0FC"/>
          </w:tcPr>
          <w:p>
            <w:pPr>
              <w:ind w:left="80"/>
              <w:spacing w:after="0"/>
              <w:rPr>
                <w:sz w:val="20"/>
                <w:szCs w:val="20"/>
                <w:color w:val="auto"/>
              </w:rPr>
            </w:pPr>
            <w:r>
              <w:rPr>
                <w:rFonts w:ascii="Arial" w:cs="Arial" w:eastAsia="Arial" w:hAnsi="Arial"/>
                <w:sz w:val="14"/>
                <w:szCs w:val="14"/>
                <w:color w:val="auto"/>
              </w:rPr>
              <w:t>gain, net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00" w:type="dxa"/>
            <w:vAlign w:val="bottom"/>
          </w:tcPr>
          <w:p>
            <w:pPr>
              <w:spacing w:after="0" w:line="153" w:lineRule="exact"/>
              <w:rPr>
                <w:sz w:val="20"/>
                <w:szCs w:val="20"/>
                <w:color w:val="auto"/>
              </w:rPr>
            </w:pPr>
            <w:r>
              <w:rPr>
                <w:rFonts w:ascii="Arial" w:cs="Arial" w:eastAsia="Arial" w:hAnsi="Arial"/>
                <w:sz w:val="14"/>
                <w:szCs w:val="14"/>
                <w:color w:val="auto"/>
              </w:rPr>
              <w:t>Pension adjustments,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8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Distributions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(13,757)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(13,757)</w:t>
            </w:r>
          </w:p>
        </w:tc>
        <w:tc>
          <w:tcPr>
            <w:tcW w:w="0" w:type="dxa"/>
            <w:vAlign w:val="bottom"/>
          </w:tcPr>
          <w:p>
            <w:pPr>
              <w:spacing w:after="0"/>
              <w:rPr>
                <w:sz w:val="1"/>
                <w:szCs w:val="1"/>
                <w:color w:val="auto"/>
              </w:rPr>
            </w:pPr>
          </w:p>
        </w:tc>
      </w:tr>
      <w:tr>
        <w:trPr>
          <w:trHeight w:val="153"/>
        </w:trPr>
        <w:tc>
          <w:tcPr>
            <w:tcW w:w="210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Issuance of equity securities,</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 of retirements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(291)</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0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Balance at September 30,</w:t>
            </w:r>
          </w:p>
        </w:tc>
        <w:tc>
          <w:tcPr>
            <w:tcW w:w="14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146,703</w:t>
            </w:r>
          </w:p>
        </w:tc>
        <w:tc>
          <w:tcPr>
            <w:tcW w:w="24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(827,311</w:t>
            </w:r>
          </w:p>
        </w:tc>
        <w:tc>
          <w:tcPr>
            <w:tcW w:w="140" w:type="dxa"/>
            <w:vAlign w:val="bottom"/>
            <w:vMerge w:val="restart"/>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2,634,763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374,439</w:t>
            </w:r>
          </w:p>
        </w:tc>
        <w:tc>
          <w:tcPr>
            <w:tcW w:w="2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(16,142)</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2,312,452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101,979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2,414,431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tcBorders>
              <w:bottom w:val="single" w:sz="8" w:color="CFF0FC"/>
            </w:tcBorders>
            <w:shd w:val="clear" w:color="auto" w:fill="CFF0FC"/>
          </w:tcPr>
          <w:p>
            <w:pPr>
              <w:spacing w:after="0" w:line="125" w:lineRule="exact"/>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-2957195</wp:posOffset>
            </wp:positionV>
            <wp:extent cx="768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-2957195</wp:posOffset>
            </wp:positionV>
            <wp:extent cx="768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-2957195</wp:posOffset>
            </wp:positionV>
            <wp:extent cx="774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-2957195</wp:posOffset>
            </wp:positionV>
            <wp:extent cx="6858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-2957195</wp:posOffset>
            </wp:positionV>
            <wp:extent cx="6858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-3081020</wp:posOffset>
            </wp:positionV>
            <wp:extent cx="9398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-2957195</wp:posOffset>
            </wp:positionV>
            <wp:extent cx="6858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-2957195</wp:posOffset>
            </wp:positionV>
            <wp:extent cx="6858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-1799590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-1799590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-1799590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-1799590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-1799590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-1799590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-1799590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-1268095</wp:posOffset>
            </wp:positionV>
            <wp:extent cx="768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-1268095</wp:posOffset>
            </wp:positionV>
            <wp:extent cx="7683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-1268095</wp:posOffset>
            </wp:positionV>
            <wp:extent cx="7747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-1268095</wp:posOffset>
            </wp:positionV>
            <wp:extent cx="6858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-1268095</wp:posOffset>
            </wp:positionV>
            <wp:extent cx="6858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-1268095</wp:posOffset>
            </wp:positionV>
            <wp:extent cx="6858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-1268095</wp:posOffset>
            </wp:positionV>
            <wp:extent cx="6858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-24765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Nine Months Ended September 30, 2025 and September 30, 2024</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Parsons</w:t>
            </w:r>
          </w:p>
        </w:tc>
        <w:tc>
          <w:tcPr>
            <w:tcW w:w="80" w:type="dxa"/>
            <w:vAlign w:val="bottom"/>
          </w:tcPr>
          <w:p>
            <w:pPr>
              <w:spacing w:after="0"/>
              <w:rPr>
                <w:sz w:val="14"/>
                <w:szCs w:val="14"/>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2024</w:t>
            </w: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146,655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59"/>
              <w:spacing w:after="0" w:line="155" w:lineRule="exact"/>
              <w:rPr>
                <w:sz w:val="20"/>
                <w:szCs w:val="20"/>
                <w:color w:val="auto"/>
              </w:rPr>
            </w:pPr>
            <w:r>
              <w:rPr>
                <w:rFonts w:ascii="Arial" w:cs="Arial" w:eastAsia="Arial" w:hAnsi="Arial"/>
                <w:sz w:val="14"/>
                <w:szCs w:val="14"/>
                <w:color w:val="auto"/>
              </w:rPr>
              <w:t>(815,282)</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2,684,829</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426,781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(26,594)</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2,416,389</w:t>
            </w:r>
          </w:p>
        </w:tc>
        <w:tc>
          <w:tcPr>
            <w:tcW w:w="14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118,100</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2,534,489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Net income</w:t>
            </w:r>
          </w:p>
        </w:tc>
        <w:tc>
          <w:tcPr>
            <w:tcW w:w="1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185,556</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185,556</w:t>
            </w: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48,514</w:t>
            </w: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234,070</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40"/>
              <w:spacing w:after="0" w:line="153" w:lineRule="exact"/>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20" w:type="dxa"/>
            <w:vAlign w:val="bottom"/>
          </w:tcPr>
          <w:p>
            <w:pPr>
              <w:ind w:left="120"/>
              <w:spacing w:after="0"/>
              <w:rPr>
                <w:sz w:val="20"/>
                <w:szCs w:val="20"/>
                <w:color w:val="auto"/>
              </w:rPr>
            </w:pPr>
            <w:r>
              <w:rPr>
                <w:rFonts w:ascii="Arial" w:cs="Arial" w:eastAsia="Arial" w:hAnsi="Arial"/>
                <w:sz w:val="14"/>
                <w:szCs w:val="14"/>
                <w:color w:val="auto"/>
              </w:rPr>
              <w:t>gain, 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Pension adjustments,</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(1,206)</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(1,206)</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Contributions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(62,825)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(62,825)</w:t>
            </w:r>
          </w:p>
        </w:tc>
        <w:tc>
          <w:tcPr>
            <w:tcW w:w="0" w:type="dxa"/>
            <w:vAlign w:val="bottom"/>
          </w:tcPr>
          <w:p>
            <w:pPr>
              <w:spacing w:after="0"/>
              <w:rPr>
                <w:sz w:val="1"/>
                <w:szCs w:val="1"/>
                <w:color w:val="auto"/>
              </w:rPr>
            </w:pPr>
          </w:p>
        </w:tc>
      </w:tr>
      <w:tr>
        <w:trPr>
          <w:trHeight w:val="153"/>
        </w:trPr>
        <w:tc>
          <w:tcPr>
            <w:tcW w:w="2120" w:type="dxa"/>
            <w:vAlign w:val="bottom"/>
          </w:tcPr>
          <w:p>
            <w:pPr>
              <w:spacing w:after="0" w:line="153" w:lineRule="exact"/>
              <w:rPr>
                <w:sz w:val="20"/>
                <w:szCs w:val="20"/>
                <w:color w:val="auto"/>
              </w:rPr>
            </w:pPr>
            <w:r>
              <w:rPr>
                <w:rFonts w:ascii="Arial" w:cs="Arial" w:eastAsia="Arial" w:hAnsi="Arial"/>
                <w:sz w:val="14"/>
                <w:szCs w:val="14"/>
                <w:color w:val="auto"/>
              </w:rPr>
              <w:t>Issuance of equity securities,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20" w:type="dxa"/>
            <w:vAlign w:val="bottom"/>
          </w:tcPr>
          <w:p>
            <w:pPr>
              <w:ind w:left="80"/>
              <w:spacing w:after="0"/>
              <w:rPr>
                <w:sz w:val="20"/>
                <w:szCs w:val="20"/>
                <w:color w:val="auto"/>
              </w:rPr>
            </w:pPr>
            <w:r>
              <w:rPr>
                <w:rFonts w:ascii="Arial" w:cs="Arial" w:eastAsia="Arial" w:hAnsi="Arial"/>
                <w:sz w:val="14"/>
                <w:szCs w:val="14"/>
                <w:color w:val="auto"/>
              </w:rPr>
              <w:t>net of retirement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(8,297)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(6,542)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(14,159)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(14,159)</w:t>
            </w: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Repurchases of common stock</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(966)</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(64,028)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(64,994)</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(64,994)</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2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Balance at September 30,</w:t>
            </w:r>
          </w:p>
        </w:tc>
        <w:tc>
          <w:tcPr>
            <w:tcW w:w="1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146,369</w:t>
            </w:r>
          </w:p>
        </w:tc>
        <w:tc>
          <w:tcPr>
            <w:tcW w:w="24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(815,282</w:t>
            </w:r>
          </w:p>
        </w:tc>
        <w:tc>
          <w:tcPr>
            <w:tcW w:w="140" w:type="dxa"/>
            <w:vAlign w:val="bottom"/>
            <w:vMerge w:val="restart"/>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2,645,230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605,795</w:t>
            </w:r>
          </w:p>
        </w:tc>
        <w:tc>
          <w:tcPr>
            <w:tcW w:w="2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(24,282)</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2,557,830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106,810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2,664,640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tcBorders>
              <w:bottom w:val="single" w:sz="8" w:color="CFF0FC"/>
            </w:tcBorders>
            <w:shd w:val="clear" w:color="auto" w:fill="CFF0FC"/>
          </w:tcPr>
          <w:p>
            <w:pPr>
              <w:spacing w:after="0" w:line="12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2023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146,341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(827,311)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2,779,365</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203,724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(14,908)</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2,287,211</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89,504</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2,376,715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20" w:type="dxa"/>
            <w:vAlign w:val="bottom"/>
            <w:tcBorders>
              <w:top w:val="single" w:sz="8" w:color="CFF0FC"/>
            </w:tcBorders>
            <w:shd w:val="clear" w:color="auto" w:fill="CFF0FC"/>
          </w:tcPr>
          <w:p>
            <w:pPr>
              <w:ind w:left="40"/>
              <w:spacing w:after="0" w:line="155" w:lineRule="exact"/>
              <w:rPr>
                <w:sz w:val="20"/>
                <w:szCs w:val="20"/>
                <w:color w:val="auto"/>
              </w:rPr>
            </w:pPr>
            <w:r>
              <w:rPr>
                <w:rFonts w:ascii="Arial" w:cs="Arial" w:eastAsia="Arial" w:hAnsi="Arial"/>
                <w:sz w:val="14"/>
                <w:szCs w:val="14"/>
                <w:color w:val="auto"/>
              </w:rPr>
              <w:t>Net income</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180,873</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180,873</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40,428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221,301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40"/>
              <w:spacing w:after="0" w:line="153" w:lineRule="exact"/>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20" w:type="dxa"/>
            <w:vAlign w:val="bottom"/>
          </w:tcPr>
          <w:p>
            <w:pPr>
              <w:ind w:left="120"/>
              <w:spacing w:after="0"/>
              <w:rPr>
                <w:sz w:val="20"/>
                <w:szCs w:val="20"/>
                <w:color w:val="auto"/>
              </w:rPr>
            </w:pPr>
            <w:r>
              <w:rPr>
                <w:rFonts w:ascii="Arial" w:cs="Arial" w:eastAsia="Arial" w:hAnsi="Arial"/>
                <w:sz w:val="14"/>
                <w:szCs w:val="14"/>
                <w:color w:val="auto"/>
              </w:rPr>
              <w:t>loss, 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(1,210)</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53"/>
        </w:trPr>
        <w:tc>
          <w:tcPr>
            <w:tcW w:w="212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Pension adjustments,</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(24)</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Contributions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(29,006)</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(29,006)</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Capped call transactions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(66,121)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(66,121)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(66,121)</w:t>
            </w: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Repurchase of warrants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(104,952)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(104,952)</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(104,952)</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Bond hedge termination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149,308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149,308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149,308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Convertible debt inducement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(147,105)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(147,105)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(147,105)</w:t>
            </w:r>
          </w:p>
        </w:tc>
        <w:tc>
          <w:tcPr>
            <w:tcW w:w="0" w:type="dxa"/>
            <w:vAlign w:val="bottom"/>
          </w:tcPr>
          <w:p>
            <w:pPr>
              <w:spacing w:after="0"/>
              <w:rPr>
                <w:sz w:val="1"/>
                <w:szCs w:val="1"/>
                <w:color w:val="auto"/>
              </w:rPr>
            </w:pPr>
          </w:p>
        </w:tc>
      </w:tr>
      <w:tr>
        <w:trPr>
          <w:trHeight w:val="153"/>
        </w:trPr>
        <w:tc>
          <w:tcPr>
            <w:tcW w:w="2120" w:type="dxa"/>
            <w:vAlign w:val="bottom"/>
          </w:tcPr>
          <w:p>
            <w:pPr>
              <w:spacing w:after="0" w:line="153" w:lineRule="exact"/>
              <w:rPr>
                <w:sz w:val="20"/>
                <w:szCs w:val="20"/>
                <w:color w:val="auto"/>
              </w:rPr>
            </w:pPr>
            <w:r>
              <w:rPr>
                <w:rFonts w:ascii="Arial" w:cs="Arial" w:eastAsia="Arial" w:hAnsi="Arial"/>
                <w:sz w:val="14"/>
                <w:szCs w:val="14"/>
                <w:color w:val="auto"/>
              </w:rPr>
              <w:t>Issuance of equity securities,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20" w:type="dxa"/>
            <w:vAlign w:val="bottom"/>
          </w:tcPr>
          <w:p>
            <w:pPr>
              <w:ind w:left="80"/>
              <w:spacing w:after="0"/>
              <w:rPr>
                <w:sz w:val="20"/>
                <w:szCs w:val="20"/>
                <w:color w:val="auto"/>
              </w:rPr>
            </w:pPr>
            <w:r>
              <w:rPr>
                <w:rFonts w:ascii="Arial" w:cs="Arial" w:eastAsia="Arial" w:hAnsi="Arial"/>
                <w:sz w:val="14"/>
                <w:szCs w:val="14"/>
                <w:color w:val="auto"/>
              </w:rPr>
              <w:t>net of retirement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(5,823)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(10,158)</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(15,488)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(15,488)</w:t>
            </w: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Repurchases of common stock</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(9,869)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39,960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2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Balance at September 30,</w:t>
            </w:r>
          </w:p>
        </w:tc>
        <w:tc>
          <w:tcPr>
            <w:tcW w:w="1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146,703</w:t>
            </w:r>
          </w:p>
        </w:tc>
        <w:tc>
          <w:tcPr>
            <w:tcW w:w="24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(827,311</w:t>
            </w:r>
          </w:p>
        </w:tc>
        <w:tc>
          <w:tcPr>
            <w:tcW w:w="140" w:type="dxa"/>
            <w:vAlign w:val="bottom"/>
            <w:vMerge w:val="restart"/>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2,634,763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374,439</w:t>
            </w:r>
          </w:p>
        </w:tc>
        <w:tc>
          <w:tcPr>
            <w:tcW w:w="2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(16,142)</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2,312,452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101,979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2,414,431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tcBorders>
              <w:bottom w:val="single" w:sz="8" w:color="CFF0FC"/>
            </w:tcBorders>
            <w:shd w:val="clear" w:color="auto" w:fill="CFF0FC"/>
          </w:tcPr>
          <w:p>
            <w:pPr>
              <w:spacing w:after="0" w:line="125" w:lineRule="exact"/>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-3445510</wp:posOffset>
            </wp:positionV>
            <wp:extent cx="768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-3445510</wp:posOffset>
            </wp:positionV>
            <wp:extent cx="768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-3445510</wp:posOffset>
            </wp:positionV>
            <wp:extent cx="774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-3445510</wp:posOffset>
            </wp:positionV>
            <wp:extent cx="6858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-3445510</wp:posOffset>
            </wp:positionV>
            <wp:extent cx="6858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-3445510</wp:posOffset>
            </wp:positionV>
            <wp:extent cx="6858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-3445510</wp:posOffset>
            </wp:positionV>
            <wp:extent cx="6858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-2099945</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-2082165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-2099945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-2082165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-2099945</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-2082165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-2099945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-2082165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-2099945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-2082165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-2099945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-2082165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-2099945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-2082165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-1765300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-1765300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-1765300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-1765300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-1765300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-1765300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-1765300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-24765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-7620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-24765</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96" w:lineRule="exact"/>
        <w:rPr>
          <w:sz w:val="20"/>
          <w:szCs w:val="20"/>
          <w:color w:val="auto"/>
        </w:rPr>
      </w:pPr>
    </w:p>
    <w:p>
      <w:pPr>
        <w:ind w:left="660" w:right="8380" w:hanging="652"/>
        <w:spacing w:after="0" w:line="48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60" w:firstLine="644"/>
        <w:spacing w:after="0" w:line="247"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 maintained to carry out specific projects.</w:t>
      </w:r>
    </w:p>
    <w:p>
      <w:pPr>
        <w:spacing w:after="0" w:line="17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2" w:lineRule="exact"/>
        <w:rPr>
          <w:sz w:val="20"/>
          <w:szCs w:val="20"/>
          <w:color w:val="auto"/>
        </w:rPr>
      </w:pPr>
    </w:p>
    <w:p>
      <w:pPr>
        <w:ind w:right="400" w:firstLine="636"/>
        <w:spacing w:after="0" w:line="244"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2024.</w:t>
      </w:r>
    </w:p>
    <w:p>
      <w:pPr>
        <w:spacing w:after="0" w:line="176"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9"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 Certain amounts may not foot due to rounding.</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Adoption of Accounting Standards Update 2024-04</w:t>
      </w:r>
    </w:p>
    <w:p>
      <w:pPr>
        <w:spacing w:after="0" w:line="212"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As discussed in the Company's Form 10-K for the year ended December 31, 2024, in the fourth quarter of fiscal 2024, the Company adopted Accounting Standards Update (“ASU”) 2024-04, "Debt—Debt with Conversion and Other Options (Subtopic 470-20)" ("ASU 2024-04"). The Company elected to early adopt ASU 2024-04 as of January 1, 2024 on a prospective basis.</w:t>
      </w:r>
    </w:p>
    <w:p>
      <w:pPr>
        <w:spacing w:after="0" w:line="169" w:lineRule="exact"/>
        <w:rPr>
          <w:sz w:val="20"/>
          <w:szCs w:val="20"/>
          <w:color w:val="auto"/>
        </w:rPr>
      </w:pPr>
    </w:p>
    <w:p>
      <w:pPr>
        <w:ind w:right="20" w:firstLine="636"/>
        <w:spacing w:after="0" w:line="244" w:lineRule="auto"/>
        <w:rPr>
          <w:sz w:val="20"/>
          <w:szCs w:val="20"/>
          <w:color w:val="auto"/>
        </w:rPr>
      </w:pPr>
      <w:r>
        <w:rPr>
          <w:rFonts w:ascii="Arial" w:cs="Arial" w:eastAsia="Arial" w:hAnsi="Arial"/>
          <w:sz w:val="18"/>
          <w:szCs w:val="18"/>
          <w:color w:val="auto"/>
        </w:rPr>
        <w:t>In the first quarter of 2024, the Company took an extinguishment charge related to the partial repurchase of Convertible Senior Notes due 2025. This repurchase was recorded in the Company's financial statements as a loss on debt extinguishment according to the applicable guidance prior to ASU 2024-04. With the early adoption of ASU 2024-04, the Company reassessed the accounting conclusion of the first quarter 2024 partial repurchase of Convertible Senior Notes due 2025 and concluded the partial repurchase is subject to inducement accounting under ASU 2024-04.</w:t>
      </w:r>
    </w:p>
    <w:p>
      <w:pPr>
        <w:spacing w:after="0" w:line="176" w:lineRule="exact"/>
        <w:rPr>
          <w:sz w:val="20"/>
          <w:szCs w:val="20"/>
          <w:color w:val="auto"/>
        </w:rPr>
      </w:pPr>
    </w:p>
    <w:p>
      <w:pPr>
        <w:ind w:right="200" w:firstLine="636"/>
        <w:spacing w:after="0" w:line="247" w:lineRule="auto"/>
        <w:rPr>
          <w:sz w:val="20"/>
          <w:szCs w:val="20"/>
          <w:color w:val="auto"/>
        </w:rPr>
      </w:pPr>
      <w:r>
        <w:rPr>
          <w:rFonts w:ascii="Arial" w:cs="Arial" w:eastAsia="Arial" w:hAnsi="Arial"/>
          <w:sz w:val="18"/>
          <w:szCs w:val="18"/>
          <w:color w:val="auto"/>
        </w:rPr>
        <w:t>Under inducement accounting, the difference in the fair value of the securities issuable pursuant to conversion privileges compared to the fair value of the consideration paid on the date of the acceptance of the inducement offer is recorded to inducement expense. The difference in the consideration paid to note holders, less inducement expenses, less the fair value of the notes repurchased is charged to equity.</w:t>
      </w:r>
    </w:p>
    <w:p>
      <w:pPr>
        <w:spacing w:after="0" w:line="174"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For the nine months ended September 30, 2024, the Company reversed the loss on extinguishment of debt for the partial repurchase of the Convertible Senior Notes due 2025 and recorded the repurchase transaction as an induced conversion. This change from extinguishment to inducement accounting resulted in the Company (i.) reversing the $211.0 million loss and the related $49.9 million tax benefit on extinguishment of debt, recorded in Q1 2024, (ii.) recording a $18.4 million convertible debt repurchase loss, (iii.) the difference between the extinguishment loss and inducement expense of $192.6 million recorded to equity, and (iv.) the related tax benefit of $45.6 million recorded to equity. See "Note 10— Debt and Credit Facilities" for a further discussion of the first quarter 2024 extinguishment accounting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ind w:right="560"/>
        <w:spacing w:after="0" w:line="271" w:lineRule="auto"/>
        <w:rPr>
          <w:sz w:val="20"/>
          <w:szCs w:val="20"/>
          <w:color w:val="auto"/>
        </w:rPr>
      </w:pPr>
      <w:r>
        <w:rPr>
          <w:rFonts w:ascii="Arial" w:cs="Arial" w:eastAsia="Arial" w:hAnsi="Arial"/>
          <w:sz w:val="18"/>
          <w:szCs w:val="18"/>
          <w:color w:val="auto"/>
        </w:rPr>
        <w:t>subsequent change to inducement accounting. Also see "Note 20—Quarterly Information" for the quarterly financial statement impacts related to this accounting change.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 See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2024,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w:t>
      </w:r>
    </w:p>
    <w:p>
      <w:pPr>
        <w:spacing w:after="0" w:line="29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In the fourth quarter of 2024, the Financial Accounting Standards Board ("FASB") Issued Accounting Standards Update (“ASU”) 2024-04, "Debt—Debt with Conversion and Other Options (Subtopic 470-20)" ("ASU 2024-04"). ASU 2024-04 improves the relevance and consistency in application of the induced conversion guidance in Subtopic 470-20, Debt–Debt with Conversion and Other Options. The amendments in ASU 2024-04 clarify the requirements for determining whether certain settlements of convertible debt instruments should be accounted for as an induced conversion. Under the amendments, to account for a settlement of a convertible debt instrument as an induced conversion, an inducement offer is required to provide the debt holder with, at a minimum, the consideration (in form and amount) issuable under the conversion privileges provided in the terms of the instrument. The amendments in this Update are effective for all entities for annual reporting periods beginning after December 15, 2025, and interim reporting periods within those annual reporting periods. Early adoption is permitted for all entities that have adopted the amendments in ASU 2020-06. The Company adopted ASU 2020-06 in the first quarter of 2021. The Company early adopted ASU 2024-04 as of January 1, 2024 on a prospective basis. The adoption of this ASU had a material impact on the Company's consolidated financial statements. See the Company's Form 10-K for the year ended December 31, 2024 for further details regarding the adoption of ASU 2024-04.</w:t>
      </w:r>
    </w:p>
    <w:p>
      <w:pPr>
        <w:spacing w:after="0" w:line="183"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In the fourth quarter of 2024, the FASB Issued ASU 2024-03 "Income Statement—Reporting Comprehensive Income—Expense Disaggregation Disclosures (Subtopic 220-40)" (ASU 2024-03"). ASU 2024-03 requires disclosure, in the notes to financial statements, of specified information about certain costs and expenses. ASU 2024-03 is effective for annual reporting periods beginning after December 15, 2026, and interim reporting periods beginning after December 15, 2027. Early adoption is permitted. The adoption of this ASU will not have a material impact on the Company's consolidated financial statements.</w:t>
      </w:r>
    </w:p>
    <w:p>
      <w:pPr>
        <w:spacing w:after="0" w:line="176"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In December 2023, the FASB issued ASU No. 2023-09, Income Taxes (Topic 740): Improvements to Income Tax Disclosures (“ASU 2023-09”), to improve the transparency of income tax disclosures. ASU 2023-09 requires a public business entity (“PBE”) to disclose, on an annual basis, specific categories in its income tax rate reconciliation and provide additional information for reconciling items that meet a quantitative threshold. ASU 2023-09 also requires all entities to disclose its income taxes paid, net of refunds received, disaggregated by federal, state and foreign taxes, with further disaggregation required for significant individual jurisdictions. For public business entities, the new standard is effective for annual periods beginning after December 15, 2024. The Company plans to adopt ASU 2023-09 using the prospective approach in its fourth quarter of 2025 for the period ending December 31, 2025, and the adoption will impact only our disclosures with no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Chesapeake Technology International, Corp</w:t>
      </w:r>
    </w:p>
    <w:p>
      <w:pPr>
        <w:spacing w:after="0" w:line="212" w:lineRule="exact"/>
        <w:rPr>
          <w:sz w:val="20"/>
          <w:szCs w:val="20"/>
          <w:color w:val="auto"/>
        </w:rPr>
      </w:pPr>
    </w:p>
    <w:p>
      <w:pPr>
        <w:ind w:right="340" w:firstLine="509"/>
        <w:spacing w:after="0"/>
        <w:rPr>
          <w:sz w:val="20"/>
          <w:szCs w:val="20"/>
          <w:color w:val="auto"/>
        </w:rPr>
      </w:pPr>
      <w:r>
        <w:rPr>
          <w:rFonts w:ascii="Arial" w:cs="Arial" w:eastAsia="Arial" w:hAnsi="Arial"/>
          <w:sz w:val="18"/>
          <w:szCs w:val="18"/>
          <w:color w:val="202124"/>
        </w:rPr>
        <w:t>On June 30, 2025, the Company acquired a 100% ownership interest in Chesapeake Technology International, Corp ("CTI"), a privately owned company, for $91.5 million from cash on hand. CTI brings extensive capabilities as an all-domain technology solutions provider, powered by cutting-edge products that enhance the warfighters’ ability to sense, evaluate and deliver effects within the invisible battlespaces. CTI enhances our mission-ready solutions for the Department of Defense. In connection with this acquisition, the Company recognized $2.2 million of acquisition-related expenses in “Selling, general and administrative expense” in the consolidated statements of income for the nine months ended September 30, 2025, including legal fees, consulting fees, and other miscellaneous direct expenses associated with the acquisition.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4,769</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28,145</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4,256</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762</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1,029</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57,998</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34,820</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3,173</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(17,818)</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(143)</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(7,265)</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(8,079)</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(6,300)</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(2,167)</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long-term liabilities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(4,125)</w:t>
            </w:r>
          </w:p>
        </w:tc>
      </w:tr>
      <w:tr>
        <w:trPr>
          <w:trHeight w:val="196"/>
        </w:trPr>
        <w:tc>
          <w:tcPr>
            <w:tcW w:w="9140" w:type="dxa"/>
            <w:vAlign w:val="bottom"/>
            <w:tcBorders>
              <w:top w:val="single" w:sz="8" w:color="CFF0FC"/>
            </w:tcBorders>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91,534</w:t>
            </w:r>
          </w:p>
        </w:tc>
        <w:tc>
          <w:tcPr>
            <w:tcW w:w="120" w:type="dxa"/>
            <w:vAlign w:val="bottom"/>
            <w:tcBorders>
              <w:top w:val="single" w:sz="8" w:color="CFF0FC"/>
            </w:tcBorders>
          </w:tcPr>
          <w:p>
            <w:pPr>
              <w:spacing w:after="0"/>
              <w:rPr>
                <w:sz w:val="17"/>
                <w:szCs w:val="17"/>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20,690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8,010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2"/>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technologies</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2,460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400"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Amortization expense of $1.4 million related to these intangible assets was recorded for the three and nine months ended September 30, 2025. The entire value of goodwill was assigned to the Federal Solutions reporting unit and represents synergies expected to be realized from this business combination. $8.5 million of goodwill is deductible for tax purposes.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right="200" w:firstLine="509"/>
        <w:spacing w:after="0" w:line="253" w:lineRule="auto"/>
        <w:rPr>
          <w:sz w:val="20"/>
          <w:szCs w:val="20"/>
          <w:color w:val="auto"/>
        </w:rPr>
      </w:pPr>
      <w:r>
        <w:rPr>
          <w:rFonts w:ascii="Arial" w:cs="Arial" w:eastAsia="Arial" w:hAnsi="Arial"/>
          <w:sz w:val="18"/>
          <w:szCs w:val="18"/>
          <w:color w:val="auto"/>
        </w:rPr>
        <w:t>The amount of revenue generated by CTI and included within consolidated revenue is $19.2 million for the three and nine months ended September 30, 2025.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assets and liabilities acquired.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CTI acquisition had been consummated as of the beginning of fiscal year 2024 (in thousands)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3"/>
                <w:szCs w:val="13"/>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56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1,621,748</w:t>
            </w:r>
          </w:p>
        </w:tc>
        <w:tc>
          <w:tcPr>
            <w:tcW w:w="84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1,828,838</w:t>
            </w:r>
          </w:p>
        </w:tc>
        <w:tc>
          <w:tcPr>
            <w:tcW w:w="58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4,815,991</w:t>
            </w:r>
          </w:p>
        </w:tc>
        <w:tc>
          <w:tcPr>
            <w:tcW w:w="80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5,065,144</w:t>
            </w:r>
          </w:p>
        </w:tc>
        <w:tc>
          <w:tcPr>
            <w:tcW w:w="100" w:type="dxa"/>
            <w:vAlign w:val="bottom"/>
            <w:shd w:val="clear" w:color="auto" w:fill="CFF0FC"/>
          </w:tcPr>
          <w:p>
            <w:pPr>
              <w:spacing w:after="0"/>
              <w:rPr>
                <w:sz w:val="17"/>
                <w:szCs w:val="17"/>
                <w:color w:val="auto"/>
              </w:rPr>
            </w:pPr>
          </w:p>
        </w:tc>
      </w:tr>
      <w:tr>
        <w:trPr>
          <w:trHeight w:val="239"/>
        </w:trPr>
        <w:tc>
          <w:tcPr>
            <w:tcW w:w="46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82,693</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83,368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236,520</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211,653</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TRS Group, Inc.</w:t>
      </w:r>
    </w:p>
    <w:p>
      <w:pPr>
        <w:spacing w:after="0" w:line="212"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202124"/>
        </w:rPr>
        <w:t>On January 31, 2025, the Company acquired a 100% ownership interest in TRS Group, Inc. ("TRS") a privately owned company, for $36.6 million from cash on hand (of which $3.8 million will be paid in July 2026). TRS is an environmental solutions firm that specializes in remediation technology. In connection with this acquisition, the Company recognized $0.5 million of acquisition-related expenses in “Selling, general and administrative expense” in the consolidated statements of income for nine months ended September 30, 2025, including legal fees, consulting fees, and other miscellaneous direct expenses associated with the acquisition.</w:t>
      </w:r>
    </w:p>
    <w:p>
      <w:pPr>
        <w:spacing w:after="0" w:line="379"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98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2,054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3,390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Income taxes receivable</w:t>
            </w: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5,832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4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22,972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6,100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4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4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96"/>
        </w:trPr>
        <w:tc>
          <w:tcPr>
            <w:tcW w:w="4580" w:type="dxa"/>
            <w:vAlign w:val="bottom"/>
            <w:tcBorders>
              <w:top w:val="single" w:sz="8" w:color="CFF0FC"/>
            </w:tcBorders>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56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36,566</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560" w:type="dxa"/>
            <w:vAlign w:val="bottom"/>
            <w:vMerge w:val="restart"/>
          </w:tcPr>
          <w:p>
            <w:pPr>
              <w:jc w:val="right"/>
              <w:ind w:right="3330"/>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45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5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180" w:type="dxa"/>
            <w:vAlign w:val="bottom"/>
          </w:tcPr>
          <w:p>
            <w:pPr>
              <w:jc w:val="center"/>
              <w:ind w:left="421"/>
              <w:spacing w:after="0"/>
              <w:rPr>
                <w:sz w:val="20"/>
                <w:szCs w:val="20"/>
                <w:color w:val="auto"/>
              </w:rPr>
            </w:pPr>
            <w:r>
              <w:rPr>
                <w:rFonts w:ascii="Arial" w:cs="Arial" w:eastAsia="Arial" w:hAnsi="Arial"/>
                <w:sz w:val="14"/>
                <w:szCs w:val="14"/>
                <w:b w:val="1"/>
                <w:bCs w:val="1"/>
                <w:color w:val="auto"/>
                <w:w w:val="98"/>
              </w:rPr>
              <w:t>Gross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560" w:type="dxa"/>
            <w:vAlign w:val="bottom"/>
          </w:tcPr>
          <w:p>
            <w:pPr>
              <w:spacing w:after="0"/>
              <w:rPr>
                <w:sz w:val="14"/>
                <w:szCs w:val="14"/>
                <w:color w:val="auto"/>
              </w:rPr>
            </w:pPr>
          </w:p>
        </w:tc>
        <w:tc>
          <w:tcPr>
            <w:tcW w:w="1180" w:type="dxa"/>
            <w:vAlign w:val="bottom"/>
          </w:tcPr>
          <w:p>
            <w:pPr>
              <w:jc w:val="center"/>
              <w:ind w:left="421"/>
              <w:spacing w:after="0"/>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560" w:type="dxa"/>
            <w:vAlign w:val="bottom"/>
          </w:tcPr>
          <w:p>
            <w:pPr>
              <w:spacing w:after="0"/>
              <w:rPr>
                <w:sz w:val="14"/>
                <w:szCs w:val="14"/>
                <w:color w:val="auto"/>
              </w:rPr>
            </w:pPr>
          </w:p>
        </w:tc>
        <w:tc>
          <w:tcPr>
            <w:tcW w:w="1180" w:type="dxa"/>
            <w:vAlign w:val="bottom"/>
            <w:tcBorders>
              <w:bottom w:val="single" w:sz="8" w:color="auto"/>
            </w:tcBorders>
          </w:tcPr>
          <w:p>
            <w:pPr>
              <w:jc w:val="center"/>
              <w:ind w:left="421"/>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Backlog</w:t>
            </w:r>
          </w:p>
        </w:tc>
        <w:tc>
          <w:tcPr>
            <w:tcW w:w="1180" w:type="dxa"/>
            <w:vAlign w:val="bottom"/>
            <w:shd w:val="clear" w:color="auto" w:fill="CFF0FC"/>
          </w:tcPr>
          <w:p>
            <w:pPr>
              <w:jc w:val="right"/>
              <w:ind w:right="1001"/>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Developed technologies</w:t>
            </w:r>
          </w:p>
        </w:tc>
        <w:tc>
          <w:tcPr>
            <w:tcW w:w="11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3,900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1180" w:type="dxa"/>
            <w:vAlign w:val="bottom"/>
            <w:shd w:val="clear" w:color="auto" w:fill="CFF0FC"/>
          </w:tcPr>
          <w:p>
            <w:pPr>
              <w:jc w:val="right"/>
              <w:ind w:right="1001"/>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19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Amortization expense of $0.4 million and $1.1 million related to these intangible assets was recorded for the three and nine months ended September 30, 2025, respectively. The entire value of goodwill was assigned to the Critical Infrastructure reporting unit and represents synergies expected to be realized from this business combination. The entire value of goodwill is deductible for tax purposes.</w:t>
      </w:r>
    </w:p>
    <w:p>
      <w:pPr>
        <w:spacing w:after="0" w:line="16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amount of revenue generated by TRS and included within consolidated revenue is $7.6 million and $19.0 million for the three and nine months ended September 30, 2025, respectively.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assets and liabilities acquired.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TRS acquisition had been consummated as of the beginning of fiscal year 2024 (in thousands)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3"/>
                <w:szCs w:val="13"/>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56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1,621,748</w:t>
            </w:r>
          </w:p>
        </w:tc>
        <w:tc>
          <w:tcPr>
            <w:tcW w:w="84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1,817,499</w:t>
            </w:r>
          </w:p>
        </w:tc>
        <w:tc>
          <w:tcPr>
            <w:tcW w:w="58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4,762,454</w:t>
            </w:r>
          </w:p>
        </w:tc>
        <w:tc>
          <w:tcPr>
            <w:tcW w:w="80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5,037,031</w:t>
            </w:r>
          </w:p>
        </w:tc>
        <w:tc>
          <w:tcPr>
            <w:tcW w:w="100" w:type="dxa"/>
            <w:vAlign w:val="bottom"/>
            <w:shd w:val="clear" w:color="auto" w:fill="CFF0FC"/>
          </w:tcPr>
          <w:p>
            <w:pPr>
              <w:spacing w:after="0"/>
              <w:rPr>
                <w:sz w:val="17"/>
                <w:szCs w:val="17"/>
                <w:color w:val="auto"/>
              </w:rPr>
            </w:pPr>
          </w:p>
        </w:tc>
      </w:tr>
      <w:tr>
        <w:trPr>
          <w:trHeight w:val="239"/>
        </w:trPr>
        <w:tc>
          <w:tcPr>
            <w:tcW w:w="46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82,057</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85,410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234,856</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220,098</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BCC Engineering, LLC</w:t>
      </w:r>
    </w:p>
    <w:p>
      <w:pPr>
        <w:spacing w:after="0" w:line="21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202124"/>
        </w:rPr>
        <w:t>On November 1, 2024, the Company acquired a 100% ownership interest in BCC Engineering, LLC ("BCC") a privately owned company, for $233.5 million from cash on hand. BCC is a full-service engineering firm that provides planning, design, and 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In connection with this acquisition, the Company recognized $4.2 million of acquisition-related expenses in “Selling, general and administrative expense” in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right="340"/>
        <w:spacing w:after="0" w:line="271" w:lineRule="auto"/>
        <w:rPr>
          <w:sz w:val="20"/>
          <w:szCs w:val="20"/>
          <w:color w:val="auto"/>
        </w:rPr>
      </w:pPr>
      <w:r>
        <w:rPr>
          <w:rFonts w:ascii="Arial" w:cs="Arial" w:eastAsia="Arial" w:hAnsi="Arial"/>
          <w:sz w:val="18"/>
          <w:szCs w:val="18"/>
          <w:color w:val="202124"/>
        </w:rPr>
        <w:t>consolidated statements of income for the year ended December 31, 2024, including legal fees, consulting fees, and other miscellaneous direct expenses associated with the acquisition.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2,839</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24,142</w:t>
            </w:r>
          </w:p>
        </w:tc>
        <w:tc>
          <w:tcPr>
            <w:tcW w:w="120" w:type="dxa"/>
            <w:vAlign w:val="bottom"/>
          </w:tcPr>
          <w:p>
            <w:pPr>
              <w:spacing w:after="0"/>
              <w:rPr>
                <w:sz w:val="17"/>
                <w:szCs w:val="17"/>
                <w:color w:val="auto"/>
              </w:rPr>
            </w:pP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16,649</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c>
          <w:tcPr>
            <w:tcW w:w="120" w:type="dxa"/>
            <w:vAlign w:val="bottom"/>
          </w:tcPr>
          <w:p>
            <w:pPr>
              <w:spacing w:after="0"/>
              <w:rPr>
                <w:sz w:val="17"/>
                <w:szCs w:val="17"/>
                <w:color w:val="auto"/>
              </w:rPr>
            </w:pP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9,438</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120" w:type="dxa"/>
            <w:vAlign w:val="bottom"/>
          </w:tcPr>
          <w:p>
            <w:pPr>
              <w:spacing w:after="0"/>
              <w:rPr>
                <w:sz w:val="17"/>
                <w:szCs w:val="17"/>
                <w:color w:val="auto"/>
              </w:rPr>
            </w:pP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1,744</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175,680</w:t>
            </w:r>
          </w:p>
        </w:tc>
        <w:tc>
          <w:tcPr>
            <w:tcW w:w="120" w:type="dxa"/>
            <w:vAlign w:val="bottom"/>
          </w:tcPr>
          <w:p>
            <w:pPr>
              <w:spacing w:after="0"/>
              <w:rPr>
                <w:sz w:val="17"/>
                <w:szCs w:val="17"/>
                <w:color w:val="auto"/>
              </w:rPr>
            </w:pP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32,400</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(8,668)</w:t>
            </w: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(7,296)</w:t>
            </w: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(4,446)</w:t>
            </w: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(2,090)</w:t>
            </w: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(2,299)</w:t>
            </w: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(7,462)</w:t>
            </w: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(1,183)</w:t>
            </w:r>
          </w:p>
        </w:tc>
      </w:tr>
      <w:tr>
        <w:trPr>
          <w:trHeight w:val="236"/>
        </w:trPr>
        <w:tc>
          <w:tcPr>
            <w:tcW w:w="916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233,517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48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0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23,400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Non-compete agreements</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39"/>
        </w:trPr>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3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16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Amortization expense of $2.2 million and $6.6 million related to these intangible assets was recorded for the three and nine months ended September 30, 2025, respectively. The entire value of goodwill was assigned to the Critical Infrastructure reporting unit and represents synergies expected to be realized from this business combination. $45.8 million of goodwill is deductible for tax purposes.</w:t>
      </w:r>
    </w:p>
    <w:p>
      <w:pPr>
        <w:spacing w:after="0" w:line="169"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amount of revenue generated by BCC and included within consolidated revenue is $32.5 million and $95.9 million for the three and nine months ended September 30, 2025, respectively. The Company has determined that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presentation of net income from the date of acquisition is impracticable due to the integration of general corporate functions upon acquisition.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BCC acquisition had been consummated as of the beginning of fiscal year 2023 (in thousands)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3"/>
                <w:szCs w:val="13"/>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56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1,621,748</w:t>
            </w:r>
          </w:p>
        </w:tc>
        <w:tc>
          <w:tcPr>
            <w:tcW w:w="84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1,836,915</w:t>
            </w:r>
          </w:p>
        </w:tc>
        <w:tc>
          <w:tcPr>
            <w:tcW w:w="58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4,760,431</w:t>
            </w:r>
          </w:p>
        </w:tc>
        <w:tc>
          <w:tcPr>
            <w:tcW w:w="80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5,093,599</w:t>
            </w:r>
          </w:p>
        </w:tc>
        <w:tc>
          <w:tcPr>
            <w:tcW w:w="100" w:type="dxa"/>
            <w:vAlign w:val="bottom"/>
            <w:shd w:val="clear" w:color="auto" w:fill="CFF0FC"/>
          </w:tcPr>
          <w:p>
            <w:pPr>
              <w:spacing w:after="0"/>
              <w:rPr>
                <w:sz w:val="17"/>
                <w:szCs w:val="17"/>
                <w:color w:val="auto"/>
              </w:rPr>
            </w:pPr>
          </w:p>
        </w:tc>
      </w:tr>
      <w:tr>
        <w:trPr>
          <w:trHeight w:val="239"/>
        </w:trPr>
        <w:tc>
          <w:tcPr>
            <w:tcW w:w="46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82,775</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83,518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237,013</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213,256</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BlackSignal Technologies, LLC.</w:t>
      </w:r>
    </w:p>
    <w:p>
      <w:pPr>
        <w:spacing w:after="0" w:line="21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On August 16, 2024, the Company acquired a 100% ownership interest in BlackSignal Technologies, LLC, ("BlackSignal") a privately-owned company, for $203.7 million from cash on hand. Headquartered in Chantilly, Virginia, BlackSignal is a next-generation digital signal processing, electronic warfare, and cyber security provider built to counter near peer threats. Parsons believes that the acquisition will expand Parsons' customer base across the Department of Defense and Intelligence Community and significantly strengthen Parsons' positioning within cyber warfare, while adding new capabilities in the counterspace radio frequency domain. In connection with this acquisition, the Company recognized $2.5 million of acquisition-related expenses in “Selling, general and administrative expense” in the consolidated statements of income for the three and nine months ended September 30, 2024, including legal fees, consulting fees, and other miscellaneous direct expenses associated with the acquisition.</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acquisition date fair value of the purchase consideration transferred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980" w:type="dxa"/>
            <w:vAlign w:val="bottom"/>
            <w:gridSpan w:val="2"/>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4,917</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5,171</w:t>
            </w: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3,209</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4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5,370</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4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116,849</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97,600</w:t>
            </w:r>
          </w:p>
        </w:tc>
        <w:tc>
          <w:tcPr>
            <w:tcW w:w="120" w:type="dxa"/>
            <w:vAlign w:val="bottom"/>
          </w:tcPr>
          <w:p>
            <w:pPr>
              <w:spacing w:after="0"/>
              <w:rPr>
                <w:sz w:val="17"/>
                <w:szCs w:val="17"/>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4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(951)</w:t>
            </w: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(4,999)</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w:t>
            </w: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4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(19,647)</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(4,570)</w:t>
            </w:r>
          </w:p>
        </w:tc>
      </w:tr>
      <w:tr>
        <w:trPr>
          <w:trHeight w:val="236"/>
        </w:trPr>
        <w:tc>
          <w:tcPr>
            <w:tcW w:w="458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5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203,738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633"/>
        </w:trPr>
        <w:tc>
          <w:tcPr>
            <w:tcW w:w="4580" w:type="dxa"/>
            <w:vAlign w:val="bottom"/>
          </w:tcPr>
          <w:p>
            <w:pPr>
              <w:spacing w:after="0"/>
              <w:rPr>
                <w:sz w:val="24"/>
                <w:szCs w:val="24"/>
                <w:color w:val="auto"/>
              </w:rPr>
            </w:pPr>
          </w:p>
        </w:tc>
        <w:tc>
          <w:tcPr>
            <w:tcW w:w="4580" w:type="dxa"/>
            <w:vAlign w:val="bottom"/>
          </w:tcPr>
          <w:p>
            <w:pPr>
              <w:jc w:val="right"/>
              <w:ind w:right="335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5"/>
        </w:trPr>
        <w:tc>
          <w:tcPr>
            <w:tcW w:w="45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48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0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11,700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technologies</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Non-compete agreements</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6,100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0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197"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Amortization expense of $3.2 million and $9.7 million related to these intangible assets was recorded for the three and nine months ended September 30, 2025, respectively and $2.1 million for the three and nine months ended September 30, 2024. The entire value of goodwill was assigned to the Federal Solutions reporting unit and represents synergies expected to be realized from this business combination. $17.1 million of goodwill is deductible for tax purposes.</w:t>
      </w:r>
    </w:p>
    <w:p>
      <w:pPr>
        <w:spacing w:after="0" w:line="17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 amount of revenue generated by BlackSignal and included within consolidated revenue is $6.7 million for the three and nine months September 30, 2024.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BlackSignal acquisition had been consummated as of the beginning of fiscal year 2023 (in thousands)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3"/>
                <w:szCs w:val="13"/>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56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1,621,748</w:t>
            </w:r>
          </w:p>
        </w:tc>
        <w:tc>
          <w:tcPr>
            <w:tcW w:w="84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1,816,364</w:t>
            </w:r>
          </w:p>
        </w:tc>
        <w:tc>
          <w:tcPr>
            <w:tcW w:w="58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4,760,431</w:t>
            </w:r>
          </w:p>
        </w:tc>
        <w:tc>
          <w:tcPr>
            <w:tcW w:w="80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5,048,235</w:t>
            </w:r>
          </w:p>
        </w:tc>
        <w:tc>
          <w:tcPr>
            <w:tcW w:w="100" w:type="dxa"/>
            <w:vAlign w:val="bottom"/>
            <w:shd w:val="clear" w:color="auto" w:fill="CFF0FC"/>
          </w:tcPr>
          <w:p>
            <w:pPr>
              <w:spacing w:after="0"/>
              <w:rPr>
                <w:sz w:val="17"/>
                <w:szCs w:val="17"/>
                <w:color w:val="auto"/>
              </w:rPr>
            </w:pPr>
          </w:p>
        </w:tc>
      </w:tr>
      <w:tr>
        <w:trPr>
          <w:trHeight w:val="239"/>
        </w:trPr>
        <w:tc>
          <w:tcPr>
            <w:tcW w:w="46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82,324</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86,364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236,142</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214,787</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381" w:lineRule="exact"/>
        <w:rPr>
          <w:sz w:val="20"/>
          <w:szCs w:val="20"/>
          <w:color w:val="auto"/>
        </w:rPr>
      </w:pPr>
    </w:p>
    <w:p>
      <w:pPr>
        <w:ind w:left="640" w:right="8260" w:hanging="632"/>
        <w:spacing w:after="0" w:line="360" w:lineRule="auto"/>
        <w:tabs>
          <w:tab w:leader="none" w:pos="64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00" w:firstLine="636"/>
        <w:spacing w:after="0" w:line="301"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3"/>
                <w:szCs w:val="13"/>
                <w:color w:val="auto"/>
              </w:rPr>
            </w:pPr>
          </w:p>
        </w:tc>
        <w:tc>
          <w:tcPr>
            <w:tcW w:w="14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September 30, 2025</w:t>
            </w:r>
          </w:p>
        </w:tc>
        <w:tc>
          <w:tcPr>
            <w:tcW w:w="260" w:type="dxa"/>
            <w:vAlign w:val="bottom"/>
          </w:tcPr>
          <w:p>
            <w:pPr>
              <w:spacing w:after="0"/>
              <w:rPr>
                <w:sz w:val="13"/>
                <w:szCs w:val="13"/>
                <w:color w:val="auto"/>
              </w:rPr>
            </w:pPr>
          </w:p>
        </w:tc>
        <w:tc>
          <w:tcPr>
            <w:tcW w:w="14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3"/>
                <w:szCs w:val="13"/>
                <w:color w:val="auto"/>
              </w:rPr>
            </w:pPr>
          </w:p>
        </w:tc>
      </w:tr>
      <w:tr>
        <w:trPr>
          <w:trHeight w:val="196"/>
        </w:trPr>
        <w:tc>
          <w:tcPr>
            <w:tcW w:w="2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Fixed-Price</w:t>
            </w:r>
          </w:p>
        </w:tc>
        <w:tc>
          <w:tcPr>
            <w:tcW w:w="14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535,901</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790,820</w:t>
            </w:r>
          </w:p>
        </w:tc>
        <w:tc>
          <w:tcPr>
            <w:tcW w:w="640" w:type="dxa"/>
            <w:vAlign w:val="bottom"/>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1,642,609</w:t>
            </w:r>
          </w:p>
        </w:tc>
        <w:tc>
          <w:tcPr>
            <w:tcW w:w="860" w:type="dxa"/>
            <w:vAlign w:val="bottom"/>
            <w:gridSpan w:val="2"/>
            <w:shd w:val="clear" w:color="auto" w:fill="CFF0FC"/>
          </w:tcPr>
          <w:p>
            <w:pPr>
              <w:jc w:val="right"/>
              <w:ind w:right="428"/>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2,129,274</w:t>
            </w:r>
          </w:p>
        </w:tc>
        <w:tc>
          <w:tcPr>
            <w:tcW w:w="100" w:type="dxa"/>
            <w:vAlign w:val="bottom"/>
            <w:shd w:val="clear" w:color="auto" w:fill="CFF0FC"/>
          </w:tcPr>
          <w:p>
            <w:pPr>
              <w:spacing w:after="0"/>
              <w:rPr>
                <w:sz w:val="17"/>
                <w:szCs w:val="17"/>
                <w:color w:val="auto"/>
              </w:rPr>
            </w:pPr>
          </w:p>
        </w:tc>
      </w:tr>
      <w:tr>
        <w:trPr>
          <w:trHeight w:val="203"/>
        </w:trPr>
        <w:tc>
          <w:tcPr>
            <w:tcW w:w="2860" w:type="dxa"/>
            <w:vAlign w:val="bottom"/>
          </w:tcPr>
          <w:p>
            <w:pPr>
              <w:spacing w:after="0" w:line="202" w:lineRule="exact"/>
              <w:rPr>
                <w:sz w:val="20"/>
                <w:szCs w:val="20"/>
                <w:color w:val="auto"/>
              </w:rPr>
            </w:pPr>
            <w:r>
              <w:rPr>
                <w:rFonts w:ascii="Arial" w:cs="Arial" w:eastAsia="Arial" w:hAnsi="Arial"/>
                <w:sz w:val="18"/>
                <w:szCs w:val="18"/>
                <w:color w:val="auto"/>
              </w:rPr>
              <w:t>Time-and-Materials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394,076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354,114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1,114,111</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1,052,040</w:t>
            </w:r>
          </w:p>
        </w:tc>
        <w:tc>
          <w:tcPr>
            <w:tcW w:w="100" w:type="dxa"/>
            <w:vAlign w:val="bottom"/>
          </w:tcPr>
          <w:p>
            <w:pPr>
              <w:spacing w:after="0"/>
              <w:rPr>
                <w:sz w:val="17"/>
                <w:szCs w:val="17"/>
                <w:color w:val="auto"/>
              </w:rPr>
            </w:pPr>
          </w:p>
        </w:tc>
      </w:tr>
      <w:tr>
        <w:trPr>
          <w:trHeight w:val="202"/>
        </w:trPr>
        <w:tc>
          <w:tcPr>
            <w:tcW w:w="2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Cost-Plus</w:t>
            </w:r>
          </w:p>
        </w:tc>
        <w:tc>
          <w:tcPr>
            <w:tcW w:w="1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691,771</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665,182</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2,003,711</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1,834,945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86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1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1,621,748</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1,810,116</w:t>
            </w:r>
          </w:p>
        </w:tc>
        <w:tc>
          <w:tcPr>
            <w:tcW w:w="640" w:type="dxa"/>
            <w:vAlign w:val="bottom"/>
            <w:gridSpan w:val="2"/>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4,760,431</w:t>
            </w:r>
          </w:p>
        </w:tc>
        <w:tc>
          <w:tcPr>
            <w:tcW w:w="860" w:type="dxa"/>
            <w:vAlign w:val="bottom"/>
            <w:gridSpan w:val="2"/>
          </w:tcPr>
          <w:p>
            <w:pPr>
              <w:jc w:val="right"/>
              <w:ind w:right="428"/>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5,016,259</w:t>
            </w:r>
          </w:p>
        </w:tc>
        <w:tc>
          <w:tcPr>
            <w:tcW w:w="100" w:type="dxa"/>
            <w:vAlign w:val="bottom"/>
          </w:tcPr>
          <w:p>
            <w:pPr>
              <w:spacing w:after="0"/>
              <w:rPr>
                <w:sz w:val="17"/>
                <w:szCs w:val="17"/>
                <w:color w:val="auto"/>
              </w:rPr>
            </w:pPr>
          </w:p>
        </w:tc>
      </w:tr>
      <w:tr>
        <w:trPr>
          <w:trHeight w:val="645"/>
        </w:trPr>
        <w:tc>
          <w:tcPr>
            <w:tcW w:w="2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28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-1045210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-1045210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-1045210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September 30, 2025 and December 31, 2024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r>
      <w:tr>
        <w:trPr>
          <w:trHeight w:val="196"/>
        </w:trPr>
        <w:tc>
          <w:tcPr>
            <w:tcW w:w="4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Contract assets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822,487</w:t>
            </w:r>
          </w:p>
        </w:tc>
        <w:tc>
          <w:tcPr>
            <w:tcW w:w="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741,504</w:t>
            </w:r>
          </w:p>
        </w:tc>
        <w:tc>
          <w:tcPr>
            <w:tcW w:w="5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80,983</w:t>
            </w:r>
          </w:p>
        </w:tc>
        <w:tc>
          <w:tcPr>
            <w:tcW w:w="190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10.9%</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343,509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289,799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53,710</w:t>
            </w:r>
          </w:p>
        </w:tc>
        <w:tc>
          <w:tcPr>
            <w:tcW w:w="220" w:type="dxa"/>
            <w:vAlign w:val="bottom"/>
          </w:tcPr>
          <w:p>
            <w:pPr>
              <w:spacing w:after="0"/>
              <w:rPr>
                <w:sz w:val="17"/>
                <w:szCs w:val="17"/>
                <w:color w:val="auto"/>
              </w:rPr>
            </w:pPr>
          </w:p>
        </w:tc>
        <w:tc>
          <w:tcPr>
            <w:tcW w:w="1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18.5%</w:t>
            </w:r>
          </w:p>
        </w:tc>
      </w:tr>
      <w:tr>
        <w:trPr>
          <w:trHeight w:val="20"/>
        </w:trPr>
        <w:tc>
          <w:tcPr>
            <w:tcW w:w="4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contract assets (liabilities) (1)</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478,978</w:t>
            </w:r>
          </w:p>
        </w:tc>
        <w:tc>
          <w:tcPr>
            <w:tcW w:w="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451,705</w:t>
            </w:r>
          </w:p>
        </w:tc>
        <w:tc>
          <w:tcPr>
            <w:tcW w:w="5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27,273</w:t>
            </w:r>
          </w:p>
        </w:tc>
        <w:tc>
          <w:tcPr>
            <w:tcW w:w="190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6.0%</w:t>
            </w: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-25400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12" w:lineRule="exact"/>
        <w:rPr>
          <w:sz w:val="20"/>
          <w:szCs w:val="20"/>
          <w:color w:val="auto"/>
        </w:rPr>
      </w:pPr>
    </w:p>
    <w:p>
      <w:pPr>
        <w:ind w:left="660" w:hanging="652"/>
        <w:spacing w:after="0" w:line="24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$109.3 million as of September 30, 2025, of which $54.1 million are not expected to be paid in the next 12 months. Total contract retentions included in net contract assets (liabilities) were $89.8 million as of December 31, 2024. Contract assets at September 30, 2025 and December 31, 2024 include $58.6 million and $70.7 million, respectively, related to net claim recoveries. For the three and nine months ended September 30, 2025 and September 30, 2024, there were no material losses recognized related to the collectability of claims, unapproved change orders, and requests for equitable adjustment.</w:t>
      </w:r>
    </w:p>
    <w:p>
      <w:pPr>
        <w:spacing w:after="0" w:line="179"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During the three months ended September 30, 2025 and September 30, 2024, the Company recognized revenue of $12.9 million and $10.7 million, respectively, and $178.1 million and $179.9 million during the nine months ended September 30, 2025 and September 30, 2024, respectively that was included in the corresponding contract liability balances at December 31, 2024 and December 31, 2023, respectively.</w:t>
      </w:r>
    </w:p>
    <w:p>
      <w:pPr>
        <w:spacing w:after="0" w:line="201" w:lineRule="exact"/>
        <w:rPr>
          <w:sz w:val="20"/>
          <w:szCs w:val="20"/>
          <w:color w:val="auto"/>
        </w:rPr>
      </w:pPr>
    </w:p>
    <w:p>
      <w:pPr>
        <w:ind w:right="340" w:firstLine="698"/>
        <w:spacing w:after="0" w:line="287" w:lineRule="auto"/>
        <w:rPr>
          <w:sz w:val="20"/>
          <w:szCs w:val="20"/>
          <w:color w:val="auto"/>
        </w:rPr>
      </w:pPr>
      <w:r>
        <w:rPr>
          <w:rFonts w:ascii="Arial" w:cs="Arial" w:eastAsia="Arial" w:hAnsi="Arial"/>
          <w:sz w:val="18"/>
          <w:szCs w:val="18"/>
          <w:color w:val="auto"/>
        </w:rPr>
        <w:t>There was no significant impairment of contract assets recognized during the three and nine months ended September 30, 2025 and September 30, 2024.</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changes in contract assets and contract liabilities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September 30, 2025</w:t>
            </w: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4"/>
                <w:szCs w:val="14"/>
                <w:color w:val="auto"/>
              </w:rPr>
            </w:pP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Acquired contract assets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6,533</w:t>
            </w:r>
          </w:p>
        </w:tc>
        <w:tc>
          <w:tcPr>
            <w:tcW w:w="6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19,858</w:t>
            </w:r>
          </w:p>
        </w:tc>
        <w:tc>
          <w:tcPr>
            <w:tcW w:w="100" w:type="dxa"/>
            <w:vAlign w:val="bottom"/>
            <w:shd w:val="clear" w:color="auto" w:fill="CFF0FC"/>
          </w:tcPr>
          <w:p>
            <w:pPr>
              <w:spacing w:after="0"/>
              <w:rPr>
                <w:sz w:val="17"/>
                <w:szCs w:val="17"/>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3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12,301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ind w:right="120" w:firstLine="644"/>
        <w:spacing w:after="0" w:line="247" w:lineRule="auto"/>
        <w:rPr>
          <w:sz w:val="20"/>
          <w:szCs w:val="20"/>
          <w:color w:val="auto"/>
        </w:rPr>
      </w:pPr>
      <w:r>
        <w:rPr>
          <w:rFonts w:ascii="Arial" w:cs="Arial" w:eastAsia="Arial" w:hAnsi="Arial"/>
          <w:sz w:val="18"/>
          <w:szCs w:val="18"/>
          <w:color w:val="auto"/>
        </w:rPr>
        <w:t>The following table presents certain financial statement impacts from revisions in estimates, such as changes in estimated claims or incentives, related to performance obligations partially satisfied in previous periods that individually had an impact of $5 million or more on revenue. In certain instances, revisions in estimates on a contract do not exceed the threshold in any particular quarter but exceed the threshold on a year-to-date basis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38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Nine Months Ended</w:t>
            </w:r>
          </w:p>
        </w:tc>
      </w:tr>
      <w:tr>
        <w:trPr>
          <w:trHeight w:val="155"/>
        </w:trPr>
        <w:tc>
          <w:tcPr>
            <w:tcW w:w="40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September 30, 2025</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3"/>
                <w:szCs w:val="13"/>
                <w:color w:val="auto"/>
              </w:rPr>
            </w:pPr>
          </w:p>
        </w:tc>
      </w:tr>
      <w:tr>
        <w:trPr>
          <w:trHeight w:val="196"/>
        </w:trPr>
        <w:tc>
          <w:tcPr>
            <w:tcW w:w="4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 impact, net</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1,286</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(21,626)</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(977)</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(35,129)</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1,286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(23,520)</w:t>
            </w:r>
          </w:p>
        </w:tc>
        <w:tc>
          <w:tcPr>
            <w:tcW w:w="100" w:type="dxa"/>
            <w:vAlign w:val="bottom"/>
          </w:tcPr>
          <w:p>
            <w:pPr>
              <w:spacing w:after="0"/>
              <w:rPr>
                <w:sz w:val="17"/>
                <w:szCs w:val="17"/>
                <w:color w:val="auto"/>
              </w:rPr>
            </w:pP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(37,023)</w:t>
            </w:r>
          </w:p>
        </w:tc>
      </w:tr>
      <w:tr>
        <w:trPr>
          <w:trHeight w:val="203"/>
        </w:trPr>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974</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(17,569)</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(740)</w:t>
            </w:r>
          </w:p>
        </w:tc>
        <w:tc>
          <w:tcPr>
            <w:tcW w:w="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(27,656)</w:t>
            </w: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September 30, 2025 and December 31, 2024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r>
      <w:tr>
        <w:trPr>
          <w:trHeight w:val="196"/>
        </w:trPr>
        <w:tc>
          <w:tcPr>
            <w:tcW w:w="4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Billed</w:t>
            </w:r>
          </w:p>
        </w:tc>
        <w:tc>
          <w:tcPr>
            <w:tcW w:w="358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724,743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712,046</w:t>
            </w:r>
          </w:p>
        </w:tc>
        <w:tc>
          <w:tcPr>
            <w:tcW w:w="120" w:type="dxa"/>
            <w:vAlign w:val="bottom"/>
            <w:shd w:val="clear" w:color="auto" w:fill="CFF0FC"/>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Unbilled</w:t>
            </w:r>
          </w:p>
        </w:tc>
        <w:tc>
          <w:tcPr>
            <w:tcW w:w="3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503,047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392,236</w:t>
            </w:r>
          </w:p>
        </w:tc>
        <w:tc>
          <w:tcPr>
            <w:tcW w:w="120" w:type="dxa"/>
            <w:vAlign w:val="bottom"/>
          </w:tcPr>
          <w:p>
            <w:pPr>
              <w:spacing w:after="0"/>
              <w:rPr>
                <w:sz w:val="17"/>
                <w:szCs w:val="17"/>
                <w:color w:val="auto"/>
              </w:rPr>
            </w:pPr>
          </w:p>
        </w:tc>
      </w:tr>
      <w:tr>
        <w:trPr>
          <w:trHeight w:val="196"/>
        </w:trPr>
        <w:tc>
          <w:tcPr>
            <w:tcW w:w="414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accounts receivable, gross</w:t>
            </w:r>
          </w:p>
        </w:tc>
        <w:tc>
          <w:tcPr>
            <w:tcW w:w="3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1,227,790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1,104,282</w:t>
            </w:r>
          </w:p>
        </w:tc>
        <w:tc>
          <w:tcPr>
            <w:tcW w:w="120" w:type="dxa"/>
            <w:vAlign w:val="bottom"/>
            <w:shd w:val="clear" w:color="auto" w:fill="CFF0FC"/>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3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(3,886)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(3,886)</w:t>
            </w:r>
          </w:p>
        </w:tc>
      </w:tr>
      <w:tr>
        <w:trPr>
          <w:trHeight w:val="20"/>
        </w:trPr>
        <w:tc>
          <w:tcPr>
            <w:tcW w:w="4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14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accounts receivable, net</w:t>
            </w:r>
          </w:p>
        </w:tc>
        <w:tc>
          <w:tcPr>
            <w:tcW w:w="3580" w:type="dxa"/>
            <w:vAlign w:val="bottom"/>
            <w:gridSpan w:val="2"/>
            <w:shd w:val="clear" w:color="auto" w:fill="CFF0FC"/>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1,223,904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1,100,396</w:t>
            </w:r>
          </w:p>
        </w:tc>
        <w:tc>
          <w:tcPr>
            <w:tcW w:w="120" w:type="dxa"/>
            <w:vAlign w:val="bottom"/>
            <w:shd w:val="clear" w:color="auto" w:fill="CFF0FC"/>
          </w:tcPr>
          <w:p>
            <w:pPr>
              <w:spacing w:after="0"/>
              <w:rPr>
                <w:sz w:val="20"/>
                <w:szCs w:val="20"/>
                <w:color w:val="auto"/>
              </w:rPr>
            </w:pPr>
          </w:p>
        </w:tc>
      </w:tr>
      <w:tr>
        <w:trPr>
          <w:trHeight w:val="633"/>
        </w:trPr>
        <w:tc>
          <w:tcPr>
            <w:tcW w:w="4140" w:type="dxa"/>
            <w:vAlign w:val="bottom"/>
            <w:tcBorders>
              <w:top w:val="single" w:sz="8" w:color="CFF0FC"/>
            </w:tcBorders>
          </w:tcPr>
          <w:p>
            <w:pPr>
              <w:spacing w:after="0"/>
              <w:rPr>
                <w:sz w:val="24"/>
                <w:szCs w:val="24"/>
                <w:color w:val="auto"/>
              </w:rPr>
            </w:pPr>
          </w:p>
        </w:tc>
        <w:tc>
          <w:tcPr>
            <w:tcW w:w="3160" w:type="dxa"/>
            <w:vAlign w:val="bottom"/>
            <w:tcBorders>
              <w:top w:val="single" w:sz="8" w:color="CFF0FC"/>
            </w:tcBorders>
          </w:tcPr>
          <w:p>
            <w:pPr>
              <w:jc w:val="right"/>
              <w:ind w:right="1490"/>
              <w:spacing w:after="0"/>
              <w:rPr>
                <w:sz w:val="20"/>
                <w:szCs w:val="20"/>
                <w:color w:val="auto"/>
              </w:rPr>
            </w:pPr>
            <w:r>
              <w:rPr>
                <w:rFonts w:ascii="Arial" w:cs="Arial" w:eastAsia="Arial" w:hAnsi="Arial"/>
                <w:sz w:val="18"/>
                <w:szCs w:val="18"/>
                <w:color w:val="auto"/>
              </w:rPr>
              <w:t>15</w:t>
            </w:r>
          </w:p>
        </w:tc>
        <w:tc>
          <w:tcPr>
            <w:tcW w:w="4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45"/>
        </w:trPr>
        <w:tc>
          <w:tcPr>
            <w:tcW w:w="41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-925195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-908050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ind w:right="60" w:firstLine="636"/>
        <w:spacing w:after="0" w:line="247"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 Receivables from contracts with the U.S. federal government and its agencies were 16% and 23% as of September 30, 2025 and December 31, 2024, respectively.</w:t>
      </w:r>
    </w:p>
    <w:p>
      <w:pPr>
        <w:spacing w:after="0" w:line="174" w:lineRule="exact"/>
        <w:rPr>
          <w:sz w:val="20"/>
          <w:szCs w:val="20"/>
          <w:color w:val="auto"/>
        </w:rPr>
      </w:pPr>
    </w:p>
    <w:p>
      <w:pPr>
        <w:ind w:right="380" w:firstLine="636"/>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The Company’s remaining unsatisfied performance obligations (“RUPO”) as of September 30, 2025 represent a measure of the total dollar value of work to be performed on contracts awarded and in-progress. The Company had $7.0 billion in RUPO as of September 30, 2025.</w:t>
      </w:r>
    </w:p>
    <w:p>
      <w:pPr>
        <w:spacing w:after="0" w:line="169" w:lineRule="exact"/>
        <w:rPr>
          <w:sz w:val="20"/>
          <w:szCs w:val="20"/>
          <w:color w:val="auto"/>
        </w:rPr>
      </w:pPr>
    </w:p>
    <w:p>
      <w:pPr>
        <w:ind w:right="120" w:firstLine="636"/>
        <w:spacing w:after="0" w:line="301" w:lineRule="auto"/>
        <w:rPr>
          <w:sz w:val="20"/>
          <w:szCs w:val="20"/>
          <w:color w:val="auto"/>
        </w:rPr>
      </w:pPr>
      <w:r>
        <w:rPr>
          <w:rFonts w:ascii="Arial" w:cs="Arial" w:eastAsia="Arial" w:hAnsi="Arial"/>
          <w:sz w:val="17"/>
          <w:szCs w:val="17"/>
          <w:color w:val="auto"/>
        </w:rPr>
        <w:t>RUPO will increase with awards of new contracts and decrease as the Company performs work and recognizes revenue on existing contracts. Projects are included within RUPO at such time the project is awarded and agreement on contract terms has been reached.</w:t>
      </w:r>
    </w:p>
    <w:p>
      <w:pPr>
        <w:spacing w:after="0" w:line="131"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September 30, 2025 over the following periods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One to</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Period RUPO Will Be Satisfied</w:t>
            </w: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Within One Year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196"/>
        </w:trPr>
        <w:tc>
          <w:tcPr>
            <w:tcW w:w="394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Federal Solutions</w:t>
            </w:r>
          </w:p>
        </w:tc>
        <w:tc>
          <w:tcPr>
            <w:tcW w:w="2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1,812,846</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451,123</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159,490</w:t>
            </w:r>
          </w:p>
        </w:tc>
      </w:tr>
      <w:tr>
        <w:trPr>
          <w:trHeight w:val="203"/>
        </w:trPr>
        <w:tc>
          <w:tcPr>
            <w:tcW w:w="3940" w:type="dxa"/>
            <w:vAlign w:val="bottom"/>
          </w:tcPr>
          <w:p>
            <w:pPr>
              <w:ind w:left="60"/>
              <w:spacing w:after="0" w:line="202" w:lineRule="exact"/>
              <w:rPr>
                <w:sz w:val="20"/>
                <w:szCs w:val="20"/>
                <w:color w:val="auto"/>
              </w:rPr>
            </w:pPr>
            <w:r>
              <w:rPr>
                <w:rFonts w:ascii="Arial" w:cs="Arial" w:eastAsia="Arial" w:hAnsi="Arial"/>
                <w:sz w:val="18"/>
                <w:szCs w:val="18"/>
                <w:color w:val="auto"/>
              </w:rPr>
              <w:t>Critical Infrastructure</w:t>
            </w:r>
          </w:p>
        </w:tc>
        <w:tc>
          <w:tcPr>
            <w:tcW w:w="18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2,241,022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1,364,224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1,019,598</w:t>
            </w:r>
          </w:p>
        </w:tc>
        <w:tc>
          <w:tcPr>
            <w:tcW w:w="100" w:type="dxa"/>
            <w:vAlign w:val="bottom"/>
          </w:tcPr>
          <w:p>
            <w:pPr>
              <w:spacing w:after="0"/>
              <w:rPr>
                <w:sz w:val="17"/>
                <w:szCs w:val="17"/>
                <w:color w:val="auto"/>
              </w:rPr>
            </w:pPr>
          </w:p>
        </w:tc>
      </w:tr>
      <w:tr>
        <w:trPr>
          <w:trHeight w:val="216"/>
        </w:trPr>
        <w:tc>
          <w:tcPr>
            <w:tcW w:w="39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4,053,868</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1,815,347</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1,179,088</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1" w:lineRule="exact"/>
        <w:rPr>
          <w:sz w:val="20"/>
          <w:szCs w:val="20"/>
          <w:color w:val="auto"/>
        </w:rPr>
      </w:pPr>
    </w:p>
    <w:p>
      <w:pPr>
        <w:ind w:right="140" w:firstLine="690"/>
        <w:spacing w:after="0" w:line="261"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eleven years, some of which may include options to extend the leases for up to five years, and some of which may include options to terminate the leases after the third year.</w:t>
      </w:r>
    </w:p>
    <w:p>
      <w:pPr>
        <w:spacing w:after="0" w:line="162"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components of lease costs for the three and nine months ended September 30, 2025 and September 30, 2024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96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tcBorders>
              <w:top w:val="single" w:sz="8" w:color="auto"/>
            </w:tcBorders>
            <w:gridSpan w:val="3"/>
          </w:tcPr>
          <w:p>
            <w:pPr>
              <w:jc w:val="right"/>
              <w:ind w:right="320"/>
              <w:spacing w:after="0" w:line="147"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2"/>
          </w:tcPr>
          <w:p>
            <w:pPr>
              <w:jc w:val="right"/>
              <w:ind w:right="33"/>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380" w:type="dxa"/>
            <w:vAlign w:val="bottom"/>
            <w:tcBorders>
              <w:top w:val="single" w:sz="8" w:color="auto"/>
            </w:tcBorders>
            <w:gridSpan w:val="3"/>
          </w:tcPr>
          <w:p>
            <w:pPr>
              <w:jc w:val="right"/>
              <w:ind w:right="320"/>
              <w:spacing w:after="0" w:line="147"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2"/>
          </w:tcPr>
          <w:p>
            <w:pPr>
              <w:jc w:val="right"/>
              <w:ind w:right="33"/>
              <w:spacing w:after="0" w:line="147" w:lineRule="exact"/>
              <w:rPr>
                <w:sz w:val="20"/>
                <w:szCs w:val="20"/>
                <w:color w:val="auto"/>
              </w:rPr>
            </w:pPr>
            <w:r>
              <w:rPr>
                <w:rFonts w:ascii="Arial" w:cs="Arial" w:eastAsia="Arial" w:hAnsi="Arial"/>
                <w:sz w:val="14"/>
                <w:szCs w:val="14"/>
                <w:b w:val="1"/>
                <w:bCs w:val="1"/>
                <w:color w:val="auto"/>
              </w:rPr>
              <w:t>September 30,</w:t>
            </w:r>
          </w:p>
        </w:tc>
        <w:tc>
          <w:tcPr>
            <w:tcW w:w="660" w:type="dxa"/>
            <w:vAlign w:val="bottom"/>
            <w:gridSpan w:val="2"/>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376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Operating lease cost</w:t>
            </w:r>
          </w:p>
        </w:tc>
        <w:tc>
          <w:tcPr>
            <w:tcW w:w="110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16,971</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16,022</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50,235</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49,584</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Short-term lease cost</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3,642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4,480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10,309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11,912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Amortization of right-of-use assets</w:t>
            </w: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1,136</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923</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3,413</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2,535</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Interest on lease liabilities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Sublease income</w:t>
            </w: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(974)</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(1,008)</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(2,796)</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(3,246)</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760" w:type="dxa"/>
            <w:vAlign w:val="bottom"/>
          </w:tcPr>
          <w:p>
            <w:pPr>
              <w:spacing w:after="0" w:line="196" w:lineRule="exact"/>
              <w:rPr>
                <w:sz w:val="20"/>
                <w:szCs w:val="20"/>
                <w:color w:val="auto"/>
              </w:rPr>
            </w:pPr>
            <w:r>
              <w:rPr>
                <w:rFonts w:ascii="Arial" w:cs="Arial" w:eastAsia="Arial" w:hAnsi="Arial"/>
                <w:sz w:val="18"/>
                <w:szCs w:val="18"/>
                <w:color w:val="auto"/>
              </w:rPr>
              <w:t>Total lease cost</w:t>
            </w:r>
          </w:p>
        </w:tc>
        <w:tc>
          <w:tcPr>
            <w:tcW w:w="110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20,910</w:t>
            </w:r>
          </w:p>
        </w:tc>
        <w:tc>
          <w:tcPr>
            <w:tcW w:w="200" w:type="dxa"/>
            <w:vAlign w:val="bottom"/>
          </w:tcPr>
          <w:p>
            <w:pPr>
              <w:spacing w:after="0"/>
              <w:rPr>
                <w:sz w:val="17"/>
                <w:szCs w:val="17"/>
                <w:color w:val="auto"/>
              </w:rPr>
            </w:pPr>
          </w:p>
        </w:tc>
        <w:tc>
          <w:tcPr>
            <w:tcW w:w="280" w:type="dxa"/>
            <w:vAlign w:val="bottom"/>
          </w:tcPr>
          <w:p>
            <w:pPr>
              <w:jc w:val="right"/>
              <w:ind w:right="76"/>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20,532</w:t>
            </w:r>
          </w:p>
        </w:tc>
        <w:tc>
          <w:tcPr>
            <w:tcW w:w="200" w:type="dxa"/>
            <w:vAlign w:val="bottom"/>
          </w:tcPr>
          <w:p>
            <w:pPr>
              <w:spacing w:after="0"/>
              <w:rPr>
                <w:sz w:val="17"/>
                <w:szCs w:val="17"/>
                <w:color w:val="auto"/>
              </w:rPr>
            </w:pPr>
          </w:p>
        </w:tc>
        <w:tc>
          <w:tcPr>
            <w:tcW w:w="260" w:type="dxa"/>
            <w:vAlign w:val="bottom"/>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61,557</w:t>
            </w:r>
          </w:p>
        </w:tc>
        <w:tc>
          <w:tcPr>
            <w:tcW w:w="200" w:type="dxa"/>
            <w:vAlign w:val="bottom"/>
          </w:tcPr>
          <w:p>
            <w:pPr>
              <w:spacing w:after="0"/>
              <w:rPr>
                <w:sz w:val="17"/>
                <w:szCs w:val="17"/>
                <w:color w:val="auto"/>
              </w:rPr>
            </w:pPr>
          </w:p>
        </w:tc>
        <w:tc>
          <w:tcPr>
            <w:tcW w:w="260" w:type="dxa"/>
            <w:vAlign w:val="bottom"/>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61,098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32"/>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634"/>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-1062355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-1062355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-1062355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-1062355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8" w:name="page19"/>
    <w:bookmarkEnd w:id="18"/>
    <w:p>
      <w:pPr>
        <w:ind w:right="120" w:firstLine="636"/>
        <w:spacing w:after="0" w:line="271" w:lineRule="auto"/>
        <w:rPr>
          <w:sz w:val="20"/>
          <w:szCs w:val="20"/>
          <w:color w:val="auto"/>
        </w:rPr>
      </w:pPr>
      <w:r>
        <w:rPr>
          <w:rFonts w:ascii="Arial" w:cs="Arial" w:eastAsia="Arial" w:hAnsi="Arial"/>
          <w:sz w:val="18"/>
          <w:szCs w:val="18"/>
          <w:color w:val="auto"/>
        </w:rPr>
        <w:t>Supplemental cash flow information related to leases for the nine months ended September 30, 2025 and September 30, 2024 is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5"/>
          </w:tcPr>
          <w:p>
            <w:pPr>
              <w:ind w:left="98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3"/>
                <w:szCs w:val="13"/>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cash flows for operating leases</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49,892</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51,013</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Operating cash flows for finance leases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396</w:t>
            </w:r>
          </w:p>
        </w:tc>
        <w:tc>
          <w:tcPr>
            <w:tcW w:w="120" w:type="dxa"/>
            <w:vAlign w:val="bottom"/>
          </w:tcPr>
          <w:p>
            <w:pPr>
              <w:spacing w:after="0"/>
              <w:rPr>
                <w:sz w:val="17"/>
                <w:szCs w:val="17"/>
                <w:color w:val="auto"/>
              </w:rPr>
            </w:pPr>
          </w:p>
        </w:tc>
        <w:tc>
          <w:tcPr>
            <w:tcW w:w="1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313</w:t>
            </w: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Financing cash flows from finance leases</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3,311</w:t>
            </w: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2,419</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18,942</w:t>
            </w:r>
          </w:p>
        </w:tc>
        <w:tc>
          <w:tcPr>
            <w:tcW w:w="120" w:type="dxa"/>
            <w:vAlign w:val="bottom"/>
          </w:tcPr>
          <w:p>
            <w:pPr>
              <w:spacing w:after="0"/>
              <w:rPr>
                <w:sz w:val="17"/>
                <w:szCs w:val="17"/>
                <w:color w:val="auto"/>
              </w:rPr>
            </w:pPr>
          </w:p>
        </w:tc>
        <w:tc>
          <w:tcPr>
            <w:tcW w:w="1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15,633</w:t>
            </w: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Right-of-use assets obtained in exchange for new finance lease liabilities</w:t>
            </w:r>
          </w:p>
        </w:tc>
        <w:tc>
          <w:tcPr>
            <w:tcW w:w="3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2,164</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4,003</w:t>
            </w:r>
          </w:p>
        </w:tc>
      </w:tr>
    </w:tbl>
    <w:p>
      <w:pPr>
        <w:spacing w:after="0" w:line="224" w:lineRule="exact"/>
        <w:rPr>
          <w:sz w:val="20"/>
          <w:szCs w:val="20"/>
          <w:color w:val="auto"/>
        </w:rPr>
      </w:pPr>
    </w:p>
    <w:p>
      <w:pPr>
        <w:jc w:val="both"/>
        <w:ind w:right="560" w:firstLine="636"/>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September 30, 2025 and December 31, 2024 are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133,535</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153,048</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 liabilities: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49,514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52,725</w:t>
            </w:r>
          </w:p>
        </w:tc>
        <w:tc>
          <w:tcPr>
            <w:tcW w:w="180" w:type="dxa"/>
            <w:vAlign w:val="bottom"/>
          </w:tcPr>
          <w:p>
            <w:pPr>
              <w:spacing w:after="0"/>
              <w:rPr>
                <w:sz w:val="17"/>
                <w:szCs w:val="17"/>
                <w:color w:val="auto"/>
              </w:rPr>
            </w:pPr>
          </w:p>
        </w:tc>
      </w:tr>
      <w:tr>
        <w:trPr>
          <w:trHeight w:val="203"/>
        </w:trPr>
        <w:tc>
          <w:tcPr>
            <w:tcW w:w="496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Long-term</w:t>
            </w:r>
          </w:p>
        </w:tc>
        <w:tc>
          <w:tcPr>
            <w:tcW w:w="13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97,673</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114,386</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4960" w:type="dxa"/>
            <w:vAlign w:val="bottom"/>
          </w:tcPr>
          <w:p>
            <w:pPr>
              <w:spacing w:after="0" w:line="196" w:lineRule="exact"/>
              <w:rPr>
                <w:sz w:val="20"/>
                <w:szCs w:val="20"/>
                <w:color w:val="auto"/>
              </w:rPr>
            </w:pPr>
            <w:r>
              <w:rPr>
                <w:rFonts w:ascii="Arial" w:cs="Arial" w:eastAsia="Arial" w:hAnsi="Arial"/>
                <w:sz w:val="18"/>
                <w:szCs w:val="18"/>
                <w:color w:val="auto"/>
              </w:rPr>
              <w:t>Total operating lease liabilities</w:t>
            </w:r>
          </w:p>
        </w:tc>
        <w:tc>
          <w:tcPr>
            <w:tcW w:w="1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147,187</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167,111</w:t>
            </w:r>
          </w:p>
        </w:tc>
        <w:tc>
          <w:tcPr>
            <w:tcW w:w="18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49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9,519</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9,864</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4,072</w:t>
            </w:r>
          </w:p>
        </w:tc>
        <w:tc>
          <w:tcPr>
            <w:tcW w:w="2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3,645</w:t>
            </w: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5,792</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6,441</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Weighted Average Remaining Lease Term:</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3.7 Years</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3.9 Years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Finance leases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 Years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 Years</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-1576705</wp:posOffset>
            </wp:positionV>
            <wp:extent cx="1111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-1576705</wp:posOffset>
            </wp:positionV>
            <wp:extent cx="1117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2025, the Company has no operating leases that have not yet commenced.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Finance Leases</w:t>
            </w:r>
          </w:p>
        </w:tc>
        <w:tc>
          <w:tcPr>
            <w:tcW w:w="660" w:type="dxa"/>
            <w:vAlign w:val="bottom"/>
            <w:gridSpan w:val="2"/>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3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2025 (remaining)</w:t>
            </w:r>
          </w:p>
        </w:tc>
        <w:tc>
          <w:tcPr>
            <w:tcW w:w="26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15,831</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1,178</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48,882</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4,383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34,576</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3,131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28,496</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2029</w:t>
            </w:r>
          </w:p>
        </w:tc>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21,053</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393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11,421</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160,259</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10,924</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(13,072)</w:t>
            </w:r>
          </w:p>
        </w:tc>
        <w:tc>
          <w:tcPr>
            <w:tcW w:w="20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(1,060)</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39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present value of lease liabilities</w:t>
            </w:r>
          </w:p>
        </w:tc>
        <w:tc>
          <w:tcPr>
            <w:tcW w:w="266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147,187</w:t>
            </w: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9,864</w:t>
            </w:r>
          </w:p>
        </w:tc>
        <w:tc>
          <w:tcPr>
            <w:tcW w:w="560" w:type="dxa"/>
            <w:vAlign w:val="bottom"/>
          </w:tcPr>
          <w:p>
            <w:pPr>
              <w:spacing w:after="0"/>
              <w:rPr>
                <w:sz w:val="20"/>
                <w:szCs w:val="20"/>
                <w:color w:val="auto"/>
              </w:rPr>
            </w:pPr>
          </w:p>
        </w:tc>
      </w:tr>
      <w:tr>
        <w:trPr>
          <w:trHeight w:val="619"/>
        </w:trPr>
        <w:tc>
          <w:tcPr>
            <w:tcW w:w="580" w:type="dxa"/>
            <w:vAlign w:val="bottom"/>
          </w:tcPr>
          <w:p>
            <w:pPr>
              <w:spacing w:after="0"/>
              <w:rPr>
                <w:sz w:val="24"/>
                <w:szCs w:val="24"/>
                <w:color w:val="auto"/>
              </w:rPr>
            </w:pPr>
          </w:p>
        </w:tc>
        <w:tc>
          <w:tcPr>
            <w:tcW w:w="3940" w:type="dxa"/>
            <w:vAlign w:val="bottom"/>
            <w:tcBorders>
              <w:top w:val="single" w:sz="8" w:color="CFF0FC"/>
            </w:tcBorders>
          </w:tcPr>
          <w:p>
            <w:pPr>
              <w:spacing w:after="0"/>
              <w:rPr>
                <w:sz w:val="24"/>
                <w:szCs w:val="24"/>
                <w:color w:val="auto"/>
              </w:rPr>
            </w:pPr>
          </w:p>
        </w:tc>
        <w:tc>
          <w:tcPr>
            <w:tcW w:w="2500" w:type="dxa"/>
            <w:vAlign w:val="bottom"/>
            <w:tcBorders>
              <w:top w:val="single" w:sz="8" w:color="CFF0FC"/>
            </w:tcBorders>
          </w:tcPr>
          <w:p>
            <w:pPr>
              <w:jc w:val="right"/>
              <w:ind w:right="1210"/>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-916940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-899795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-916940</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-899795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2024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37"/>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62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Exchange</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1,806,564</w:t>
            </w:r>
          </w:p>
        </w:tc>
        <w:tc>
          <w:tcPr>
            <w:tcW w:w="3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55,183</w:t>
            </w:r>
          </w:p>
        </w:tc>
        <w:tc>
          <w:tcPr>
            <w:tcW w:w="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1,861,747</w:t>
            </w:r>
          </w:p>
        </w:tc>
        <w:tc>
          <w:tcPr>
            <w:tcW w:w="100" w:type="dxa"/>
            <w:vAlign w:val="bottom"/>
            <w:shd w:val="clear" w:color="auto" w:fill="CFF0FC"/>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276,116</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24,012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301,722</w:t>
            </w:r>
          </w:p>
        </w:tc>
        <w:tc>
          <w:tcPr>
            <w:tcW w:w="100" w:type="dxa"/>
            <w:vAlign w:val="bottom"/>
          </w:tcPr>
          <w:p>
            <w:pPr>
              <w:spacing w:after="0"/>
              <w:rPr>
                <w:sz w:val="17"/>
                <w:szCs w:val="17"/>
                <w:color w:val="auto"/>
              </w:rPr>
            </w:pPr>
          </w:p>
        </w:tc>
      </w:tr>
      <w:tr>
        <w:trPr>
          <w:trHeight w:val="21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2,082,680</w:t>
            </w:r>
          </w:p>
        </w:tc>
        <w:tc>
          <w:tcPr>
            <w:tcW w:w="3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79,195</w:t>
            </w:r>
          </w:p>
        </w:tc>
        <w:tc>
          <w:tcPr>
            <w:tcW w:w="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1,594</w:t>
            </w:r>
          </w:p>
        </w:tc>
        <w:tc>
          <w:tcPr>
            <w:tcW w:w="46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2,163,469</w:t>
            </w:r>
          </w:p>
        </w:tc>
        <w:tc>
          <w:tcPr>
            <w:tcW w:w="100" w:type="dxa"/>
            <w:vAlign w:val="bottom"/>
            <w:shd w:val="clear" w:color="auto" w:fill="CFF0FC"/>
          </w:tcPr>
          <w:p>
            <w:pPr>
              <w:spacing w:after="0"/>
              <w:rPr>
                <w:sz w:val="18"/>
                <w:szCs w:val="18"/>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The Company performed a qualitative triggering analysis and determined there was no triggering event indicating a potential impairment to the carrying value of its goodwill at September 30, 2025 and concluded there has not been an impairment.</w:t>
      </w:r>
    </w:p>
    <w:p>
      <w:pPr>
        <w:spacing w:after="0" w:line="26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gridSpan w:val="4"/>
            <w:vMerge w:val="restart"/>
          </w:tcPr>
          <w:p>
            <w:pPr>
              <w:jc w:val="right"/>
              <w:ind w:right="40"/>
              <w:spacing w:after="0"/>
              <w:rPr>
                <w:sz w:val="20"/>
                <w:szCs w:val="20"/>
                <w:color w:val="auto"/>
              </w:rPr>
            </w:pPr>
            <w:r>
              <w:rPr>
                <w:rFonts w:ascii="Arial" w:cs="Arial" w:eastAsia="Arial" w:hAnsi="Arial"/>
                <w:sz w:val="13"/>
                <w:szCs w:val="13"/>
                <w:b w:val="1"/>
                <w:bCs w:val="1"/>
                <w:color w:val="auto"/>
                <w:w w:val="97"/>
              </w:rPr>
              <w:t>September 30, 2025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gridSpan w:val="4"/>
            <w:vMerge w:val="restart"/>
          </w:tcPr>
          <w:p>
            <w:pPr>
              <w:jc w:val="right"/>
              <w:ind w:right="60"/>
              <w:spacing w:after="0"/>
              <w:rPr>
                <w:sz w:val="20"/>
                <w:szCs w:val="20"/>
                <w:color w:val="auto"/>
              </w:rPr>
            </w:pPr>
            <w:r>
              <w:rPr>
                <w:rFonts w:ascii="Arial" w:cs="Arial" w:eastAsia="Arial" w:hAnsi="Arial"/>
                <w:sz w:val="13"/>
                <w:szCs w:val="13"/>
                <w:b w:val="1"/>
                <w:bCs w:val="1"/>
                <w:color w:val="auto"/>
                <w:w w:val="99"/>
              </w:rPr>
              <w:t>December 31, 2024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11"/>
        </w:trPr>
        <w:tc>
          <w:tcPr>
            <w:tcW w:w="3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91"/>
              <w:spacing w:after="0" w:line="111" w:lineRule="exact"/>
              <w:rPr>
                <w:sz w:val="20"/>
                <w:szCs w:val="20"/>
                <w:color w:val="auto"/>
              </w:rPr>
            </w:pPr>
            <w:r>
              <w:rPr>
                <w:rFonts w:ascii="Arial" w:cs="Arial" w:eastAsia="Arial" w:hAnsi="Arial"/>
                <w:sz w:val="12"/>
                <w:szCs w:val="12"/>
                <w:b w:val="1"/>
                <w:bCs w:val="1"/>
                <w:color w:val="auto"/>
              </w:rPr>
              <w:t>Gross</w:t>
            </w:r>
          </w:p>
        </w:tc>
        <w:tc>
          <w:tcPr>
            <w:tcW w:w="200" w:type="dxa"/>
            <w:vAlign w:val="bottom"/>
          </w:tcPr>
          <w:p>
            <w:pPr>
              <w:spacing w:after="0"/>
              <w:rPr>
                <w:sz w:val="9"/>
                <w:szCs w:val="9"/>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Gross</w:t>
            </w:r>
          </w:p>
        </w:tc>
        <w:tc>
          <w:tcPr>
            <w:tcW w:w="220" w:type="dxa"/>
            <w:vAlign w:val="bottom"/>
          </w:tcPr>
          <w:p>
            <w:pPr>
              <w:spacing w:after="0"/>
              <w:rPr>
                <w:sz w:val="9"/>
                <w:szCs w:val="9"/>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080" w:type="dxa"/>
            <w:vAlign w:val="bottom"/>
            <w:gridSpan w:val="2"/>
          </w:tcPr>
          <w:p>
            <w:pPr>
              <w:jc w:val="center"/>
              <w:ind w:right="140"/>
              <w:spacing w:after="0" w:line="111" w:lineRule="exact"/>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Period</w:t>
            </w:r>
          </w:p>
        </w:tc>
        <w:tc>
          <w:tcPr>
            <w:tcW w:w="0" w:type="dxa"/>
            <w:vAlign w:val="bottom"/>
          </w:tcPr>
          <w:p>
            <w:pPr>
              <w:spacing w:after="0"/>
              <w:rPr>
                <w:sz w:val="1"/>
                <w:szCs w:val="1"/>
                <w:color w:val="auto"/>
              </w:rPr>
            </w:pPr>
          </w:p>
        </w:tc>
      </w:tr>
      <w:tr>
        <w:trPr>
          <w:trHeight w:val="153"/>
        </w:trPr>
        <w:tc>
          <w:tcPr>
            <w:tcW w:w="38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3"/>
                <w:szCs w:val="13"/>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Amortization</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Amortization</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6"/>
              </w:rPr>
              <w:t>(in years)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Backlog</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152,009</w:t>
            </w:r>
          </w:p>
        </w:tc>
        <w:tc>
          <w:tcPr>
            <w:tcW w:w="380" w:type="dxa"/>
            <w:vAlign w:val="bottom"/>
            <w:gridSpan w:val="2"/>
            <w:shd w:val="clear" w:color="auto" w:fill="CFF0FC"/>
          </w:tcPr>
          <w:p>
            <w:pPr>
              <w:ind w:left="20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(74,849)</w:t>
            </w:r>
          </w:p>
        </w:tc>
        <w:tc>
          <w:tcPr>
            <w:tcW w:w="14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77,160</w:t>
            </w:r>
          </w:p>
        </w:tc>
        <w:tc>
          <w:tcPr>
            <w:tcW w:w="34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142,100</w:t>
            </w:r>
          </w:p>
        </w:tc>
        <w:tc>
          <w:tcPr>
            <w:tcW w:w="400" w:type="dxa"/>
            <w:vAlign w:val="bottom"/>
            <w:gridSpan w:val="2"/>
            <w:shd w:val="clear" w:color="auto" w:fill="CFF0FC"/>
          </w:tcPr>
          <w:p>
            <w:pPr>
              <w:jc w:val="right"/>
              <w:ind w:right="37"/>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(51,322)</w:t>
            </w:r>
          </w:p>
        </w:tc>
        <w:tc>
          <w:tcPr>
            <w:tcW w:w="1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90,778</w:t>
            </w:r>
          </w:p>
        </w:tc>
        <w:tc>
          <w:tcPr>
            <w:tcW w:w="1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Customer relationships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393,620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(159,398)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234,222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372,930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(139,568)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233,362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Developed technology</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30,100</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(11,881)</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18,219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(7,458)</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15,742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Trade name</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(1,798)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(367)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1,133</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Non-compete agreements</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10,760</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(3,421)</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7,339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(1,203)</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7,097</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In process research and development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14"/>
                <w:szCs w:val="14"/>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intangibles</w:t>
            </w: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gridSpan w:val="2"/>
            <w:shd w:val="clear" w:color="auto" w:fill="CFF0FC"/>
          </w:tcPr>
          <w:p>
            <w:pPr>
              <w:ind w:left="7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3860" w:type="dxa"/>
            <w:vAlign w:val="bottom"/>
          </w:tcPr>
          <w:p>
            <w:pPr>
              <w:ind w:left="80"/>
              <w:spacing w:after="0" w:line="155" w:lineRule="exact"/>
              <w:rPr>
                <w:sz w:val="20"/>
                <w:szCs w:val="20"/>
                <w:color w:val="auto"/>
              </w:rPr>
            </w:pPr>
            <w:r>
              <w:rPr>
                <w:rFonts w:ascii="Arial" w:cs="Arial" w:eastAsia="Arial" w:hAnsi="Arial"/>
                <w:sz w:val="14"/>
                <w:szCs w:val="14"/>
                <w:color w:val="auto"/>
              </w:rPr>
              <w:t>Total intangible assets</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590,773</w:t>
            </w:r>
          </w:p>
        </w:tc>
        <w:tc>
          <w:tcPr>
            <w:tcW w:w="20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(251,347)</w:t>
            </w:r>
          </w:p>
        </w:tc>
        <w:tc>
          <w:tcPr>
            <w:tcW w:w="1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339,426</w:t>
            </w: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549,855</w:t>
            </w:r>
          </w:p>
        </w:tc>
        <w:tc>
          <w:tcPr>
            <w:tcW w:w="400" w:type="dxa"/>
            <w:vAlign w:val="bottom"/>
            <w:gridSpan w:val="2"/>
          </w:tcPr>
          <w:p>
            <w:pPr>
              <w:jc w:val="right"/>
              <w:ind w:right="37"/>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(199,918)</w:t>
            </w: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349,937</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-119380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-119380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-119380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-119380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-119380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-119380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160" w:firstLine="636"/>
        <w:spacing w:after="0" w:line="253" w:lineRule="auto"/>
        <w:rPr>
          <w:sz w:val="20"/>
          <w:szCs w:val="20"/>
          <w:color w:val="auto"/>
        </w:rPr>
      </w:pPr>
      <w:r>
        <w:rPr>
          <w:rFonts w:ascii="Arial" w:cs="Arial" w:eastAsia="Arial" w:hAnsi="Arial"/>
          <w:sz w:val="18"/>
          <w:szCs w:val="18"/>
          <w:color w:val="auto"/>
        </w:rPr>
        <w:t>The aggregate amortization expense of intangible assets for the three months ended September 30, 2025 and September 30, 2024 was $18.0 million and $13.3 million, respectively and for the nine months ended September 30, 2025 and September 30, 2024 was $51.4 million and $40.8 million, respectively.</w:t>
      </w:r>
    </w:p>
    <w:p>
      <w:pPr>
        <w:spacing w:after="0" w:line="169" w:lineRule="exact"/>
        <w:rPr>
          <w:sz w:val="20"/>
          <w:szCs w:val="20"/>
          <w:color w:val="auto"/>
        </w:rPr>
      </w:pPr>
    </w:p>
    <w:p>
      <w:pPr>
        <w:ind w:right="520" w:firstLine="636"/>
        <w:spacing w:after="0" w:line="271"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September 30, 2025</w:t>
            </w:r>
          </w:p>
        </w:tc>
        <w:tc>
          <w:tcPr>
            <w:tcW w:w="660" w:type="dxa"/>
            <w:vAlign w:val="bottom"/>
            <w:gridSpan w:val="2"/>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2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2025</w:t>
            </w:r>
          </w:p>
        </w:tc>
        <w:tc>
          <w:tcPr>
            <w:tcW w:w="5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17,743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88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63,882</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5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56,973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88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41,596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2029</w:t>
            </w:r>
          </w:p>
        </w:tc>
        <w:tc>
          <w:tcPr>
            <w:tcW w:w="5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26,421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28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131,011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2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5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337,626</w:t>
            </w:r>
          </w:p>
        </w:tc>
        <w:tc>
          <w:tcPr>
            <w:tcW w:w="560" w:type="dxa"/>
            <w:vAlign w:val="bottom"/>
          </w:tcPr>
          <w:p>
            <w:pPr>
              <w:spacing w:after="0"/>
              <w:rPr>
                <w:sz w:val="20"/>
                <w:szCs w:val="20"/>
                <w:color w:val="auto"/>
              </w:rPr>
            </w:pPr>
          </w:p>
        </w:tc>
      </w:tr>
      <w:tr>
        <w:trPr>
          <w:trHeight w:val="633"/>
        </w:trPr>
        <w:tc>
          <w:tcPr>
            <w:tcW w:w="580" w:type="dxa"/>
            <w:vAlign w:val="bottom"/>
          </w:tcPr>
          <w:p>
            <w:pPr>
              <w:spacing w:after="0"/>
              <w:rPr>
                <w:sz w:val="24"/>
                <w:szCs w:val="24"/>
                <w:color w:val="auto"/>
              </w:rPr>
            </w:pPr>
          </w:p>
        </w:tc>
        <w:tc>
          <w:tcPr>
            <w:tcW w:w="2880" w:type="dxa"/>
            <w:vAlign w:val="bottom"/>
            <w:tcBorders>
              <w:top w:val="single" w:sz="8" w:color="CFF0FC"/>
            </w:tcBorders>
          </w:tcPr>
          <w:p>
            <w:pPr>
              <w:spacing w:after="0"/>
              <w:rPr>
                <w:sz w:val="24"/>
                <w:szCs w:val="24"/>
                <w:color w:val="auto"/>
              </w:rPr>
            </w:pPr>
          </w:p>
        </w:tc>
        <w:tc>
          <w:tcPr>
            <w:tcW w:w="5140" w:type="dxa"/>
            <w:vAlign w:val="bottom"/>
            <w:tcBorders>
              <w:top w:val="single" w:sz="8" w:color="CFF0FC"/>
            </w:tcBorders>
          </w:tcPr>
          <w:p>
            <w:pPr>
              <w:jc w:val="right"/>
              <w:ind w:right="279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-925195</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 w:name="page21"/>
    <w:bookmarkEnd w:id="20"/>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September 30, 2025 and December 31, 2024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6040" w:type="dxa"/>
            <w:vAlign w:val="bottom"/>
          </w:tcPr>
          <w:p>
            <w:pPr>
              <w:spacing w:after="0"/>
              <w:rPr>
                <w:sz w:val="14"/>
                <w:szCs w:val="14"/>
                <w:color w:val="auto"/>
              </w:rPr>
            </w:pPr>
          </w:p>
        </w:tc>
        <w:tc>
          <w:tcPr>
            <w:tcW w:w="15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Pr>
          <w:p>
            <w:pPr>
              <w:spacing w:after="0"/>
              <w:rPr>
                <w:sz w:val="14"/>
                <w:szCs w:val="14"/>
                <w:color w:val="auto"/>
              </w:rPr>
            </w:pPr>
          </w:p>
        </w:tc>
        <w:tc>
          <w:tcPr>
            <w:tcW w:w="16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r>
      <w:tr>
        <w:trPr>
          <w:trHeight w:val="196"/>
        </w:trPr>
        <w:tc>
          <w:tcPr>
            <w:tcW w:w="6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Buildings and leasehold improvements</w:t>
            </w:r>
          </w:p>
        </w:tc>
        <w:tc>
          <w:tcPr>
            <w:tcW w:w="460" w:type="dxa"/>
            <w:vAlign w:val="bottom"/>
            <w:shd w:val="clear" w:color="auto" w:fill="CFF0FC"/>
          </w:tcPr>
          <w:p>
            <w:pPr>
              <w:jc w:val="right"/>
              <w:ind w:right="276"/>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111,399</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103,945</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Furniture and equipment</w:t>
            </w: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88,677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84,720</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systems and equipment</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182,269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172,437</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Construction equipment</w:t>
            </w: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17,021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6,463</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Construction in progress</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32,295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30,342</w:t>
            </w:r>
          </w:p>
        </w:tc>
        <w:tc>
          <w:tcPr>
            <w:tcW w:w="16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431,662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397,907</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depreciation</w:t>
            </w:r>
          </w:p>
        </w:tc>
        <w:tc>
          <w:tcPr>
            <w:tcW w:w="4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(305,795)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(286,332)</w:t>
            </w:r>
          </w:p>
        </w:tc>
        <w:tc>
          <w:tcPr>
            <w:tcW w:w="16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40" w:type="dxa"/>
            <w:vAlign w:val="bottom"/>
          </w:tcPr>
          <w:p>
            <w:pPr>
              <w:ind w:left="160"/>
              <w:spacing w:after="0" w:line="196" w:lineRule="exact"/>
              <w:rPr>
                <w:sz w:val="20"/>
                <w:szCs w:val="20"/>
                <w:color w:val="auto"/>
              </w:rPr>
            </w:pPr>
            <w:r>
              <w:rPr>
                <w:rFonts w:ascii="Arial" w:cs="Arial" w:eastAsia="Arial" w:hAnsi="Arial"/>
                <w:sz w:val="18"/>
                <w:szCs w:val="18"/>
                <w:color w:val="auto"/>
              </w:rPr>
              <w:t>Property and equipment, net</w:t>
            </w:r>
          </w:p>
        </w:tc>
        <w:tc>
          <w:tcPr>
            <w:tcW w:w="460" w:type="dxa"/>
            <w:vAlign w:val="bottom"/>
          </w:tcPr>
          <w:p>
            <w:pPr>
              <w:jc w:val="right"/>
              <w:ind w:right="276"/>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125,867</w:t>
            </w:r>
          </w:p>
        </w:tc>
        <w:tc>
          <w:tcPr>
            <w:tcW w:w="160" w:type="dxa"/>
            <w:vAlign w:val="bottom"/>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111,575</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-427990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-427990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-162560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-162560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Depreciation expense for the three months ended September 30, 2025 and September 30, 2024 was $9.5 million and $9.5 million, respectively and for the nine months ended September 30, 2025 and September 30, 2024 was $28.1 million and $28.0 million, respectively.</w:t>
      </w:r>
    </w:p>
    <w:p>
      <w:pPr>
        <w:spacing w:after="0" w:line="4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Pr>
          <w:p>
            <w:pPr>
              <w:spacing w:after="0"/>
              <w:rPr>
                <w:sz w:val="14"/>
                <w:szCs w:val="1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2024</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16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80"/>
              <w:spacing w:after="0"/>
              <w:rPr>
                <w:sz w:val="20"/>
                <w:szCs w:val="20"/>
                <w:color w:val="auto"/>
              </w:rPr>
            </w:pPr>
            <w:r>
              <w:rPr>
                <w:rFonts w:ascii="Arial" w:cs="Arial" w:eastAsia="Arial" w:hAnsi="Arial"/>
                <w:sz w:val="18"/>
                <w:szCs w:val="18"/>
                <w:color w:val="auto"/>
              </w:rPr>
              <w:t>Delayed draw term loan due 2025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r>
      <w:tr>
        <w:trPr>
          <w:trHeight w:val="203"/>
        </w:trPr>
        <w:tc>
          <w:tcPr>
            <w:tcW w:w="616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Convertible senior notes due 2025</w:t>
            </w:r>
          </w:p>
        </w:tc>
        <w:tc>
          <w:tcPr>
            <w:tcW w:w="16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113,405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6160" w:type="dxa"/>
            <w:vAlign w:val="bottom"/>
          </w:tcPr>
          <w:p>
            <w:pPr>
              <w:spacing w:after="0"/>
              <w:rPr>
                <w:sz w:val="20"/>
                <w:szCs w:val="20"/>
                <w:color w:val="auto"/>
              </w:rPr>
            </w:pPr>
            <w:r>
              <w:rPr>
                <w:rFonts w:ascii="Arial" w:cs="Arial" w:eastAsia="Arial" w:hAnsi="Arial"/>
                <w:sz w:val="18"/>
                <w:szCs w:val="18"/>
                <w:color w:val="auto"/>
              </w:rPr>
              <w:t>Total Short-Term Debt</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463,405</w:t>
            </w:r>
          </w:p>
        </w:tc>
        <w:tc>
          <w:tcPr>
            <w:tcW w:w="100" w:type="dxa"/>
            <w:vAlign w:val="bottom"/>
          </w:tcPr>
          <w:p>
            <w:pPr>
              <w:spacing w:after="0"/>
              <w:rPr>
                <w:sz w:val="18"/>
                <w:szCs w:val="18"/>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Convertible senior notes due 2029</w:t>
            </w:r>
          </w:p>
        </w:tc>
        <w:tc>
          <w:tcPr>
            <w:tcW w:w="16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Term loan due 2028</w:t>
            </w:r>
          </w:p>
        </w:tc>
        <w:tc>
          <w:tcPr>
            <w:tcW w:w="16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(13,300)</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(15,904)</w:t>
            </w:r>
          </w:p>
        </w:tc>
      </w:tr>
      <w:tr>
        <w:trPr>
          <w:trHeight w:val="196"/>
        </w:trPr>
        <w:tc>
          <w:tcPr>
            <w:tcW w:w="61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1,236,700</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784,096</w:t>
            </w:r>
          </w:p>
        </w:tc>
        <w:tc>
          <w:tcPr>
            <w:tcW w:w="100" w:type="dxa"/>
            <w:vAlign w:val="bottom"/>
            <w:tcBorders>
              <w:top w:val="single" w:sz="8" w:color="CFF0FC"/>
            </w:tcBorders>
          </w:tcPr>
          <w:p>
            <w:pPr>
              <w:spacing w:after="0"/>
              <w:rPr>
                <w:sz w:val="17"/>
                <w:szCs w:val="17"/>
                <w:color w:val="auto"/>
              </w:rPr>
            </w:pPr>
          </w:p>
        </w:tc>
      </w:tr>
      <w:tr>
        <w:trPr>
          <w:trHeight w:val="236"/>
        </w:trPr>
        <w:tc>
          <w:tcPr>
            <w:tcW w:w="6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1,236,700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1,247,501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-1113790</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-1113790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-299720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-299720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596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June 2025, the Company terminated its $350 million Delayed Draw Term Loan due 2025 and its $650 million Revolving Credit Facility due 2026 and replaced these credit facilities with a $450 million Term Loan due 2028 and a $750 million Revolving Credit Facility due 2030. Proceeds from the Term Loan were used to payoff the outstanding balance of the Delayed Draw Term Loan.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Term Loan</w:t>
      </w:r>
    </w:p>
    <w:p>
      <w:pPr>
        <w:spacing w:after="0" w:line="2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June 2025, the Company entered into a $450 million unsecured Term Loan with an increase option of up to $150 million. Proceeds of the Term Loan Agreement may be used (a) to pay off in full, or partially payoff, the Company’s existing Convertible Senior Notes, (b) to prepay revolving loans outstanding under the Revolving Credit Agreement (as defined below), or (c) for working capital, capital expenditures and other lawful corporate purposes. The Company incurred $0.9 million of debt issuance costs in connection with the Term Loan. These costs are presented as a direct deduction from long-term debt on the face of the balance sheet. Interest expense related to the Term Loan for the three and nine months ended September 30, 2025 were $6.4 million and $8.1 million, respectively. The amortization of debt issuance costs and interest expense is recorded in “Interest expense” on the consolidated statements of income. As of September 30, 2025 there was $450.0 million outstanding under the Term Loan.</w:t>
      </w:r>
    </w:p>
    <w:p>
      <w:pPr>
        <w:spacing w:after="0" w:line="180"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The Term Loan has a three-year maturity and permits the Company to borrow in U.S. dollars. The Term Loan does not require any amortization payments by the Company. Depending on the Company’s consolidated leverage ratio (or debt rating after such time as the Company has such rating), borrowings under the Term Loan Agreement will bear interest at either an adjusted Term SOFR benchmark rate plus a margin between 0.875% and 1.500% or a base rate plus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1" w:name="page22"/>
    <w:bookmarkEnd w:id="21"/>
    <w:p>
      <w:pPr>
        <w:ind w:right="80"/>
        <w:spacing w:after="0" w:line="253" w:lineRule="auto"/>
        <w:rPr>
          <w:sz w:val="20"/>
          <w:szCs w:val="20"/>
          <w:color w:val="auto"/>
        </w:rPr>
      </w:pPr>
      <w:r>
        <w:rPr>
          <w:rFonts w:ascii="Arial" w:cs="Arial" w:eastAsia="Arial" w:hAnsi="Arial"/>
          <w:sz w:val="18"/>
          <w:szCs w:val="18"/>
          <w:color w:val="auto"/>
        </w:rPr>
        <w:t>a margin of between 0% and 0.500% and will initially bear interest at the middle of this range. Amounts outstanding under the Term Loan Agreement may be prepaid at the option of the Company without premium or penalty, subject to customary breakage fees in connection with the prepayment of benchmark rate loans. The interest rate on September 30, 2025 was 5.3%.</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Delayed Draw Term Loan (Terminated June 2025)</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million (the “2022 Delayed Draw Term Loan”). Proceeds of the 2022 Delayed Draw Term Loan Agreement may be used (a) to pay off in</w:t>
      </w:r>
    </w:p>
    <w:p>
      <w:pPr>
        <w:spacing w:after="0" w:line="234" w:lineRule="auto"/>
        <w:rPr>
          <w:sz w:val="20"/>
          <w:szCs w:val="20"/>
          <w:color w:val="auto"/>
        </w:rPr>
      </w:pPr>
      <w:r>
        <w:rPr>
          <w:rFonts w:ascii="Arial" w:cs="Arial" w:eastAsia="Arial" w:hAnsi="Arial"/>
          <w:sz w:val="18"/>
          <w:szCs w:val="18"/>
          <w:color w:val="auto"/>
        </w:rPr>
        <w:t>full, or partially payoff, the Company’s existing Senior Notes, (b) to prepay revolving loans outstanding under the Revolving Credit Agreement</w:t>
      </w:r>
    </w:p>
    <w:p>
      <w:pPr>
        <w:spacing w:after="0" w:line="235" w:lineRule="auto"/>
        <w:rPr>
          <w:sz w:val="20"/>
          <w:szCs w:val="20"/>
          <w:color w:val="auto"/>
        </w:rPr>
      </w:pPr>
      <w:r>
        <w:rPr>
          <w:rFonts w:ascii="Arial" w:cs="Arial" w:eastAsia="Arial" w:hAnsi="Arial"/>
          <w:sz w:val="18"/>
          <w:szCs w:val="18"/>
          <w:color w:val="auto"/>
        </w:rPr>
        <w:t>(as defined below), or (c) for working capital, capital expenditures and other lawful corporate purposes. The Company incurred $0.9 million of</w:t>
      </w:r>
    </w:p>
    <w:p>
      <w:pPr>
        <w:spacing w:after="0" w:line="235" w:lineRule="auto"/>
        <w:rPr>
          <w:sz w:val="20"/>
          <w:szCs w:val="20"/>
          <w:color w:val="auto"/>
        </w:rPr>
      </w:pPr>
      <w:r>
        <w:rPr>
          <w:rFonts w:ascii="Arial" w:cs="Arial" w:eastAsia="Arial" w:hAnsi="Arial"/>
          <w:sz w:val="18"/>
          <w:szCs w:val="18"/>
          <w:color w:val="auto"/>
        </w:rPr>
        <w:t>debt issuance costs in connection with the delayed draw term loan. These costs are presented as a direct deduction from long-term debt on</w:t>
      </w:r>
    </w:p>
    <w:p>
      <w:pPr>
        <w:spacing w:after="0" w:line="235" w:lineRule="auto"/>
        <w:rPr>
          <w:sz w:val="20"/>
          <w:szCs w:val="20"/>
          <w:color w:val="auto"/>
        </w:rPr>
      </w:pPr>
      <w:r>
        <w:rPr>
          <w:rFonts w:ascii="Arial" w:cs="Arial" w:eastAsia="Arial" w:hAnsi="Arial"/>
          <w:sz w:val="18"/>
          <w:szCs w:val="18"/>
          <w:color w:val="auto"/>
        </w:rPr>
        <w:t>the face of the balance sheet. Interest expense related to the Delayed Draw Term Loan for the three months ended September 30, 2025 and</w:t>
      </w:r>
    </w:p>
    <w:p>
      <w:pPr>
        <w:spacing w:after="0" w:line="235" w:lineRule="auto"/>
        <w:rPr>
          <w:sz w:val="20"/>
          <w:szCs w:val="20"/>
          <w:color w:val="auto"/>
        </w:rPr>
      </w:pPr>
      <w:r>
        <w:rPr>
          <w:rFonts w:ascii="Arial" w:cs="Arial" w:eastAsia="Arial" w:hAnsi="Arial"/>
          <w:sz w:val="18"/>
          <w:szCs w:val="18"/>
          <w:color w:val="auto"/>
        </w:rPr>
        <w:t>September 30, 2024 were $0.0 million and $5.9 million, respectively and $8.2 million and $17.7 million for the nine months ended September</w:t>
      </w:r>
    </w:p>
    <w:p>
      <w:pPr>
        <w:spacing w:after="0" w:line="234" w:lineRule="auto"/>
        <w:rPr>
          <w:sz w:val="20"/>
          <w:szCs w:val="20"/>
          <w:color w:val="auto"/>
        </w:rPr>
      </w:pPr>
      <w:r>
        <w:rPr>
          <w:rFonts w:ascii="Arial" w:cs="Arial" w:eastAsia="Arial" w:hAnsi="Arial"/>
          <w:sz w:val="18"/>
          <w:szCs w:val="18"/>
          <w:color w:val="auto"/>
        </w:rPr>
        <w:t>30, 2025 and September 30, 2024, respectively. The amortization of debt issuance costs and interest expense is recorded in “Interest</w:t>
      </w:r>
    </w:p>
    <w:p>
      <w:pPr>
        <w:spacing w:after="0" w:line="235" w:lineRule="auto"/>
        <w:rPr>
          <w:sz w:val="20"/>
          <w:szCs w:val="20"/>
          <w:color w:val="auto"/>
        </w:rPr>
      </w:pPr>
      <w:r>
        <w:rPr>
          <w:rFonts w:ascii="Arial" w:cs="Arial" w:eastAsia="Arial" w:hAnsi="Arial"/>
          <w:sz w:val="18"/>
          <w:szCs w:val="18"/>
          <w:color w:val="auto"/>
        </w:rPr>
        <w:t>expense” on the consolidated statements of income. At December 31, 2024, there was $350.0 million outstanding under the Delayed Draw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 Loan.</w:t>
      </w:r>
    </w:p>
    <w:p>
      <w:pPr>
        <w:spacing w:after="0" w:line="19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 The interest rates on June 30, 2025 (loan termination period) and December 31, 2024 were 5.6% and 5.6%, respectively.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2025</w:t>
      </w:r>
    </w:p>
    <w:p>
      <w:pPr>
        <w:spacing w:after="0" w:line="102" w:lineRule="exact"/>
        <w:rPr>
          <w:sz w:val="20"/>
          <w:szCs w:val="20"/>
          <w:color w:val="auto"/>
        </w:rPr>
      </w:pPr>
    </w:p>
    <w:p>
      <w:pPr>
        <w:ind w:firstLine="644"/>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accrued interest at a rate of 0.25% per annum, payable semi-annually on February 15 and August 15 of each year beginning on February 15, 2021. The Convertible Senior Notes due 2025 matured August 15, 2025.</w:t>
      </w:r>
    </w:p>
    <w:p>
      <w:pPr>
        <w:spacing w:after="0" w:line="176"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The Company recognized interest expense of $0.04 million and $0.1 million for the three months ended September 30, 2025 and September 30, 2024, respectively and $0.2 million and $3.8 million for the nine months ended September 30, 2025 and September 30, 2024, respectively. The net, carrying value of the Convertible Senior Notes were $0.0 million and $113.4 million as of September 30, 2025 and December 31, 2024, respectively.</w:t>
      </w:r>
    </w:p>
    <w:p>
      <w:pPr>
        <w:spacing w:after="0" w:line="174" w:lineRule="exact"/>
        <w:rPr>
          <w:sz w:val="20"/>
          <w:szCs w:val="20"/>
          <w:color w:val="auto"/>
        </w:rPr>
      </w:pPr>
    </w:p>
    <w:p>
      <w:pPr>
        <w:ind w:right="360" w:firstLine="644"/>
        <w:spacing w:after="0" w:line="271" w:lineRule="auto"/>
        <w:rPr>
          <w:sz w:val="20"/>
          <w:szCs w:val="20"/>
          <w:color w:val="auto"/>
        </w:rPr>
      </w:pPr>
      <w:r>
        <w:rPr>
          <w:rFonts w:ascii="Arial" w:cs="Arial" w:eastAsia="Arial" w:hAnsi="Arial"/>
          <w:sz w:val="18"/>
          <w:szCs w:val="18"/>
          <w:color w:val="auto"/>
        </w:rPr>
        <w:t>See the discussion of the partial repurchase of Convertible Senior Notes due 2025 and the unwind of the related note hedge and warrants below.</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 Hedge and Warrant - Convertible Senior Notes due 2025</w:t>
      </w:r>
    </w:p>
    <w:p>
      <w:pPr>
        <w:spacing w:after="0" w:line="210"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ind w:right="320" w:firstLine="644"/>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jc w:val="both"/>
        <w:ind w:right="280" w:firstLine="644"/>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9"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 million that the Company had recorded at issuance related to the Convertible Senior Note debt discount and recorded an additional deferred tax liability of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2029</w:t>
      </w:r>
    </w:p>
    <w:p>
      <w:pPr>
        <w:spacing w:after="0" w:line="210" w:lineRule="exact"/>
        <w:rPr>
          <w:sz w:val="20"/>
          <w:szCs w:val="20"/>
          <w:color w:val="auto"/>
        </w:rPr>
      </w:pPr>
    </w:p>
    <w:p>
      <w:pPr>
        <w:ind w:right="140" w:firstLine="644"/>
        <w:spacing w:after="0" w:line="245" w:lineRule="auto"/>
        <w:rPr>
          <w:sz w:val="20"/>
          <w:szCs w:val="20"/>
          <w:color w:val="auto"/>
        </w:rPr>
      </w:pPr>
      <w:r>
        <w:rPr>
          <w:rFonts w:ascii="Arial" w:cs="Arial" w:eastAsia="Arial" w:hAnsi="Arial"/>
          <w:sz w:val="18"/>
          <w:szCs w:val="18"/>
          <w:color w:val="auto"/>
        </w:rPr>
        <w:t>In February 2024, the Company issued an aggregate $800.0 million of 2.625% Convertible Senior Notes due 2029 (the “2029 Convertible Notes”), including the exercise of a $100.0 million initial purchasers’ option in full. The Company received proceeds from the issuance and sale of the 2029 Convertible Notes of $781.1 million, net of $18.9 million of transaction fees and other third-party offering expenses. The 2029 Convertible Notes accrue interest at a rate of 2.625% per annum, payable semi-annually on March 1 and September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each year beginning on September 1, 2024, and will mature on March 1, 2029, unless earlier repurchased, redeemed or converted.</w:t>
      </w:r>
    </w:p>
    <w:p>
      <w:pPr>
        <w:spacing w:after="0" w:line="216" w:lineRule="exact"/>
        <w:rPr>
          <w:sz w:val="20"/>
          <w:szCs w:val="20"/>
          <w:color w:val="auto"/>
        </w:rPr>
      </w:pPr>
    </w:p>
    <w:p>
      <w:pPr>
        <w:ind w:firstLine="644"/>
        <w:spacing w:after="0" w:line="242" w:lineRule="auto"/>
        <w:rPr>
          <w:sz w:val="20"/>
          <w:szCs w:val="20"/>
          <w:color w:val="auto"/>
        </w:rPr>
      </w:pPr>
      <w:r>
        <w:rPr>
          <w:rFonts w:ascii="Arial" w:cs="Arial" w:eastAsia="Arial" w:hAnsi="Arial"/>
          <w:sz w:val="18"/>
          <w:szCs w:val="18"/>
          <w:color w:val="auto"/>
        </w:rPr>
        <w:t>The 2029 Convertible Notes are the Company’s senior unsecured obligations and will rank senior in right of payment to any of the Company’s indebtedness that is expressly subordinated in right of payment to the 2029 Convertible Notes; equal in right of payment to any of the Company’s unsecured indebtedness that is not so subordinated; effectively junior in right of payment to any of the Company’s secured indebtedness, including borrowings under the Company’s revolving credit facility and term loan credit facility, to the extent of the value of the assets securing such indebtedness; and structurally junior to all indebtedness and other liabilities (including trade payables) of the Company’s subsidiaries.</w:t>
      </w:r>
    </w:p>
    <w:p>
      <w:pPr>
        <w:spacing w:after="0" w:line="179"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Each $1,000 of principal of the 2029 Convertible Notes will initially be convertible into 10.6256 shares of our common stock, which is equivalent to an initial conversion price of approximately $94.11 per share, subject to adjustment upon the occurrence of specified events. On or after October 1, 2028 until the close of business on the second scheduled trading day immediately preceding the maturity date of the 2029 Convertible Notes, holders may convert all or a portion of their 2029 Convertible Notes, regardless of the conditions below.</w:t>
      </w:r>
    </w:p>
    <w:p>
      <w:pPr>
        <w:spacing w:after="0" w:line="174" w:lineRule="exact"/>
        <w:rPr>
          <w:sz w:val="20"/>
          <w:szCs w:val="20"/>
          <w:color w:val="auto"/>
        </w:rPr>
      </w:pPr>
    </w:p>
    <w:p>
      <w:pPr>
        <w:ind w:right="60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October 1, 2028, the 2029 Convertible Notes will be convertible at the option of the holders thereof only under the following circumstances:</w:t>
      </w:r>
    </w:p>
    <w:p>
      <w:pPr>
        <w:spacing w:after="0" w:line="154" w:lineRule="exact"/>
        <w:rPr>
          <w:sz w:val="20"/>
          <w:szCs w:val="20"/>
          <w:color w:val="auto"/>
        </w:rPr>
      </w:pPr>
    </w:p>
    <w:p>
      <w:pPr>
        <w:jc w:val="both"/>
        <w:ind w:left="1400" w:right="6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June 30, 2024,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right="16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ten consecutive trading day period in which, for each trading day of that period, the trading price per $1,000 principal amount of 2029 Convertible Notes for such trading day was less than 98% of the product of the last reported sale price of the Company’s common stock and the conversion rate on each such trading day;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2029 Convertible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The Company may redeem all or any portion of the 2029 Convertible Notes for cash, at its option, on or after March 8, 2027 and before the 51st scheduled trading day immediately before the maturity date at a redemption price equal to 100% of the principal amount of the 2029 Convertible Notes to be redeemed, plus accrued and unpaid interest, but only if the last reported sale price per share of the Company’s common stock exceeds 130% of the conversion price for a specified period of time. In addition, calling any 2029 Convertible Notes for redemption will constitute a Make-Whole Fundamental Change with respect to that 2029 Convertible Note, in which case the conversion rate applicable to the conversion of that 2029 Convertible Notes will be increased in certain circumstances if it is converted after it is called for redemption.</w:t>
      </w:r>
    </w:p>
    <w:p>
      <w:pPr>
        <w:spacing w:after="0" w:line="185"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2029 Convertible Notes, holders of the 2029 Convertible Notes may require the Company to repurchase all or a portion of the 2029 Convertible Notes for cash at a price equal to 100% of the principal amount of the 2029 Convertible Notes to be repurchased, plus any accrued and unpaid interest to, but excluding, the fundamental change repurchase date.</w:t>
      </w:r>
    </w:p>
    <w:p>
      <w:pPr>
        <w:spacing w:after="0" w:line="174" w:lineRule="exact"/>
        <w:rPr>
          <w:sz w:val="20"/>
          <w:szCs w:val="20"/>
          <w:color w:val="auto"/>
        </w:rPr>
      </w:pPr>
    </w:p>
    <w:p>
      <w:pPr>
        <w:ind w:right="200" w:firstLine="644"/>
        <w:spacing w:after="0" w:line="247" w:lineRule="auto"/>
        <w:rPr>
          <w:sz w:val="20"/>
          <w:szCs w:val="20"/>
          <w:color w:val="auto"/>
        </w:rPr>
      </w:pPr>
      <w:r>
        <w:rPr>
          <w:rFonts w:ascii="Arial" w:cs="Arial" w:eastAsia="Arial" w:hAnsi="Arial"/>
          <w:sz w:val="18"/>
          <w:szCs w:val="18"/>
          <w:color w:val="auto"/>
        </w:rPr>
        <w:t>Upon conversion, the Company will settle the principal amount of the 2029 Convertible Notes converted in cash and will settle the remainder of the consideration owed upon conversion in cash, shares of the Company’s common stock, or a combination thereof, at the Company’s option, with such amount of cash and, if applicable, shares of common stock due upon conversion based on a daily conversion value calculated on a proportionate basis for each trading day in a 50-trading day observation period.</w:t>
      </w:r>
    </w:p>
    <w:p>
      <w:pPr>
        <w:spacing w:after="0" w:line="174"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The Company recognized interest expense with respect to the Convertible Senior Notes Due 2029 of $6.3 million and $6.3 million for the three months ended September 30, 2025 and September 30, 2024, respectively and $18.9 million and $15.0 million for the nine months ended September 30, 2025 and September 30, 2024, respectively. As of September 30, 2025 and December 31, 2024, the net, carrying value of the Convertible Senior Notes Due 2029 were $787.5 million and $784.3 million, respectively.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Capped Call Transactions - Convertible Senior Notes due 2029</w:t>
      </w:r>
    </w:p>
    <w:p>
      <w:pPr>
        <w:spacing w:after="0" w:line="210" w:lineRule="exact"/>
        <w:rPr>
          <w:sz w:val="20"/>
          <w:szCs w:val="20"/>
          <w:color w:val="auto"/>
        </w:rPr>
      </w:pPr>
    </w:p>
    <w:p>
      <w:pPr>
        <w:ind w:right="160" w:firstLine="644"/>
        <w:spacing w:after="0"/>
        <w:rPr>
          <w:sz w:val="20"/>
          <w:szCs w:val="20"/>
          <w:color w:val="auto"/>
        </w:rPr>
      </w:pPr>
      <w:r>
        <w:rPr>
          <w:rFonts w:ascii="Arial" w:cs="Arial" w:eastAsia="Arial" w:hAnsi="Arial"/>
          <w:sz w:val="18"/>
          <w:szCs w:val="18"/>
          <w:color w:val="auto"/>
        </w:rPr>
        <w:t>In February 2024, in connection with the offering of the 2029 Convertible Notes, the Company entered into capped call transactions (the “Capped Call Transactions”) with certain financial institutions. The Capped Call Transactions are expected generally to reduce the potential dilution to the Company’s common stock upon any conversion of the Convertible Senior Notes due 2029 and/or offset any cash payments the Company is required to make in excess of the principal amount of any converted Convertible Senior Notes due 2029, as the case may be. If, however, the market price per share of the Company’s common stock, as measured under the terms of the Capped Call Transactions, exceeds the cap price of the Capped Call Transactions, there would nevertheless be dilution and/or there would not be an offset of such cash payments, in each case, to the extent that such market price exceeds the cap price of the Capped Call Transactions.</w:t>
      </w:r>
    </w:p>
    <w:p>
      <w:pPr>
        <w:spacing w:after="0" w:line="185" w:lineRule="exact"/>
        <w:rPr>
          <w:sz w:val="20"/>
          <w:szCs w:val="20"/>
          <w:color w:val="auto"/>
        </w:rPr>
      </w:pPr>
    </w:p>
    <w:p>
      <w:pPr>
        <w:ind w:right="200" w:firstLine="644"/>
        <w:spacing w:after="0" w:line="247" w:lineRule="auto"/>
        <w:rPr>
          <w:sz w:val="20"/>
          <w:szCs w:val="20"/>
          <w:color w:val="auto"/>
        </w:rPr>
      </w:pPr>
      <w:r>
        <w:rPr>
          <w:rFonts w:ascii="Arial" w:cs="Arial" w:eastAsia="Arial" w:hAnsi="Arial"/>
          <w:sz w:val="18"/>
          <w:szCs w:val="18"/>
          <w:color w:val="auto"/>
        </w:rPr>
        <w:t>The cap price of the Capped Call Transactions is initially $131.7575 per share, which represents a premium of 75% over the last reported sale price of the Company’s common stock of $75.29 per share on the New York Stock Exchange on February 21, 2024, and is subject to certain adjustments under the terms of the Capped Call Transactions. The cost of $88.4 million for the Capped Call Transactions was recorded as a reduction to additional paid-in capital in the consolidated balance sheets.</w:t>
      </w:r>
    </w:p>
    <w:p>
      <w:pPr>
        <w:spacing w:after="0" w:line="174" w:lineRule="exact"/>
        <w:rPr>
          <w:sz w:val="20"/>
          <w:szCs w:val="20"/>
          <w:color w:val="auto"/>
        </w:rPr>
      </w:pPr>
    </w:p>
    <w:p>
      <w:pPr>
        <w:ind w:right="480" w:firstLine="644"/>
        <w:spacing w:after="0" w:line="271" w:lineRule="auto"/>
        <w:rPr>
          <w:sz w:val="20"/>
          <w:szCs w:val="20"/>
          <w:color w:val="auto"/>
        </w:rPr>
      </w:pPr>
      <w:r>
        <w:rPr>
          <w:rFonts w:ascii="Arial" w:cs="Arial" w:eastAsia="Arial" w:hAnsi="Arial"/>
          <w:sz w:val="18"/>
          <w:szCs w:val="18"/>
          <w:color w:val="auto"/>
        </w:rPr>
        <w:t>At issuance, the Company recorded a deferred tax asset of $22.3 million related to the Capped Call Transactions costs through additional paid-in capital. The deferred tax asset was included in Deferred tax assets in the consolidated balance sheets.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 due 2025 Partial Repurchase and Note Hedge and Warrants Partial Unwind</w:t>
      </w:r>
    </w:p>
    <w:p>
      <w:pPr>
        <w:spacing w:after="0" w:line="210" w:lineRule="exact"/>
        <w:rPr>
          <w:sz w:val="20"/>
          <w:szCs w:val="20"/>
          <w:color w:val="auto"/>
        </w:rPr>
      </w:pPr>
    </w:p>
    <w:p>
      <w:pPr>
        <w:ind w:firstLine="644"/>
        <w:spacing w:after="0" w:line="244" w:lineRule="auto"/>
        <w:rPr>
          <w:sz w:val="20"/>
          <w:szCs w:val="20"/>
          <w:color w:val="auto"/>
        </w:rPr>
      </w:pPr>
      <w:r>
        <w:rPr>
          <w:rFonts w:ascii="Arial" w:cs="Arial" w:eastAsia="Arial" w:hAnsi="Arial"/>
          <w:sz w:val="18"/>
          <w:szCs w:val="18"/>
          <w:color w:val="auto"/>
        </w:rPr>
        <w:t>In connection with the issuance of the Convertible Senior Notes due 2029, we used $391.8 million of the net proceeds to purchase approximately $228.1 million aggregate principal amount of our Convertible Senior Notes due 2025 concurrently with the offering in separate and individually negotiated transactions. In addition, we used $103.8 million to settle the repurchase of approximately $56.5 million aggregate principal amount of our Convertible Senior Notes due 2025 in a separately negotiated transaction that settled in March 2024. We also received approximately $90.6 million in cash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line="247" w:lineRule="auto"/>
        <w:rPr>
          <w:sz w:val="20"/>
          <w:szCs w:val="20"/>
          <w:color w:val="auto"/>
        </w:rPr>
      </w:pPr>
      <w:r>
        <w:rPr>
          <w:rFonts w:ascii="Arial" w:cs="Arial" w:eastAsia="Arial" w:hAnsi="Arial"/>
          <w:sz w:val="18"/>
          <w:szCs w:val="18"/>
          <w:color w:val="auto"/>
        </w:rPr>
        <w:t>from the note hedge counterparties for the partial termination of the existing bond hedge relating to the Convertible Senior Notes due 2025 repurchased, net of our obligations to the counterparties in connection with the partial termination of the related warrant transactions. The tax effect of $46.2 million from the partial unwind of the existing bond hedge was recognized as a reduction in additional paid-in capital in the consolidated balance sheets. The income tax payable was included in Income taxes payable in the consolidated balance sheets.</w:t>
      </w:r>
    </w:p>
    <w:p>
      <w:pPr>
        <w:spacing w:after="0" w:line="180" w:lineRule="exact"/>
        <w:rPr>
          <w:sz w:val="20"/>
          <w:szCs w:val="20"/>
          <w:color w:val="auto"/>
        </w:rPr>
      </w:pPr>
    </w:p>
    <w:p>
      <w:pPr>
        <w:ind w:right="40" w:firstLine="644"/>
        <w:spacing w:after="0" w:line="228" w:lineRule="auto"/>
        <w:rPr>
          <w:sz w:val="20"/>
          <w:szCs w:val="20"/>
          <w:color w:val="auto"/>
        </w:rPr>
      </w:pPr>
      <w:r>
        <w:rPr>
          <w:rFonts w:ascii="Arial" w:cs="Arial" w:eastAsia="Arial" w:hAnsi="Arial"/>
          <w:sz w:val="18"/>
          <w:szCs w:val="18"/>
          <w:color w:val="auto"/>
        </w:rPr>
        <w:t>The partial repurchase, during the nine months ended September 30, 2024, resulted in a $18.4 million repurchase loss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and a $3.2 million charge to interest expense for the acceleration of the amortization of debt issuance costs associated with the 0.25% Convertible Senior Notes due 2025. The tax effect of the repurchase loss, excluding the interest expense, was recognized as a discrete event during the nine months ended September 30, 2024 with a tax benefit of $4.3 million recognized in the income statement.</w:t>
      </w:r>
    </w:p>
    <w:p>
      <w:pPr>
        <w:spacing w:after="0" w:line="187" w:lineRule="exact"/>
        <w:rPr>
          <w:sz w:val="20"/>
          <w:szCs w:val="20"/>
          <w:color w:val="auto"/>
        </w:rPr>
      </w:pPr>
    </w:p>
    <w:p>
      <w:pPr>
        <w:ind w:right="20" w:firstLine="644"/>
        <w:spacing w:after="0" w:line="23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6"/>
          <w:szCs w:val="16"/>
          <w:color w:val="auto"/>
        </w:rPr>
        <w:t>During the first quarter of 2024, prior to the early adoption of ASU 2024-04, the Company recorded a $211.0 million loss on debt extinguishment associated with the 0.25% Convertible Senior Notes due 2025. The tax effect of the debt extinguishment, excluding the interest expense, was recognized as a discrete event to the quarter giving rise to an increase in the effective tax rate and tax benefit of $49.9 million recognized in the income statement. Please see "Note 2—Basis of Presentation and Principles of Consolidation—Adoption of Accounting Standards Update 2024-04" for a discussion of the Company's adoption of ASU 2024-04. The extinguishment charge and related income tax impacts were reversed from the Company's consolidated financial statements and recorded as a convertible debt repurchase loss as described above.</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 due 2030</w:t>
      </w:r>
    </w:p>
    <w:p>
      <w:pPr>
        <w:spacing w:after="0" w:line="210" w:lineRule="exact"/>
        <w:rPr>
          <w:sz w:val="20"/>
          <w:szCs w:val="20"/>
          <w:color w:val="auto"/>
        </w:rPr>
      </w:pPr>
    </w:p>
    <w:p>
      <w:pPr>
        <w:ind w:right="60" w:firstLine="644"/>
        <w:spacing w:after="0" w:line="239" w:lineRule="auto"/>
        <w:rPr>
          <w:sz w:val="20"/>
          <w:szCs w:val="20"/>
          <w:color w:val="auto"/>
        </w:rPr>
      </w:pPr>
      <w:r>
        <w:rPr>
          <w:rFonts w:ascii="Arial" w:cs="Arial" w:eastAsia="Arial" w:hAnsi="Arial"/>
          <w:sz w:val="18"/>
          <w:szCs w:val="18"/>
          <w:color w:val="auto"/>
        </w:rPr>
        <w:t>In June 2025, the Company entered into a $750 million unsecured revolving credit facility (the “Credit Agreement”). The Company incurred $1.7 million of costs in connection with this Credit Agreement. The 2025 Credit Agreement replaced an existing Credit Agreement dated as of June 25, 2021. Under the new agreement, the Company’s revolving credit facility was increased from $650 million to $750 million. The credit facility has a five-year maturity, which may be extended up to two times for periods determined by the Company and the applicable extending lenders, and permits the Company to borrow in U.S. dollars, certain specified foreign currencies, and each other currency that may be approved in accordance with the 2025 Facility. The borrowings under the Credit Agreement bear interest at either the Term SOFR rate plus a margin between 1.0% and 1.625% or a base rate (as defined in the Credit Agreement) plus a margin of between 0% and 0.625%. The rate on September 30, 2025 was 5.4%. Letters of credit commitments outstanding under this agreement aggregated to $41.8 million at September 30, 2025 which reduced borrowing limits available to the Company.</w:t>
      </w:r>
    </w:p>
    <w:p>
      <w:pPr>
        <w:spacing w:after="0" w:line="183" w:lineRule="exact"/>
        <w:rPr>
          <w:sz w:val="20"/>
          <w:szCs w:val="20"/>
          <w:color w:val="auto"/>
        </w:rPr>
      </w:pPr>
    </w:p>
    <w:p>
      <w:pPr>
        <w:jc w:val="both"/>
        <w:ind w:right="200" w:firstLine="644"/>
        <w:spacing w:after="0" w:line="253" w:lineRule="auto"/>
        <w:rPr>
          <w:sz w:val="20"/>
          <w:szCs w:val="20"/>
          <w:color w:val="auto"/>
        </w:rPr>
      </w:pPr>
      <w:r>
        <w:rPr>
          <w:rFonts w:ascii="Arial" w:cs="Arial" w:eastAsia="Arial" w:hAnsi="Arial"/>
          <w:sz w:val="18"/>
          <w:szCs w:val="18"/>
          <w:color w:val="auto"/>
        </w:rPr>
        <w:t>Interest expense related to the Credit Agreements (due 2030 and due 2026) was $0.1 million and $0.1 million for the three months ended September 30, 2025 and September 30, 2024, respectively and $0.6 million and $0.6 million for the nine months ended September 30, 2025 and September 30, 2024.</w:t>
      </w:r>
    </w:p>
    <w:p>
      <w:pPr>
        <w:spacing w:after="0" w:line="169"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September 30, 2025.</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 due 2026 (Terminated June 2025)</w:t>
      </w:r>
    </w:p>
    <w:p>
      <w:pPr>
        <w:spacing w:after="0" w:line="210" w:lineRule="exact"/>
        <w:rPr>
          <w:sz w:val="20"/>
          <w:szCs w:val="20"/>
          <w:color w:val="auto"/>
        </w:rPr>
      </w:pPr>
    </w:p>
    <w:p>
      <w:pPr>
        <w:ind w:right="100" w:firstLine="644"/>
        <w:spacing w:after="0" w:line="243"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foreign currencies, and each other currency that may be approved in accordance with the 2021 Facility. The borrowings under the Credit Agreement bear interest at either the Term SOFR rate plus a margin between 1.0% and 1.625% or a base rate (as defined in the Credit Agreement) plus a margin of between 0% and 0.625%. The rates on June 30, 2025 (loan termination period) and December 31, 2024 were 5.7% and 5.7%, respectively. Borrowings under this Credit Agreement are guaranteed by certain Company operating subsidiaries. Letters of credit commitments outstanding under this agreement aggregated to $43.0 million at December 31, 2024, respectively, which reduced borrowing limits available to the Company.</w:t>
      </w:r>
    </w:p>
    <w:p>
      <w:pPr>
        <w:spacing w:after="0" w:line="172"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December 31, 2024.</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96"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$354.3 million and $328.4 million at September 30, 2025 and December 31, 2024, respectively.</w:t>
      </w:r>
    </w:p>
    <w:p>
      <w:pPr>
        <w:spacing w:after="0" w:line="27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On July 4th 2025, President Trump signed into law the “One Big Beautiful Bill Act” (“OBBBA” or “the Bill”) which includes a broad range of tax reform provisions affecting businesses, including extending and modifying certain domestic and international provisions of the 2017 Tax Cuts &amp; Jobs Act. Based on the Company’s assessment, the change in tax law has led to a reduction in our current cash tax liability without significant impact to the annual effective tax rate.</w:t>
      </w:r>
    </w:p>
    <w:p>
      <w:pPr>
        <w:spacing w:after="0" w:line="174"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The Company’s effective tax rate was 16.4% and 20.8% for the three months ended September 30, 2025 and September 30, 2024, respectively. The decrease in the effective tax rate was due primarily to a discrete tax benefit related to the reduction of unrecognized tax benefits for various tax positions resulting from the expiration of the statute of limitations, a change in the jurisdictional mix of earnings, and return-to-provision adjustments from changes in estimates related to business and foreign tax credits, partially offset by a decrease in the foreign-derived intangible income (FDII) deduction and an increase in unrecognized tax benefits for foreign tax credits.</w:t>
      </w:r>
    </w:p>
    <w:p>
      <w:pPr>
        <w:spacing w:after="0" w:line="177"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The Company’s effective tax rate was 18.7% and 20.8% for the nine months ended September 30, 2025 and September 30, 2024, respectively. The change in effective tax rate was primarily due to a discrete tax benefit related to the reduction of unrecognized tax benefits for various tax positions resulting from the expiration of the statute of limitations, a change in the jurisdictional mix of earnings, and return-to-provision adjustments from changes in estimates related to business and foreign tax credits, partially offset by a decreases in the FDII deduction and the windfall equity-based compensation deduction, and an increase in unrecognized tax benefits for foreign tax credits.</w:t>
      </w:r>
    </w:p>
    <w:p>
      <w:pPr>
        <w:spacing w:after="0" w:line="176"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The difference between the effective tax rate and the statutory U.S. Federal income tax rate of 21% for the three months ended September 30, 2025 primarily relates to a discrete tax benefit related to the reduction of unrecognized tax benefits for various tax positions resulting from the expiration of the statute of limitations, and the tax benefit related to untaxed income attributed to noncontrolling interests, offset by state income taxes and foreign withholding taxes and an increase in unrecognized tax benefits for foreign tax credits.</w:t>
      </w:r>
    </w:p>
    <w:p>
      <w:pPr>
        <w:spacing w:after="0" w:line="174"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The difference between the effective tax rate and the statutory U.S. Federal income tax rate of 21% for the nine months ended September 30, 2025 primarily relates to a discrete tax benefit related to the reduction of unrecognized tax benefits for various tax positions resulting from the expiration of the statute of limitations, a discrete windfall tax benefit from equity-based compensation, and the tax benefit related to untaxed income attributed to noncontrolling interests partially offset by state income taxes, foreign withholding taxes, and an increase in unrecognized tax benefits for foreign tax credits.</w:t>
      </w:r>
    </w:p>
    <w:p>
      <w:pPr>
        <w:spacing w:after="0" w:line="17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As of September 30, 2025, the Company’s deferred tax assets were subject to a valuation allowance of $45.0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79"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As of September 30, 2025 and December 31, 2024, the liability for income taxes associated with uncertain tax positions was $28.1 million and $29.5 million, respectively.</w:t>
      </w:r>
    </w:p>
    <w:p>
      <w:pPr>
        <w:spacing w:after="0" w:line="154"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6" w:name="page27"/>
    <w:bookmarkEnd w:id="26"/>
    <w:p>
      <w:pPr>
        <w:ind w:right="300"/>
        <w:spacing w:after="0" w:line="271" w:lineRule="auto"/>
        <w:rPr>
          <w:sz w:val="20"/>
          <w:szCs w:val="20"/>
          <w:color w:val="auto"/>
        </w:rPr>
      </w:pPr>
      <w:r>
        <w:rPr>
          <w:rFonts w:ascii="Arial" w:cs="Arial" w:eastAsia="Arial" w:hAnsi="Arial"/>
          <w:sz w:val="18"/>
          <w:szCs w:val="18"/>
          <w:color w:val="auto"/>
        </w:rPr>
        <w:t>next 12 months and that the unrecognized tax benefits the Company has recorded in relation to these tax years may change compared to the liabilities recorded for these periods.</w:t>
      </w:r>
    </w:p>
    <w:p>
      <w:pPr>
        <w:spacing w:after="0" w:line="154"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Different non-US tax jurisdictions continue to enact legislation to adopt components of the Organization for Economic Co-operation and Development (OECD) Base Erosion and Profit Shifting (BEPS) Pillar Two Model Rules. The Company has evaluated the impact of the enacted legislation to date and has determined there is no material impact to the Company’s income tax provision. We are continuing to evaluate the potential impact on future periods of the Pillar Two Framework, pending enactment of legislation by individual countries.</w:t>
      </w:r>
    </w:p>
    <w:p>
      <w:pPr>
        <w:spacing w:after="0" w:line="28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12" w:lineRule="exact"/>
        <w:rPr>
          <w:sz w:val="20"/>
          <w:szCs w:val="20"/>
          <w:color w:val="auto"/>
        </w:rPr>
      </w:pPr>
    </w:p>
    <w:p>
      <w:pPr>
        <w:ind w:firstLine="674"/>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6" w:lineRule="exact"/>
        <w:rPr>
          <w:sz w:val="20"/>
          <w:szCs w:val="20"/>
          <w:color w:val="auto"/>
        </w:rPr>
      </w:pPr>
    </w:p>
    <w:p>
      <w:pPr>
        <w:ind w:right="60" w:firstLine="674"/>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On March 19, 2025, the court granted Parsons’ motion for summary judgment. The Relator filed a notice of appeal on April 9, 2025. The appellate briefs have been filed. Oral argument will likely occur in 2026.</w:t>
      </w:r>
    </w:p>
    <w:p>
      <w:pPr>
        <w:spacing w:after="0" w:line="183" w:lineRule="exact"/>
        <w:rPr>
          <w:sz w:val="20"/>
          <w:szCs w:val="20"/>
          <w:color w:val="auto"/>
        </w:rPr>
      </w:pPr>
    </w:p>
    <w:p>
      <w:pPr>
        <w:ind w:right="20" w:firstLine="674"/>
        <w:spacing w:after="0" w:line="239" w:lineRule="auto"/>
        <w:rPr>
          <w:sz w:val="20"/>
          <w:szCs w:val="20"/>
          <w:color w:val="auto"/>
        </w:rPr>
      </w:pPr>
      <w:r>
        <w:rPr>
          <w:rFonts w:ascii="Arial" w:cs="Arial" w:eastAsia="Arial" w:hAnsi="Arial"/>
          <w:sz w:val="18"/>
          <w:szCs w:val="18"/>
          <w:color w:val="auto"/>
        </w:rPr>
        <w:t>On July 1, 2024, a final judgment was filed with the clerk of the Superior Court of the State of California In and For the County of San Mateo with an award of damages in the total amount of approximately $102.5 million in favor of Parsons Transportation Group, Inc. and against Alstom Signaling Operations LLC (Alstom"). This proposed award relates back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On September 23, 2024, the Court awarded prejudgment interest in the amount of $34.0 million and amended the judgment accordingly to include such interest. Alstom filed a Notice of Appeal and has posted a bond as required under California law. Alstom’s appellate brief was filed on April 18, 2025. Parsons’ has filed its appellate brief. Oral arguments will likely occur in 2026.</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 this time, the Company is unable to determine the probability of the outcome of the litigation.</w:t>
      </w:r>
    </w:p>
    <w:p>
      <w:pPr>
        <w:spacing w:after="0" w:line="212" w:lineRule="exact"/>
        <w:rPr>
          <w:sz w:val="20"/>
          <w:szCs w:val="20"/>
          <w:color w:val="auto"/>
        </w:rPr>
      </w:pPr>
    </w:p>
    <w:p>
      <w:pPr>
        <w:ind w:right="20" w:firstLine="674"/>
        <w:spacing w:after="0" w:line="242" w:lineRule="auto"/>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Federal Acquisition Regulations (“FAR”). If the DCAA determines we have not accounted for such costs in accordance with the FAR, the DCAA may disallow these costs. The disallowance of such costs may result in a reduction of revenue and additional liability for the Company. Historically, the Company has not experienced any material disallowed costs as a result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right="240"/>
        <w:spacing w:after="0" w:line="253" w:lineRule="auto"/>
        <w:rPr>
          <w:sz w:val="20"/>
          <w:szCs w:val="20"/>
          <w:color w:val="auto"/>
        </w:rPr>
      </w:pPr>
      <w:r>
        <w:rPr>
          <w:rFonts w:ascii="Arial" w:cs="Arial" w:eastAsia="Arial" w:hAnsi="Arial"/>
          <w:sz w:val="18"/>
          <w:szCs w:val="18"/>
          <w:color w:val="auto"/>
        </w:rPr>
        <w:t>government audits. However, the Company can provide no assurance that the DCAA or other government audits will not result in material disallowances for incurred costs in the future. All audits of costs incurred on work performed through 2014 have been closed, and years thereafter remain open. All of Parsons operating systems have been deemed adequate by the U.S. federal government.</w:t>
      </w:r>
    </w:p>
    <w:p>
      <w:pPr>
        <w:spacing w:after="0" w:line="169" w:lineRule="exact"/>
        <w:rPr>
          <w:sz w:val="20"/>
          <w:szCs w:val="20"/>
          <w:color w:val="auto"/>
        </w:rPr>
      </w:pPr>
    </w:p>
    <w:p>
      <w:pPr>
        <w:ind w:right="380" w:firstLine="674"/>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6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4" w:lineRule="exact"/>
        <w:rPr>
          <w:sz w:val="20"/>
          <w:szCs w:val="20"/>
          <w:color w:val="auto"/>
        </w:rPr>
      </w:pPr>
    </w:p>
    <w:p>
      <w:pPr>
        <w:ind w:right="40" w:firstLine="636"/>
        <w:spacing w:after="0" w:line="243" w:lineRule="auto"/>
        <w:rPr>
          <w:sz w:val="20"/>
          <w:szCs w:val="20"/>
          <w:color w:val="auto"/>
        </w:rPr>
      </w:pPr>
      <w:r>
        <w:rPr>
          <w:rFonts w:ascii="Arial" w:cs="Arial" w:eastAsia="Arial" w:hAnsi="Arial"/>
          <w:sz w:val="18"/>
          <w:szCs w:val="18"/>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September 30, 2025 and December 31, 2024, total shares of the</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Company’s common stock outstanding were 106,488,033 and 106,775,350, respectively, of which 50,952,945 and 54,117,904, respectively, were held by the ESOP.</w:t>
      </w:r>
    </w:p>
    <w:p>
      <w:pPr>
        <w:spacing w:after="0" w:line="149" w:lineRule="exact"/>
        <w:rPr>
          <w:sz w:val="20"/>
          <w:szCs w:val="20"/>
          <w:color w:val="auto"/>
        </w:rPr>
      </w:pPr>
    </w:p>
    <w:p>
      <w:pPr>
        <w:ind w:right="340" w:firstLine="64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260" w:firstLine="644"/>
        <w:spacing w:after="0" w:line="255" w:lineRule="auto"/>
        <w:rPr>
          <w:sz w:val="20"/>
          <w:szCs w:val="20"/>
          <w:color w:val="auto"/>
        </w:rPr>
      </w:pPr>
      <w:r>
        <w:rPr>
          <w:rFonts w:ascii="Arial" w:cs="Arial" w:eastAsia="Arial" w:hAnsi="Arial"/>
          <w:sz w:val="18"/>
          <w:szCs w:val="18"/>
          <w:color w:val="auto"/>
        </w:rPr>
        <w:t>Total ESOP contribution expense was $18.6 million and $13.2 million for the three months ended September 30, 2025 and September 30, 2024, respectively and $54.0 million and $43.4 million for the nine months ended September 30, 2025 and September 30,</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2024, respectively. The expense is recorded in “Direct costs of contracts” and “Selling, general and administrative expense” in the consolidated statements of income. The fiscal 2025 ESOP contribution has not yet been made. The amount is currently included in accrued liabilities.</w:t>
      </w:r>
    </w:p>
    <w:p>
      <w:pPr>
        <w:spacing w:after="0" w:line="27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4" w:lineRule="exact"/>
        <w:rPr>
          <w:sz w:val="20"/>
          <w:szCs w:val="20"/>
          <w:color w:val="auto"/>
        </w:rPr>
      </w:pPr>
    </w:p>
    <w:p>
      <w:pPr>
        <w:ind w:right="240" w:firstLine="636"/>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81" w:lineRule="exact"/>
        <w:rPr>
          <w:sz w:val="20"/>
          <w:szCs w:val="20"/>
          <w:color w:val="auto"/>
        </w:rPr>
      </w:pPr>
    </w:p>
    <w:p>
      <w:pPr>
        <w:ind w:right="80" w:firstLine="636"/>
        <w:spacing w:after="0" w:line="287"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$180.9 million and $176.7 million at September 30, 2025 and December 31, 2024.</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8" w:name="page29"/>
    <w:bookmarkEnd w:id="28"/>
    <w:p>
      <w:pPr>
        <w:jc w:val="both"/>
        <w:ind w:right="320" w:firstLine="636"/>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4"/>
                <w:szCs w:val="14"/>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515,072</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519,450</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8,184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9,841</w:t>
            </w:r>
          </w:p>
        </w:tc>
      </w:tr>
      <w:tr>
        <w:trPr>
          <w:trHeight w:val="20"/>
        </w:trPr>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523,256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529,291</w:t>
            </w:r>
          </w:p>
        </w:tc>
      </w:tr>
      <w:tr>
        <w:trPr>
          <w:trHeight w:val="20"/>
        </w:trPr>
        <w:tc>
          <w:tcPr>
            <w:tcW w:w="6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309,665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296,774</w:t>
            </w:r>
          </w:p>
        </w:tc>
      </w:tr>
      <w:tr>
        <w:trPr>
          <w:trHeight w:val="20"/>
        </w:trPr>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3,022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2,203</w:t>
            </w:r>
          </w:p>
        </w:tc>
      </w:tr>
      <w:tr>
        <w:trPr>
          <w:trHeight w:val="20"/>
        </w:trPr>
        <w:tc>
          <w:tcPr>
            <w:tcW w:w="6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312,687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298,977</w:t>
            </w:r>
          </w:p>
        </w:tc>
      </w:tr>
      <w:tr>
        <w:trPr>
          <w:trHeight w:val="196"/>
        </w:trPr>
        <w:tc>
          <w:tcPr>
            <w:tcW w:w="6200" w:type="dxa"/>
            <w:vAlign w:val="bottom"/>
          </w:tcPr>
          <w:p>
            <w:pPr>
              <w:ind w:left="160"/>
              <w:spacing w:after="0" w:line="196" w:lineRule="exact"/>
              <w:rPr>
                <w:sz w:val="20"/>
                <w:szCs w:val="20"/>
                <w:color w:val="auto"/>
              </w:rPr>
            </w:pPr>
            <w:r>
              <w:rPr>
                <w:rFonts w:ascii="Arial" w:cs="Arial" w:eastAsia="Arial" w:hAnsi="Arial"/>
                <w:sz w:val="18"/>
                <w:szCs w:val="18"/>
                <w:color w:val="auto"/>
              </w:rPr>
              <w:t>Total joint venture equity</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210,569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230,314</w:t>
            </w:r>
          </w:p>
        </w:tc>
        <w:tc>
          <w:tcPr>
            <w:tcW w:w="12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-574040</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-574040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-299720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-299720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2024</w:t>
            </w:r>
          </w:p>
        </w:tc>
        <w:tc>
          <w:tcPr>
            <w:tcW w:w="120" w:type="dxa"/>
            <w:vAlign w:val="bottom"/>
          </w:tcPr>
          <w:p>
            <w:pPr>
              <w:spacing w:after="0"/>
              <w:rPr>
                <w:sz w:val="13"/>
                <w:szCs w:val="13"/>
                <w:color w:val="auto"/>
              </w:rPr>
            </w:pPr>
          </w:p>
        </w:tc>
      </w:tr>
      <w:tr>
        <w:trPr>
          <w:trHeight w:val="196"/>
        </w:trPr>
        <w:tc>
          <w:tcPr>
            <w:tcW w:w="4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FF0FC"/>
          </w:tcPr>
          <w:p>
            <w:pPr>
              <w:ind w:left="50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213,752</w:t>
            </w:r>
          </w:p>
        </w:tc>
        <w:tc>
          <w:tcPr>
            <w:tcW w:w="88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193,461</w:t>
            </w:r>
          </w:p>
        </w:tc>
        <w:tc>
          <w:tcPr>
            <w:tcW w:w="640" w:type="dxa"/>
            <w:vAlign w:val="bottom"/>
            <w:gridSpan w:val="3"/>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602,905</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582,209</w:t>
            </w:r>
          </w:p>
        </w:tc>
        <w:tc>
          <w:tcPr>
            <w:tcW w:w="1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Costs</w:t>
            </w:r>
          </w:p>
        </w:tc>
        <w:tc>
          <w:tcPr>
            <w:tcW w:w="5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178,123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165,873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505,145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500,308</w:t>
            </w:r>
          </w:p>
        </w:tc>
        <w:tc>
          <w:tcPr>
            <w:tcW w:w="120" w:type="dxa"/>
            <w:vAlign w:val="bottom"/>
          </w:tcPr>
          <w:p>
            <w:pPr>
              <w:spacing w:after="0"/>
              <w:rPr>
                <w:sz w:val="17"/>
                <w:szCs w:val="17"/>
                <w:color w:val="auto"/>
              </w:rPr>
            </w:pPr>
          </w:p>
        </w:tc>
      </w:tr>
      <w:tr>
        <w:trPr>
          <w:trHeight w:val="216"/>
        </w:trPr>
        <w:tc>
          <w:tcPr>
            <w:tcW w:w="4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FF0FC"/>
          </w:tcPr>
          <w:p>
            <w:pPr>
              <w:ind w:left="50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35,629</w:t>
            </w:r>
          </w:p>
        </w:tc>
        <w:tc>
          <w:tcPr>
            <w:tcW w:w="88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27,588</w:t>
            </w:r>
          </w:p>
        </w:tc>
        <w:tc>
          <w:tcPr>
            <w:tcW w:w="640" w:type="dxa"/>
            <w:vAlign w:val="bottom"/>
            <w:gridSpan w:val="3"/>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97,760</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81,901</w:t>
            </w:r>
          </w:p>
        </w:tc>
        <w:tc>
          <w:tcPr>
            <w:tcW w:w="120" w:type="dxa"/>
            <w:vAlign w:val="bottom"/>
            <w:shd w:val="clear" w:color="auto" w:fill="CFF0FC"/>
          </w:tcPr>
          <w:p>
            <w:pPr>
              <w:spacing w:after="0"/>
              <w:rPr>
                <w:sz w:val="18"/>
                <w:szCs w:val="18"/>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9"/>
        </w:trPr>
        <w:tc>
          <w:tcPr>
            <w:tcW w:w="44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17,671</w:t>
            </w:r>
          </w:p>
        </w:tc>
        <w:tc>
          <w:tcPr>
            <w:tcW w:w="8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13,638</w:t>
            </w:r>
          </w:p>
        </w:tc>
        <w:tc>
          <w:tcPr>
            <w:tcW w:w="6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(48,514)</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40,428</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-176530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-159385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-176530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-159385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-176530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-159385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8" w:lineRule="exact"/>
        <w:rPr>
          <w:sz w:val="20"/>
          <w:szCs w:val="20"/>
          <w:color w:val="auto"/>
        </w:rPr>
      </w:pPr>
    </w:p>
    <w:p>
      <w:pPr>
        <w:ind w:right="320" w:firstLine="636"/>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(losses) earnings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74"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September 30, 2025</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2024</w:t>
            </w:r>
          </w:p>
        </w:tc>
        <w:tc>
          <w:tcPr>
            <w:tcW w:w="680" w:type="dxa"/>
            <w:vAlign w:val="bottom"/>
            <w:gridSpan w:val="2"/>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1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1,431,451</w:t>
            </w:r>
          </w:p>
        </w:tc>
        <w:tc>
          <w:tcPr>
            <w:tcW w:w="4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1,477,950</w:t>
            </w:r>
          </w:p>
        </w:tc>
        <w:tc>
          <w:tcPr>
            <w:tcW w:w="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92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1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433,197</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431,476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92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assets</w:t>
            </w:r>
          </w:p>
        </w:tc>
        <w:tc>
          <w:tcPr>
            <w:tcW w:w="1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1,864,648</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1,909,426</w:t>
            </w: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920" w:type="dxa"/>
            <w:vAlign w:val="bottom"/>
          </w:tcPr>
          <w:p>
            <w:pPr>
              <w:spacing w:after="0" w:line="196" w:lineRule="exact"/>
              <w:rPr>
                <w:sz w:val="20"/>
                <w:szCs w:val="20"/>
                <w:color w:val="auto"/>
              </w:rPr>
            </w:pPr>
            <w:r>
              <w:rPr>
                <w:rFonts w:ascii="Arial" w:cs="Arial" w:eastAsia="Arial" w:hAnsi="Arial"/>
                <w:sz w:val="18"/>
                <w:szCs w:val="18"/>
                <w:color w:val="auto"/>
              </w:rPr>
              <w:t>Current liabilities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937,469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947,072</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9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Noncurrent liabilities</w:t>
            </w:r>
          </w:p>
        </w:tc>
        <w:tc>
          <w:tcPr>
            <w:tcW w:w="1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477,035</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469,808</w:t>
            </w: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92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1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1,414,504</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1,416,880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joint venture equity</w:t>
            </w:r>
          </w:p>
        </w:tc>
        <w:tc>
          <w:tcPr>
            <w:tcW w:w="1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450,144</w:t>
            </w:r>
          </w:p>
        </w:tc>
        <w:tc>
          <w:tcPr>
            <w:tcW w:w="4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492,546</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9"/>
              </w:rPr>
              <w:t>Investments in and advances to unconsolidated joint ventures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156,421</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138,759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34"/>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80" w:type="dxa"/>
            <w:vAlign w:val="bottom"/>
          </w:tcPr>
          <w:p>
            <w:pPr>
              <w:jc w:val="right"/>
              <w:ind w:right="970"/>
              <w:spacing w:after="0"/>
              <w:rPr>
                <w:sz w:val="20"/>
                <w:szCs w:val="20"/>
                <w:color w:val="auto"/>
              </w:rPr>
            </w:pPr>
            <w:r>
              <w:rPr>
                <w:rFonts w:ascii="Arial" w:cs="Arial" w:eastAsia="Arial" w:hAnsi="Arial"/>
                <w:sz w:val="18"/>
                <w:szCs w:val="18"/>
                <w:color w:val="auto"/>
                <w:w w:val="99"/>
              </w:rPr>
              <w:t>27</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-1610995</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-1610995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-1344930</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-1344930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-1070610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-1053465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-1070610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-1053465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tbl>
      <w:tblPr>
        <w:tblLayout w:type="fixed"/>
        <w:tblInd w:w="58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jc w:val="right"/>
              <w:ind w:right="5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4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8"/>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6"/>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8"/>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6"/>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r>
      <w:tr>
        <w:trPr>
          <w:trHeight w:val="171"/>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608,305</w:t>
            </w:r>
          </w:p>
        </w:tc>
        <w:tc>
          <w:tcPr>
            <w:tcW w:w="3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581,232</w:t>
            </w:r>
          </w:p>
        </w:tc>
        <w:tc>
          <w:tcPr>
            <w:tcW w:w="3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1,558,656</w:t>
            </w:r>
          </w:p>
        </w:tc>
        <w:tc>
          <w:tcPr>
            <w:tcW w:w="32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1,598,764</w:t>
            </w:r>
          </w:p>
        </w:tc>
        <w:tc>
          <w:tcPr>
            <w:tcW w:w="120" w:type="dxa"/>
            <w:vAlign w:val="bottom"/>
            <w:shd w:val="clear" w:color="auto" w:fill="CFF0FC"/>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Costs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563,832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560,492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1,476,009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1,593,213</w:t>
            </w:r>
          </w:p>
        </w:tc>
        <w:tc>
          <w:tcPr>
            <w:tcW w:w="120" w:type="dxa"/>
            <w:vAlign w:val="bottom"/>
          </w:tcPr>
          <w:p>
            <w:pPr>
              <w:spacing w:after="0"/>
              <w:rPr>
                <w:sz w:val="17"/>
                <w:szCs w:val="17"/>
                <w:color w:val="auto"/>
              </w:rPr>
            </w:pPr>
          </w:p>
        </w:tc>
      </w:tr>
      <w:tr>
        <w:trPr>
          <w:trHeight w:val="236"/>
        </w:trPr>
        <w:tc>
          <w:tcPr>
            <w:tcW w:w="4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44,473</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20,740</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82,647</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5,551</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19"/>
        </w:trPr>
        <w:tc>
          <w:tcPr>
            <w:tcW w:w="440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8,266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6,937</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-176530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-159385</wp:posOffset>
            </wp:positionV>
            <wp:extent cx="603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-176530</wp:posOffset>
            </wp:positionV>
            <wp:extent cx="596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-159385</wp:posOffset>
            </wp:positionV>
            <wp:extent cx="596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-176530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-159385</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-176530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-159385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both"/>
        <w:ind w:right="280" w:firstLine="636"/>
        <w:spacing w:after="0" w:line="253" w:lineRule="auto"/>
        <w:rPr>
          <w:sz w:val="20"/>
          <w:szCs w:val="20"/>
          <w:color w:val="auto"/>
        </w:rPr>
      </w:pPr>
      <w:r>
        <w:rPr>
          <w:rFonts w:ascii="Arial" w:cs="Arial" w:eastAsia="Arial" w:hAnsi="Arial"/>
          <w:sz w:val="18"/>
          <w:szCs w:val="18"/>
          <w:color w:val="auto"/>
        </w:rPr>
        <w:t>The Company had net distributions to its unconsolidated joint ventures of $0.2 million and net contributions of $34.4 million for the three months ended September 30, 2025 and September 30, 2024 , respectively and net contributions of $7.5 million and $83.7 million for the nine months ended September 30, 2025 and September 30, 2024, respectively.</w:t>
      </w:r>
    </w:p>
    <w:p>
      <w:pPr>
        <w:spacing w:after="0" w:line="169" w:lineRule="exact"/>
        <w:rPr>
          <w:sz w:val="20"/>
          <w:szCs w:val="20"/>
          <w:color w:val="auto"/>
        </w:rPr>
      </w:pPr>
    </w:p>
    <w:p>
      <w:pPr>
        <w:jc w:val="both"/>
        <w:ind w:right="260" w:firstLine="644"/>
        <w:spacing w:after="0" w:line="253" w:lineRule="auto"/>
        <w:rPr>
          <w:sz w:val="20"/>
          <w:szCs w:val="20"/>
          <w:color w:val="auto"/>
        </w:rPr>
      </w:pPr>
      <w:r>
        <w:rPr>
          <w:rFonts w:ascii="Arial" w:cs="Arial" w:eastAsia="Arial" w:hAnsi="Arial"/>
          <w:sz w:val="18"/>
          <w:szCs w:val="18"/>
          <w:color w:val="auto"/>
        </w:rPr>
        <w:t>The following table presents certain financial statement impacts from changes in estimates on unconsolidated joint ventures in the Critical Infrastructure segment. In certain instances, revisions in estimates on unconsolidated joint ventures do not exceed the threshold in any particular quarter but exceed the threshold on a year-to-date basis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September 30, 2025</w:t>
            </w:r>
          </w:p>
        </w:tc>
        <w:tc>
          <w:tcPr>
            <w:tcW w:w="22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3"/>
                <w:szCs w:val="13"/>
                <w:color w:val="auto"/>
              </w:rPr>
            </w:pPr>
          </w:p>
        </w:tc>
        <w:tc>
          <w:tcPr>
            <w:tcW w:w="13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2024</w:t>
            </w:r>
          </w:p>
        </w:tc>
        <w:tc>
          <w:tcPr>
            <w:tcW w:w="120" w:type="dxa"/>
            <w:vAlign w:val="bottom"/>
          </w:tcPr>
          <w:p>
            <w:pPr>
              <w:spacing w:after="0"/>
              <w:rPr>
                <w:sz w:val="13"/>
                <w:szCs w:val="13"/>
                <w:color w:val="auto"/>
              </w:rPr>
            </w:pPr>
          </w:p>
        </w:tc>
      </w:tr>
      <w:tr>
        <w:trPr>
          <w:trHeight w:val="196"/>
        </w:trPr>
        <w:tc>
          <w:tcPr>
            <w:tcW w:w="3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loss</w:t>
            </w:r>
          </w:p>
        </w:tc>
        <w:tc>
          <w:tcPr>
            <w:tcW w:w="2020" w:type="dxa"/>
            <w:vAlign w:val="bottom"/>
            <w:gridSpan w:val="2"/>
            <w:shd w:val="clear" w:color="auto" w:fill="CFF0FC"/>
          </w:tcPr>
          <w:p>
            <w:pPr>
              <w:jc w:val="right"/>
              <w:ind w:right="248"/>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(6,716)</w:t>
            </w:r>
          </w:p>
        </w:tc>
        <w:tc>
          <w:tcPr>
            <w:tcW w:w="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(14,478)</w:t>
            </w:r>
          </w:p>
        </w:tc>
        <w:tc>
          <w:tcPr>
            <w:tcW w:w="740" w:type="dxa"/>
            <w:vAlign w:val="bottom"/>
            <w:gridSpan w:val="2"/>
            <w:shd w:val="clear" w:color="auto" w:fill="CFF0FC"/>
          </w:tcPr>
          <w:p>
            <w:pPr>
              <w:ind w:left="8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(37,509)</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(4,936)</w:t>
            </w:r>
          </w:p>
        </w:tc>
        <w:tc>
          <w:tcPr>
            <w:tcW w:w="4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(10,869)</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(35,258)</w:t>
            </w:r>
          </w:p>
        </w:tc>
      </w:tr>
      <w:tr>
        <w:trPr>
          <w:trHeight w:val="203"/>
        </w:trPr>
        <w:tc>
          <w:tcPr>
            <w:tcW w:w="3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Diluted loss per share</w:t>
            </w:r>
          </w:p>
        </w:tc>
        <w:tc>
          <w:tcPr>
            <w:tcW w:w="2020" w:type="dxa"/>
            <w:vAlign w:val="bottom"/>
            <w:gridSpan w:val="2"/>
            <w:shd w:val="clear" w:color="auto" w:fill="CFF0FC"/>
          </w:tcPr>
          <w:p>
            <w:pPr>
              <w:jc w:val="right"/>
              <w:ind w:right="248"/>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2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(0.04)</w:t>
            </w:r>
          </w:p>
        </w:tc>
        <w:tc>
          <w:tcPr>
            <w:tcW w:w="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(0.10)</w:t>
            </w:r>
          </w:p>
        </w:tc>
        <w:tc>
          <w:tcPr>
            <w:tcW w:w="74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(0.33)</w:t>
            </w:r>
          </w:p>
        </w:tc>
      </w:tr>
    </w:tbl>
    <w:p>
      <w:pPr>
        <w:spacing w:after="0" w:line="200" w:lineRule="exact"/>
        <w:rPr>
          <w:sz w:val="20"/>
          <w:szCs w:val="20"/>
          <w:color w:val="auto"/>
        </w:rPr>
      </w:pPr>
    </w:p>
    <w:p>
      <w:pPr>
        <w:spacing w:after="0" w:line="32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costs for these services. Revenues related to services the Company provided to unconsolidated joint ventures for the three months ended September 30, 2025 and September 30, 2024 were $56.9 million and $47.6 million, respectively and $144.3 million and $144.9 million for the nine months ended September 30, 2025 and September 30, 2024, respectively.</w:t>
      </w:r>
    </w:p>
    <w:p>
      <w:pPr>
        <w:spacing w:after="0" w:line="66"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For the three months ended September 30, 2025 and September 30, 2024, the Company incurred reimbursable costs of $36.4 million and $36.7 million, respectively, and $104.2 million and $108.3 million for the nine months ended September 30, 2025 and September 30, 2024, respectively.</w:t>
      </w:r>
    </w:p>
    <w:p>
      <w:pPr>
        <w:spacing w:after="0" w:line="61" w:lineRule="exact"/>
        <w:rPr>
          <w:sz w:val="20"/>
          <w:szCs w:val="20"/>
          <w:color w:val="auto"/>
        </w:rPr>
      </w:pPr>
    </w:p>
    <w:p>
      <w:pPr>
        <w:ind w:right="100" w:firstLine="636"/>
        <w:spacing w:after="0" w:line="271" w:lineRule="auto"/>
        <w:rPr>
          <w:sz w:val="20"/>
          <w:szCs w:val="20"/>
          <w:color w:val="auto"/>
        </w:rPr>
      </w:pPr>
      <w:r>
        <w:rPr>
          <w:rFonts w:ascii="Arial" w:cs="Arial" w:eastAsia="Arial" w:hAnsi="Arial"/>
          <w:sz w:val="18"/>
          <w:szCs w:val="18"/>
          <w:color w:val="auto"/>
        </w:rPr>
        <w:t>Amounts included in the consolidated balance sheets related to services the Company provided to unconsolidated joint ventures are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4"/>
                <w:szCs w:val="14"/>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43,181</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38,443</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Contract assets</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27,342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11,540</w:t>
            </w:r>
          </w:p>
        </w:tc>
      </w:tr>
      <w:tr>
        <w:trPr>
          <w:trHeight w:val="202"/>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8,495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10,776</w:t>
            </w:r>
          </w:p>
        </w:tc>
      </w:tr>
    </w:tbl>
    <w:p>
      <w:pPr>
        <w:spacing w:after="0" w:line="200" w:lineRule="exact"/>
        <w:rPr>
          <w:sz w:val="20"/>
          <w:szCs w:val="20"/>
          <w:color w:val="auto"/>
        </w:rPr>
      </w:pPr>
    </w:p>
    <w:p>
      <w:pPr>
        <w:spacing w:after="0" w:line="34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4"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September 30, 2025 and December 31, 2024,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30" w:name="page31"/>
    <w:bookmarkEnd w:id="30"/>
    <w:p>
      <w:pPr>
        <w:ind w:left="640"/>
        <w:spacing w:after="0"/>
        <w:rPr>
          <w:sz w:val="20"/>
          <w:szCs w:val="20"/>
          <w:color w:val="auto"/>
        </w:rPr>
      </w:pPr>
      <w:r>
        <w:rPr>
          <w:rFonts w:ascii="Arial" w:cs="Arial" w:eastAsia="Arial" w:hAnsi="Arial"/>
          <w:sz w:val="18"/>
          <w:szCs w:val="18"/>
          <w:color w:val="auto"/>
        </w:rPr>
        <w:t>Fair value is determined by using one or more of the following valuation techniques:</w:t>
      </w:r>
    </w:p>
    <w:p>
      <w:pPr>
        <w:spacing w:after="0" w:line="104" w:lineRule="exact"/>
        <w:rPr>
          <w:sz w:val="20"/>
          <w:szCs w:val="20"/>
          <w:color w:val="auto"/>
        </w:rPr>
      </w:pPr>
    </w:p>
    <w:p>
      <w:pPr>
        <w:ind w:left="900" w:right="480" w:hanging="248"/>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900" w:right="300" w:hanging="248"/>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6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assets and liabilities;</w:t>
      </w:r>
    </w:p>
    <w:p>
      <w:pPr>
        <w:spacing w:after="0" w:line="104" w:lineRule="exact"/>
        <w:rPr>
          <w:sz w:val="20"/>
          <w:szCs w:val="20"/>
          <w:color w:val="auto"/>
        </w:rPr>
      </w:pPr>
    </w:p>
    <w:p>
      <w:pPr>
        <w:ind w:left="900" w:hanging="253"/>
        <w:spacing w:after="0" w:line="271" w:lineRule="auto"/>
        <w:rPr>
          <w:sz w:val="20"/>
          <w:szCs w:val="20"/>
          <w:color w:val="auto"/>
        </w:rPr>
      </w:pPr>
      <w:r>
        <w:rPr>
          <w:rFonts w:ascii="Arial" w:cs="Arial" w:eastAsia="Arial" w:hAnsi="Arial"/>
          <w:sz w:val="18"/>
          <w:szCs w:val="18"/>
          <w:color w:val="auto"/>
        </w:rPr>
        <w:t>Level 2</w:t>
      </w:r>
      <w:r>
        <w:rPr>
          <w:sz w:val="20"/>
          <w:szCs w:val="20"/>
          <w:color w:val="auto"/>
        </w:rPr>
        <w:t xml:space="preserve"> </w:t>
      </w:r>
      <w:r>
        <w:rPr>
          <w:rFonts w:ascii="Arial" w:cs="Arial" w:eastAsia="Arial" w:hAnsi="Arial"/>
          <w:sz w:val="18"/>
          <w:szCs w:val="18"/>
          <w:color w:val="auto"/>
        </w:rPr>
        <w:t>Pricing inputs that include quoted prices for similar assets and liabilities in active markets and inputs that are observable for the asset or liability, either directly or indirectly, for substantially the full term of the instrument; and</w:t>
      </w:r>
    </w:p>
    <w:p>
      <w:pPr>
        <w:spacing w:after="0" w:line="46"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Prices or valuations that require inputs that are both significant to the fair value measurements and unobservable.</w:t>
      </w:r>
    </w:p>
    <w:p>
      <w:pPr>
        <w:spacing w:after="0" w:line="212" w:lineRule="exact"/>
        <w:rPr>
          <w:sz w:val="20"/>
          <w:szCs w:val="20"/>
          <w:color w:val="auto"/>
        </w:rPr>
      </w:pPr>
    </w:p>
    <w:p>
      <w:pPr>
        <w:ind w:right="180" w:firstLine="636"/>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66" w:lineRule="exact"/>
        <w:rPr>
          <w:sz w:val="20"/>
          <w:szCs w:val="20"/>
          <w:color w:val="auto"/>
        </w:rPr>
      </w:pPr>
    </w:p>
    <w:p>
      <w:pPr>
        <w:ind w:right="400" w:firstLine="644"/>
        <w:spacing w:after="0" w:line="271" w:lineRule="auto"/>
        <w:rPr>
          <w:sz w:val="20"/>
          <w:szCs w:val="20"/>
          <w:color w:val="auto"/>
        </w:rPr>
      </w:pPr>
      <w:r>
        <w:rPr>
          <w:rFonts w:ascii="Arial" w:cs="Arial" w:eastAsia="Arial" w:hAnsi="Arial"/>
          <w:sz w:val="18"/>
          <w:szCs w:val="18"/>
          <w:color w:val="auto"/>
        </w:rPr>
        <w:t>The carrying values and estimated fair values of our financial instruments that are not required to be recorded at fair value in our consolidated balance sheets, on the basis of Level 2 inputs,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6"/>
          </w:tcPr>
          <w:p>
            <w:pPr>
              <w:ind w:left="400"/>
              <w:spacing w:after="0"/>
              <w:rPr>
                <w:sz w:val="20"/>
                <w:szCs w:val="20"/>
                <w:color w:val="auto"/>
              </w:rPr>
            </w:pPr>
            <w:r>
              <w:rPr>
                <w:rFonts w:ascii="Arial" w:cs="Arial" w:eastAsia="Arial" w:hAnsi="Arial"/>
                <w:sz w:val="14"/>
                <w:szCs w:val="14"/>
                <w:b w:val="1"/>
                <w:bCs w:val="1"/>
                <w:color w:val="auto"/>
              </w:rPr>
              <w:t>December 31, 2024</w:t>
            </w:r>
          </w:p>
        </w:tc>
      </w:tr>
      <w:tr>
        <w:trPr>
          <w:trHeight w:val="171"/>
        </w:trPr>
        <w:tc>
          <w:tcPr>
            <w:tcW w:w="58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Convertible senior notes due 2025</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113,405</w:t>
            </w:r>
          </w:p>
        </w:tc>
        <w:tc>
          <w:tcPr>
            <w:tcW w:w="4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233,206</w:t>
            </w:r>
          </w:p>
        </w:tc>
        <w:tc>
          <w:tcPr>
            <w:tcW w:w="120" w:type="dxa"/>
            <w:vAlign w:val="bottom"/>
          </w:tcPr>
          <w:p>
            <w:pPr>
              <w:spacing w:after="0"/>
              <w:rPr>
                <w:sz w:val="17"/>
                <w:szCs w:val="17"/>
                <w:color w:val="auto"/>
              </w:rPr>
            </w:pP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Convertible senior notes due 2029</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903,920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800,000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939,280</w:t>
            </w:r>
          </w:p>
        </w:tc>
        <w:tc>
          <w:tcPr>
            <w:tcW w:w="12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Term loan due 2028</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202"/>
        </w:trPr>
        <w:tc>
          <w:tcPr>
            <w:tcW w:w="5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Delayed draw term loan due 2025</w:t>
            </w: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350,000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350,000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1,250,000</w:t>
            </w:r>
          </w:p>
        </w:tc>
        <w:tc>
          <w:tcPr>
            <w:tcW w:w="4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1,353,920</w:t>
            </w:r>
          </w:p>
        </w:tc>
        <w:tc>
          <w:tcPr>
            <w:tcW w:w="46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1,263,405</w:t>
            </w:r>
          </w:p>
        </w:tc>
        <w:tc>
          <w:tcPr>
            <w:tcW w:w="42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1,522,486</w:t>
            </w:r>
          </w:p>
        </w:tc>
        <w:tc>
          <w:tcPr>
            <w:tcW w:w="120" w:type="dxa"/>
            <w:vAlign w:val="bottom"/>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-162560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-162560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Basic earnings per share (“EPS”) is computed using the weighted average number of shares outstanding during the period and income available to shareholders. Diluted EPS includes additional common shares that would have been outstanding if potential common shares with a dilutive effect had been issued using the if-converted method for Convertible Debt and the treasury stock method for all other instruments.</w:t>
      </w:r>
    </w:p>
    <w:p>
      <w:pPr>
        <w:spacing w:after="0" w:line="66" w:lineRule="exact"/>
        <w:rPr>
          <w:sz w:val="20"/>
          <w:szCs w:val="20"/>
          <w:color w:val="auto"/>
        </w:rPr>
      </w:pPr>
    </w:p>
    <w:p>
      <w:pPr>
        <w:ind w:right="380" w:firstLine="644"/>
        <w:spacing w:after="0" w:line="271" w:lineRule="auto"/>
        <w:rPr>
          <w:sz w:val="20"/>
          <w:szCs w:val="20"/>
          <w:color w:val="auto"/>
        </w:rPr>
      </w:pPr>
      <w:r>
        <w:rPr>
          <w:rFonts w:ascii="Arial" w:cs="Arial" w:eastAsia="Arial" w:hAnsi="Arial"/>
          <w:sz w:val="18"/>
          <w:szCs w:val="18"/>
          <w:color w:val="auto"/>
        </w:rPr>
        <w:t>Under the treasury stock method, the weighted average number of shares outstanding is adjusted to reflect the dilutive effects of stock-based awards.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if-converted method:</w:t>
      </w:r>
    </w:p>
    <w:p>
      <w:pPr>
        <w:spacing w:after="0" w:line="104" w:lineRule="exact"/>
        <w:rPr>
          <w:sz w:val="20"/>
          <w:szCs w:val="20"/>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Convertible Senior Notes due 2025:</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Income available to shareholders is adjusted to add back interest expense, after tax (unless antidilutive).</w:t>
      </w:r>
    </w:p>
    <w:p>
      <w:pPr>
        <w:spacing w:after="0" w:line="103" w:lineRule="exact"/>
        <w:rPr>
          <w:rFonts w:ascii="Arial" w:cs="Arial" w:eastAsia="Arial" w:hAnsi="Arial"/>
          <w:sz w:val="18"/>
          <w:szCs w:val="18"/>
          <w:color w:val="auto"/>
        </w:rPr>
      </w:pPr>
    </w:p>
    <w:p>
      <w:pPr>
        <w:ind w:left="1540" w:right="60" w:hanging="514"/>
        <w:spacing w:after="0" w:line="271"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Weighted average number of shares outstanding is adjusted to include the shares underlying the convertible debt (unless antidilutive).</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Shares underlying the bond hedge (unless antidilutive).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1540" w:hanging="514"/>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Shares underlying the warrants (unless antidilutive).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Convertible Senior Notes due 2029:</w:t>
      </w:r>
    </w:p>
    <w:p>
      <w:pPr>
        <w:spacing w:after="0" w:line="103" w:lineRule="exact"/>
        <w:rPr>
          <w:rFonts w:ascii="Arial" w:cs="Arial" w:eastAsia="Arial" w:hAnsi="Arial"/>
          <w:sz w:val="18"/>
          <w:szCs w:val="18"/>
          <w:color w:val="auto"/>
        </w:rPr>
      </w:pPr>
    </w:p>
    <w:p>
      <w:pPr>
        <w:jc w:val="both"/>
        <w:ind w:left="1540" w:right="100" w:hanging="514"/>
        <w:spacing w:after="0" w:line="253"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Interest has been excluded from the numerator and no shares have been included in the denominator of diluted EPS, as the principal amount of convertible debt will be settled in cash with any excess conversion value settled in cash or shares of common stock.</w:t>
      </w:r>
    </w:p>
    <w:p>
      <w:pPr>
        <w:spacing w:after="0" w:line="60" w:lineRule="exact"/>
        <w:rPr>
          <w:rFonts w:ascii="Arial" w:cs="Arial" w:eastAsia="Arial" w:hAnsi="Arial"/>
          <w:sz w:val="18"/>
          <w:szCs w:val="18"/>
          <w:color w:val="auto"/>
        </w:rPr>
      </w:pPr>
    </w:p>
    <w:p>
      <w:pPr>
        <w:ind w:left="1540" w:hanging="514"/>
        <w:spacing w:after="0"/>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Excludes shares underlying the capped call as the shares are antidilutive.</w:t>
      </w:r>
    </w:p>
    <w:p>
      <w:pPr>
        <w:spacing w:after="0" w:line="212" w:lineRule="exact"/>
        <w:rPr>
          <w:sz w:val="20"/>
          <w:szCs w:val="20"/>
          <w:color w:val="auto"/>
        </w:rPr>
      </w:pPr>
    </w:p>
    <w:p>
      <w:pPr>
        <w:ind w:right="200" w:firstLine="636"/>
        <w:spacing w:after="0" w:line="271" w:lineRule="auto"/>
        <w:rPr>
          <w:sz w:val="20"/>
          <w:szCs w:val="20"/>
          <w:color w:val="auto"/>
        </w:rPr>
      </w:pPr>
      <w:r>
        <w:rPr>
          <w:rFonts w:ascii="Arial" w:cs="Arial" w:eastAsia="Arial" w:hAnsi="Arial"/>
          <w:sz w:val="18"/>
          <w:szCs w:val="18"/>
          <w:color w:val="auto"/>
        </w:rPr>
        <w:t>The following tables reconcile the denominator and numerator used to compute basic EPS to the denominator and numerator used to compute diluted EPS for the three and nine months ended September 30, 2025 and September 30, 2024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ind w:lef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94"/>
              <w:spacing w:after="0" w:line="147" w:lineRule="exact"/>
              <w:rPr>
                <w:sz w:val="20"/>
                <w:szCs w:val="20"/>
                <w:color w:val="auto"/>
              </w:rPr>
            </w:pPr>
            <w:r>
              <w:rPr>
                <w:rFonts w:ascii="Arial" w:cs="Arial" w:eastAsia="Arial" w:hAnsi="Arial"/>
                <w:sz w:val="14"/>
                <w:szCs w:val="14"/>
                <w:b w:val="1"/>
                <w:bCs w:val="1"/>
                <w:color w:val="auto"/>
              </w:rPr>
              <w:t>September 30,</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13"/>
              <w:spacing w:after="0" w:line="147"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94"/>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33"/>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Numerator for Basic and Diluted EPS: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Net income attributable to Parsons Corporation - basic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64,123</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71,951</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185,556</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180,873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Convertible senior notes if-converted method interest</w:t>
            </w:r>
          </w:p>
        </w:tc>
        <w:tc>
          <w:tcPr>
            <w:tcW w:w="12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adjustment</w:t>
            </w: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Net income attributable to Parsons Corporation - diluted</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64,150</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72,005</w:t>
            </w: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185,691</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183,747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color w:val="auto"/>
              </w:rPr>
              <w:t>Denominator for Basic and Diluted EPS: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106,763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106,291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106,864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Dilutive effect of stock-based awards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warrants</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Dilutive effect of convertible senior notes due 2025</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631</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2,573</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1,547</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109,078</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111,086</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110,056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112,180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0.60</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0.68</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0.59</w:t>
            </w:r>
          </w:p>
        </w:tc>
        <w:tc>
          <w:tcPr>
            <w:tcW w:w="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0.65</w:t>
            </w:r>
          </w:p>
        </w:tc>
        <w:tc>
          <w:tcPr>
            <w:tcW w:w="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w:t>
            </w:r>
          </w:p>
        </w:tc>
        <w:tc>
          <w:tcPr>
            <w:tcW w:w="3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-1816735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-1816735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-1816735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-574040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-556895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-574040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-556895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-574040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-556895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300" w:firstLine="644"/>
        <w:spacing w:after="0" w:line="253" w:lineRule="auto"/>
        <w:rPr>
          <w:sz w:val="20"/>
          <w:szCs w:val="20"/>
          <w:color w:val="auto"/>
        </w:rPr>
      </w:pPr>
      <w:r>
        <w:rPr>
          <w:rFonts w:ascii="Arial" w:cs="Arial" w:eastAsia="Arial" w:hAnsi="Arial"/>
          <w:sz w:val="18"/>
          <w:szCs w:val="18"/>
          <w:color w:val="auto"/>
        </w:rPr>
        <w:t>Anti-dilutive stock-based awards excluded from the calculation of earnings per share for the three months ended September 30, 2025 and September 30, 2024 were 2,521 and 949, respectively and for the nine months ended September 30, 2025 and September 30, 2024 were 13,248 and 4,497,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02" w:lineRule="exact"/>
        <w:rPr>
          <w:sz w:val="20"/>
          <w:szCs w:val="20"/>
          <w:color w:val="auto"/>
        </w:rPr>
      </w:pPr>
    </w:p>
    <w:p>
      <w:pPr>
        <w:ind w:right="60" w:firstLine="644"/>
        <w:spacing w:after="0" w:line="242"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February 2024 to restore the repurchase capacity to $100 million and removed the $25 million quarterly cap on such repurchases. The Board further amended this authorization in March 2025 to increase and reset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repurchase capacity to $250 million. Any purchases made by the Company during Q1 of 2025 would be deducted from the reset capacity.</w:t>
      </w:r>
    </w:p>
    <w:p>
      <w:pPr>
        <w:spacing w:after="0" w:line="104"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and the March 2025 authorization is not greater than $329.7 million.</w:t>
      </w:r>
    </w:p>
    <w:p>
      <w:pPr>
        <w:spacing w:after="0" w:line="61" w:lineRule="exact"/>
        <w:rPr>
          <w:sz w:val="20"/>
          <w:szCs w:val="20"/>
          <w:color w:val="auto"/>
        </w:rPr>
      </w:pPr>
    </w:p>
    <w:p>
      <w:pPr>
        <w:ind w:right="120" w:firstLine="644"/>
        <w:spacing w:after="0" w:line="271" w:lineRule="auto"/>
        <w:rPr>
          <w:sz w:val="20"/>
          <w:szCs w:val="20"/>
          <w:color w:val="auto"/>
        </w:rPr>
      </w:pPr>
      <w:r>
        <w:rPr>
          <w:rFonts w:ascii="Arial" w:cs="Arial" w:eastAsia="Arial" w:hAnsi="Arial"/>
          <w:sz w:val="18"/>
          <w:szCs w:val="18"/>
          <w:color w:val="auto"/>
        </w:rPr>
        <w:t>As of September 30, 2025, the Company has spent $144.7 million repurchasing 2,679,421 shares of Common Stock at an average price of $54.00 per share.</w:t>
      </w:r>
    </w:p>
    <w:p>
      <w:pPr>
        <w:spacing w:after="0" w:line="46" w:lineRule="exact"/>
        <w:rPr>
          <w:sz w:val="20"/>
          <w:szCs w:val="20"/>
          <w:color w:val="auto"/>
        </w:rPr>
      </w:pPr>
    </w:p>
    <w:p>
      <w:pPr>
        <w:ind w:right="140" w:firstLine="644"/>
        <w:spacing w:after="0" w:line="244"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repurchase activity under the stock repurchase program:</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480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17"/>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17"/>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15"/>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71"/>
        </w:trPr>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7"/>
              <w:spacing w:after="0"/>
              <w:rPr>
                <w:sz w:val="20"/>
                <w:szCs w:val="20"/>
                <w:color w:val="auto"/>
              </w:rPr>
            </w:pPr>
            <w:r>
              <w:rPr>
                <w:rFonts w:ascii="Arial" w:cs="Arial" w:eastAsia="Arial" w:hAnsi="Arial"/>
                <w:sz w:val="14"/>
                <w:szCs w:val="14"/>
                <w:b w:val="1"/>
                <w:bCs w:val="1"/>
                <w:color w:val="auto"/>
              </w:rPr>
              <w:t>2025</w:t>
            </w:r>
          </w:p>
        </w:tc>
        <w:tc>
          <w:tcPr>
            <w:tcW w:w="12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7"/>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shares repurchased</w:t>
            </w:r>
          </w:p>
        </w:tc>
        <w:tc>
          <w:tcPr>
            <w:tcW w:w="2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323,175</w:t>
            </w: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965,940</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131,053</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Total shares retired</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323,175</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965,940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131,053</w:t>
            </w: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Average price paid per share (1)</w:t>
            </w:r>
          </w:p>
        </w:tc>
        <w:tc>
          <w:tcPr>
            <w:tcW w:w="260" w:type="dxa"/>
            <w:vAlign w:val="bottom"/>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77.36</w:t>
            </w:r>
          </w:p>
        </w:tc>
        <w:tc>
          <w:tcPr>
            <w:tcW w:w="1260" w:type="dxa"/>
            <w:vAlign w:val="bottom"/>
            <w:gridSpan w:val="2"/>
            <w:shd w:val="clear" w:color="auto" w:fill="CFF0FC"/>
          </w:tcPr>
          <w:p>
            <w:pPr>
              <w:jc w:val="right"/>
              <w:ind w:right="86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67.29</w:t>
            </w:r>
          </w:p>
        </w:tc>
        <w:tc>
          <w:tcPr>
            <w:tcW w:w="46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76.30</w:t>
            </w:r>
          </w:p>
        </w:tc>
        <w:tc>
          <w:tcPr>
            <w:tcW w:w="100" w:type="dxa"/>
            <w:vAlign w:val="bottom"/>
            <w:shd w:val="clear" w:color="auto" w:fill="CFF0FC"/>
          </w:tcPr>
          <w:p>
            <w:pPr>
              <w:spacing w:after="0"/>
              <w:rPr>
                <w:sz w:val="17"/>
                <w:szCs w:val="17"/>
                <w:color w:val="auto"/>
              </w:rPr>
            </w:pPr>
          </w:p>
        </w:tc>
      </w:tr>
    </w:tbl>
    <w:p>
      <w:pPr>
        <w:spacing w:after="0" w:line="137" w:lineRule="exact"/>
        <w:rPr>
          <w:sz w:val="20"/>
          <w:szCs w:val="20"/>
          <w:color w:val="auto"/>
        </w:rPr>
      </w:pPr>
    </w:p>
    <w:p>
      <w:pPr>
        <w:ind w:left="520" w:hanging="112"/>
        <w:spacing w:after="0"/>
        <w:tabs>
          <w:tab w:leader="none" w:pos="520" w:val="left"/>
        </w:tabs>
        <w:numPr>
          <w:ilvl w:val="1"/>
          <w:numId w:val="27"/>
        </w:numPr>
        <w:rPr>
          <w:rFonts w:ascii="Arial" w:cs="Arial" w:eastAsia="Arial" w:hAnsi="Arial"/>
          <w:sz w:val="29"/>
          <w:szCs w:val="29"/>
          <w:color w:val="auto"/>
          <w:vertAlign w:val="superscript"/>
        </w:rPr>
      </w:pPr>
      <w:r>
        <w:rPr>
          <w:rFonts w:ascii="Arial" w:cs="Arial" w:eastAsia="Arial" w:hAnsi="Arial"/>
          <w:sz w:val="16"/>
          <w:szCs w:val="16"/>
          <w:color w:val="auto"/>
        </w:rPr>
        <w:t>Includes commissions in the calculation of average price per share</w:t>
      </w:r>
    </w:p>
    <w:p>
      <w:pPr>
        <w:spacing w:after="0" w:line="293" w:lineRule="exact"/>
        <w:rPr>
          <w:rFonts w:ascii="Arial" w:cs="Arial" w:eastAsia="Arial" w:hAnsi="Arial"/>
          <w:sz w:val="29"/>
          <w:szCs w:val="29"/>
          <w:color w:val="auto"/>
          <w:vertAlign w:val="superscript"/>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420" w:firstLine="636"/>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 operations, missile defense, and military facility modernization, logistics support, hazardous material remediation and engineering services.</w:t>
      </w:r>
    </w:p>
    <w:p>
      <w:pPr>
        <w:spacing w:after="0" w:line="174"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240" w:firstLine="636"/>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Chief Executive Officer, evaluates the performance of each segment and manages the operations of the Company for purposes of allocating resources among the segments. The CODM evaluates segment operating performance using segment Revenue, segment direct cost of contracts, segment Selling, General and Administrative expense and segment Adjusted EBITDA attributable to Parsons Corporation.</w:t>
      </w:r>
    </w:p>
    <w:p>
      <w:pPr>
        <w:spacing w:after="0" w:line="174" w:lineRule="exact"/>
        <w:rPr>
          <w:sz w:val="20"/>
          <w:szCs w:val="20"/>
          <w:color w:val="auto"/>
        </w:rPr>
      </w:pPr>
    </w:p>
    <w:p>
      <w:pPr>
        <w:ind w:right="120" w:firstLine="644"/>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w:t>
      </w:r>
    </w:p>
    <w:p>
      <w:pPr>
        <w:spacing w:after="0" w:line="185" w:lineRule="exact"/>
        <w:rPr>
          <w:sz w:val="20"/>
          <w:szCs w:val="20"/>
          <w:color w:val="auto"/>
        </w:rPr>
      </w:pPr>
    </w:p>
    <w:p>
      <w:pPr>
        <w:jc w:val="both"/>
        <w:ind w:right="200" w:firstLine="644"/>
        <w:spacing w:after="0" w:line="253" w:lineRule="auto"/>
        <w:rPr>
          <w:sz w:val="20"/>
          <w:szCs w:val="20"/>
          <w:color w:val="auto"/>
        </w:rPr>
      </w:pPr>
      <w:r>
        <w:rPr>
          <w:rFonts w:ascii="Arial" w:cs="Arial" w:eastAsia="Arial" w:hAnsi="Arial"/>
          <w:sz w:val="18"/>
          <w:szCs w:val="18"/>
          <w:color w:val="auto"/>
        </w:rPr>
        <w:t>Adjusted EBITDA is the measure of our operating performance used by the CODM to assess our segments’ financial performance. The CODM uses Adjusted EBITDA for business planning purposes, including to manage our segments against internal projected results of operations and measure the performance of our segments generally.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firstLine="644"/>
        <w:spacing w:after="0" w:line="253" w:lineRule="auto"/>
        <w:rPr>
          <w:sz w:val="20"/>
          <w:szCs w:val="20"/>
          <w:color w:val="auto"/>
        </w:rPr>
      </w:pPr>
      <w:r>
        <w:rPr>
          <w:rFonts w:ascii="Arial" w:cs="Arial" w:eastAsia="Arial" w:hAnsi="Arial"/>
          <w:sz w:val="18"/>
          <w:szCs w:val="18"/>
          <w:color w:val="auto"/>
        </w:rPr>
        <w:t>The following tables present segment information provided to the CODM, as of each period presented, along with a reconciliation of segment adjusted EBITDA attributable to Parsons Corporation to net income attributable to Parsons Corporation for the periods presented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788,607</w:t>
            </w: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833,141</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1,621,748</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(612,500)</w:t>
            </w:r>
          </w:p>
        </w:tc>
        <w:tc>
          <w:tcPr>
            <w:tcW w:w="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(649,393)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(1,261,893)</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(47,980)</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(44,259)</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(92,239)</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986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7,280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8,266</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(56,612)</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(78,966)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(135,578)</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72,501</w:t>
            </w: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67,803</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140,304</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17,833</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(29,849)</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(11,696)</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(16,035)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(11,568)</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(5,074)</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Restructuring expense (d)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(292)</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(1,829)</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81,794</w:t>
            </w:r>
          </w:p>
        </w:tc>
        <w:tc>
          <w:tcPr>
            <w:tcW w:w="100" w:type="dxa"/>
            <w:vAlign w:val="bottom"/>
            <w:tcBorders>
              <w:top w:val="single" w:sz="8" w:color="CFF0FC"/>
            </w:tcBorders>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(17,671)</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64,123</w:t>
            </w:r>
          </w:p>
        </w:tc>
        <w:tc>
          <w:tcPr>
            <w:tcW w:w="100" w:type="dxa"/>
            <w:vAlign w:val="bottom"/>
            <w:tcBorders>
              <w:top w:val="single" w:sz="8" w:color="CFF0FC"/>
            </w:tcBorders>
          </w:tcPr>
          <w:p>
            <w:pPr>
              <w:spacing w:after="0"/>
              <w:rPr>
                <w:sz w:val="17"/>
                <w:szCs w:val="17"/>
                <w:color w:val="auto"/>
              </w:rPr>
            </w:pPr>
          </w:p>
        </w:tc>
      </w:tr>
      <w:tr>
        <w:trPr>
          <w:trHeight w:val="551"/>
        </w:trPr>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1,105,580</w:t>
            </w: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704,536</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1,810,116</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(881,208)</w:t>
            </w:r>
          </w:p>
        </w:tc>
        <w:tc>
          <w:tcPr>
            <w:tcW w:w="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(568,623)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(1,449,831)</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(42,816)</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(34,776)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(77,592)</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1,002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872</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(62,467)</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(68,000)</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(130,467)</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120,091</w:t>
            </w: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33,007</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153,098</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13,913</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(24,542)</w:t>
            </w:r>
          </w:p>
        </w:tc>
      </w:tr>
      <w:tr>
        <w:trPr>
          <w:trHeight w:val="202"/>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(8,802)</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(22,518)</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(21,251)</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(3,770)</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Other (e)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(539)</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85,589</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(13,638)</w:t>
            </w:r>
          </w:p>
        </w:tc>
      </w:tr>
      <w:tr>
        <w:trPr>
          <w:trHeight w:val="196"/>
        </w:trPr>
        <w:tc>
          <w:tcPr>
            <w:tcW w:w="5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71,951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645"/>
        </w:trPr>
        <w:tc>
          <w:tcPr>
            <w:tcW w:w="5760" w:type="dxa"/>
            <w:vAlign w:val="bottom"/>
          </w:tcPr>
          <w:p>
            <w:pPr>
              <w:ind w:left="552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5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-5777230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-5777230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-5777230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-4345305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-2613660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-2613660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2,436,628</w:t>
            </w: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2,323,803</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4,760,431</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(1,917,218)</w:t>
            </w:r>
          </w:p>
        </w:tc>
        <w:tc>
          <w:tcPr>
            <w:tcW w:w="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(1,781,022)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(3,698,240)</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(136,604)</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(138,938)</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(275,542)</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losses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983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5,954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6,937</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(168,684)</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(217,614)</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(386,298)</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215,105</w:t>
            </w: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192,183</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407,288</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48,756</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(85,844)</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(33,301)</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(53,702)</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(30,190)</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(13,910)</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Restructuring expense (d)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(2,653)</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(2,374)</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234,070</w:t>
            </w:r>
          </w:p>
        </w:tc>
        <w:tc>
          <w:tcPr>
            <w:tcW w:w="100" w:type="dxa"/>
            <w:vAlign w:val="bottom"/>
            <w:tcBorders>
              <w:top w:val="single" w:sz="8" w:color="CFF0FC"/>
            </w:tcBorders>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(48,514)</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185,556</w:t>
            </w:r>
          </w:p>
        </w:tc>
        <w:tc>
          <w:tcPr>
            <w:tcW w:w="100" w:type="dxa"/>
            <w:vAlign w:val="bottom"/>
            <w:tcBorders>
              <w:top w:val="single" w:sz="8" w:color="CFF0FC"/>
            </w:tcBorders>
          </w:tcPr>
          <w:p>
            <w:pPr>
              <w:spacing w:after="0"/>
              <w:rPr>
                <w:sz w:val="17"/>
                <w:szCs w:val="17"/>
                <w:color w:val="auto"/>
              </w:rPr>
            </w:pPr>
          </w:p>
        </w:tc>
      </w:tr>
      <w:tr>
        <w:trPr>
          <w:trHeight w:val="551"/>
        </w:trPr>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3,003,791</w:t>
            </w: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2,012,468</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5,016,259</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(2,394,247)</w:t>
            </w:r>
          </w:p>
        </w:tc>
        <w:tc>
          <w:tcPr>
            <w:tcW w:w="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(1,585,341)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(3,979,589)</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(113,448)</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(103,611)</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(217,059)</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losses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1,999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(20,024)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(18,025)</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(182,682)</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(201,910)</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(384,593)</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315,413</w:t>
            </w: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101,582</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416,995</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41,339</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(73,513)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(29,831)</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(58,257)</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(44,554)</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(18,355)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(8,958)</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(3,565)</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221,301</w:t>
            </w:r>
          </w:p>
        </w:tc>
        <w:tc>
          <w:tcPr>
            <w:tcW w:w="100" w:type="dxa"/>
            <w:vAlign w:val="bottom"/>
            <w:tcBorders>
              <w:top w:val="single" w:sz="8" w:color="CFF0FC"/>
            </w:tcBorders>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(40,428)</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180,873</w:t>
            </w:r>
          </w:p>
        </w:tc>
        <w:tc>
          <w:tcPr>
            <w:tcW w:w="100" w:type="dxa"/>
            <w:vAlign w:val="bottom"/>
            <w:tcBorders>
              <w:top w:val="single" w:sz="8" w:color="CFF0FC"/>
            </w:tcBorders>
          </w:tcPr>
          <w:p>
            <w:pPr>
              <w:spacing w:after="0"/>
              <w:rPr>
                <w:sz w:val="17"/>
                <w:szCs w:val="17"/>
                <w:color w:val="auto"/>
              </w:rPr>
            </w:pPr>
          </w:p>
        </w:tc>
      </w:tr>
      <w:tr>
        <w:trPr>
          <w:trHeight w:val="645"/>
        </w:trPr>
        <w:tc>
          <w:tcPr>
            <w:tcW w:w="5760" w:type="dxa"/>
            <w:vAlign w:val="bottom"/>
          </w:tcPr>
          <w:p>
            <w:pPr>
              <w:ind w:left="552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5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-5905500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-5905500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-2742565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-2742565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selling, general and administrative expenses (“SG&amp;A”) is total SG&amp;A excluding allocations.</w:t>
      </w:r>
    </w:p>
    <w:p>
      <w:pPr>
        <w:spacing w:after="0" w:line="103" w:lineRule="exact"/>
        <w:rPr>
          <w:rFonts w:ascii="Arial" w:cs="Arial" w:eastAsia="Arial" w:hAnsi="Arial"/>
          <w:sz w:val="18"/>
          <w:szCs w:val="18"/>
          <w:color w:val="auto"/>
        </w:rPr>
      </w:pPr>
    </w:p>
    <w:p>
      <w:pPr>
        <w:ind w:left="1020" w:right="320" w:hanging="503"/>
        <w:spacing w:after="0" w:line="25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other segment items is the difference between segment revenue less direct cost of contracts, segment SG&amp;A expenses, equity in earnings (losses) of unconsolidated joint ventures, and Adjusted EBITDA attributable to Parsons Corporation. Other segment items primarily include:</w:t>
      </w:r>
    </w:p>
    <w:p>
      <w:pPr>
        <w:spacing w:after="0" w:line="60" w:lineRule="exact"/>
        <w:rPr>
          <w:rFonts w:ascii="Arial" w:cs="Arial" w:eastAsia="Arial" w:hAnsi="Arial"/>
          <w:sz w:val="18"/>
          <w:szCs w:val="18"/>
          <w:color w:val="auto"/>
        </w:rPr>
      </w:pPr>
    </w:p>
    <w:p>
      <w:pPr>
        <w:ind w:left="1540" w:hanging="514"/>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Corporate and shared segment SG&amp;A (excluding Adjusted EBITDA items)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Noncontrolling interests attributable to operating income and other income/expense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Bad debt expense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Sublease income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Foreign currency gain/loss, and</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Certain other income/expense items</w:t>
      </w:r>
    </w:p>
    <w:p>
      <w:pPr>
        <w:spacing w:after="0" w:line="103" w:lineRule="exact"/>
        <w:rPr>
          <w:rFonts w:ascii="Arial" w:cs="Arial" w:eastAsia="Arial" w:hAnsi="Arial"/>
          <w:sz w:val="18"/>
          <w:szCs w:val="18"/>
          <w:color w:val="auto"/>
        </w:rPr>
      </w:pPr>
    </w:p>
    <w:p>
      <w:pPr>
        <w:ind w:left="1020" w:right="720" w:hanging="503"/>
        <w:spacing w:after="0" w:line="27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45"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 initiatives.</w:t>
      </w:r>
    </w:p>
    <w:p>
      <w:pPr>
        <w:spacing w:after="0" w:line="103" w:lineRule="exact"/>
        <w:rPr>
          <w:rFonts w:ascii="Arial" w:cs="Arial" w:eastAsia="Arial" w:hAnsi="Arial"/>
          <w:sz w:val="18"/>
          <w:szCs w:val="18"/>
          <w:color w:val="auto"/>
        </w:rPr>
      </w:pPr>
    </w:p>
    <w:p>
      <w:pPr>
        <w:ind w:left="1020" w:right="720" w:hanging="503"/>
        <w:spacing w:after="0" w:line="27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Asset information by segment is not a key measure of performance used by the CODM.</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present revenues and property and equipment, net by geographic area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5"/>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8"/>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auto"/>
            </w:tcBorders>
            <w:gridSpan w:val="3"/>
          </w:tcPr>
          <w:p>
            <w:pPr>
              <w:ind w:left="40"/>
              <w:spacing w:after="0" w:line="147" w:lineRule="exact"/>
              <w:rPr>
                <w:sz w:val="20"/>
                <w:szCs w:val="20"/>
                <w:color w:val="auto"/>
              </w:rPr>
            </w:pPr>
            <w:r>
              <w:rPr>
                <w:rFonts w:ascii="Arial" w:cs="Arial" w:eastAsia="Arial" w:hAnsi="Arial"/>
                <w:sz w:val="14"/>
                <w:szCs w:val="14"/>
                <w:b w:val="1"/>
                <w:bCs w:val="1"/>
                <w:color w:val="auto"/>
              </w:rPr>
              <w:t>September 30,</w:t>
            </w:r>
          </w:p>
        </w:tc>
        <w:tc>
          <w:tcPr>
            <w:tcW w:w="1160" w:type="dxa"/>
            <w:vAlign w:val="bottom"/>
            <w:tcBorders>
              <w:top w:val="single" w:sz="8" w:color="auto"/>
            </w:tcBorders>
            <w:gridSpan w:val="3"/>
          </w:tcPr>
          <w:p>
            <w:pPr>
              <w:jc w:val="right"/>
              <w:ind w:right="39"/>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140" w:type="dxa"/>
            <w:vAlign w:val="bottom"/>
            <w:tcBorders>
              <w:top w:val="single" w:sz="8" w:color="auto"/>
            </w:tcBorders>
            <w:gridSpan w:val="5"/>
          </w:tcPr>
          <w:p>
            <w:pPr>
              <w:jc w:val="center"/>
              <w:spacing w:after="0" w:line="147" w:lineRule="exact"/>
              <w:rPr>
                <w:sz w:val="20"/>
                <w:szCs w:val="20"/>
                <w:color w:val="auto"/>
              </w:rPr>
            </w:pPr>
            <w:r>
              <w:rPr>
                <w:rFonts w:ascii="Arial" w:cs="Arial" w:eastAsia="Arial" w:hAnsi="Arial"/>
                <w:sz w:val="14"/>
                <w:szCs w:val="14"/>
                <w:b w:val="1"/>
                <w:bCs w:val="1"/>
                <w:color w:val="auto"/>
              </w:rPr>
              <w:t>September 30,</w:t>
            </w:r>
          </w:p>
        </w:tc>
        <w:tc>
          <w:tcPr>
            <w:tcW w:w="2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32"/>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North America</w:t>
            </w:r>
          </w:p>
        </w:tc>
        <w:tc>
          <w:tcPr>
            <w:tcW w:w="22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1,313,775</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1,541,209</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3,907,105</w:t>
            </w:r>
          </w:p>
        </w:tc>
        <w:tc>
          <w:tcPr>
            <w:tcW w:w="46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4,232,786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Middle East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302,886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264,437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838,656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769,421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Rest of World</w:t>
            </w: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5,087</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4,470</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14,670</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14,052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color w:val="auto"/>
              </w:rPr>
              <w:t>Total Revenue</w:t>
            </w:r>
          </w:p>
        </w:tc>
        <w:tc>
          <w:tcPr>
            <w:tcW w:w="22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1,621,748</w:t>
            </w:r>
          </w:p>
        </w:tc>
        <w:tc>
          <w:tcPr>
            <w:tcW w:w="240" w:type="dxa"/>
            <w:vAlign w:val="bottom"/>
          </w:tcPr>
          <w:p>
            <w:pPr>
              <w:spacing w:after="0"/>
              <w:rPr>
                <w:sz w:val="17"/>
                <w:szCs w:val="17"/>
                <w:color w:val="auto"/>
              </w:rPr>
            </w:pPr>
          </w:p>
        </w:tc>
        <w:tc>
          <w:tcPr>
            <w:tcW w:w="220" w:type="dxa"/>
            <w:vAlign w:val="bottom"/>
          </w:tcPr>
          <w:p>
            <w:pPr>
              <w:jc w:val="right"/>
              <w:ind w:right="16"/>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1,810,116</w:t>
            </w: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4,760,431</w:t>
            </w:r>
          </w:p>
        </w:tc>
        <w:tc>
          <w:tcPr>
            <w:tcW w:w="46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5,016,259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180" w:type="dxa"/>
            <w:vAlign w:val="bottom"/>
            <w:gridSpan w:val="5"/>
          </w:tcPr>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8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24"/>
                <w:szCs w:val="24"/>
                <w:color w:val="auto"/>
              </w:rPr>
            </w:pPr>
          </w:p>
        </w:tc>
        <w:tc>
          <w:tcPr>
            <w:tcW w:w="16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19"/>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113,585</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101,044</w:t>
            </w:r>
          </w:p>
        </w:tc>
        <w:tc>
          <w:tcPr>
            <w:tcW w:w="0" w:type="dxa"/>
            <w:vAlign w:val="bottom"/>
          </w:tcPr>
          <w:p>
            <w:pPr>
              <w:spacing w:after="0"/>
              <w:rPr>
                <w:sz w:val="1"/>
                <w:szCs w:val="1"/>
                <w:color w:val="auto"/>
              </w:rPr>
            </w:pPr>
          </w:p>
        </w:tc>
      </w:tr>
      <w:tr>
        <w:trPr>
          <w:trHeight w:val="203"/>
        </w:trPr>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Middle East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12,282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 Net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9"/>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125,867</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111,575</w:t>
            </w: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-1259205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-1259205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-1259205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-1259205</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40" w:firstLine="636"/>
        <w:spacing w:after="0" w:line="255" w:lineRule="auto"/>
        <w:rPr>
          <w:sz w:val="20"/>
          <w:szCs w:val="20"/>
          <w:color w:val="auto"/>
        </w:rPr>
      </w:pPr>
      <w:r>
        <w:rPr>
          <w:rFonts w:ascii="Arial" w:cs="Arial" w:eastAsia="Arial" w:hAnsi="Arial"/>
          <w:sz w:val="18"/>
          <w:szCs w:val="18"/>
          <w:color w:val="auto"/>
        </w:rPr>
        <w:t>North America includes revenue in the United States for the three months ended September 30, 2025 and September 30, 2024 of $1.2 billion and $1.4 billion, respectively and $3.5 billion and $3.9 billion for the nine months ended September 30, 2025 and September 30,</w:t>
      </w:r>
    </w:p>
    <w:p>
      <w:pPr>
        <w:spacing w:after="0" w:line="2"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2024, respectively. North America property and equipment, net includes $106.0 million and $94.0 million of property and equipment, net in the United States at September 30, 2025 and December 31, 2024, respectively.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14"/>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32"/>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14"/>
              <w:spacing w:after="0" w:line="147" w:lineRule="exact"/>
              <w:rPr>
                <w:sz w:val="20"/>
                <w:szCs w:val="20"/>
                <w:color w:val="auto"/>
              </w:rPr>
            </w:pPr>
            <w:r>
              <w:rPr>
                <w:rFonts w:ascii="Arial" w:cs="Arial" w:eastAsia="Arial" w:hAnsi="Arial"/>
                <w:sz w:val="14"/>
                <w:szCs w:val="14"/>
                <w:b w:val="1"/>
                <w:bCs w:val="1"/>
                <w:color w:val="auto"/>
              </w:rPr>
              <w:t>September 30,</w:t>
            </w: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12"/>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Defense and Intelligence</w:t>
            </w:r>
          </w:p>
        </w:tc>
        <w:tc>
          <w:tcPr>
            <w:tcW w:w="11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468,935</w:t>
            </w:r>
          </w:p>
        </w:tc>
        <w:tc>
          <w:tcPr>
            <w:tcW w:w="46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459,318</w:t>
            </w:r>
          </w:p>
        </w:tc>
        <w:tc>
          <w:tcPr>
            <w:tcW w:w="46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1,369,832</w:t>
            </w:r>
          </w:p>
        </w:tc>
        <w:tc>
          <w:tcPr>
            <w:tcW w:w="46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1,288,102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300"/>
              <w:spacing w:after="0" w:line="202" w:lineRule="exact"/>
              <w:rPr>
                <w:sz w:val="20"/>
                <w:szCs w:val="20"/>
                <w:color w:val="auto"/>
              </w:rPr>
            </w:pPr>
            <w:r>
              <w:rPr>
                <w:rFonts w:ascii="Arial" w:cs="Arial" w:eastAsia="Arial" w:hAnsi="Arial"/>
                <w:sz w:val="18"/>
                <w:szCs w:val="18"/>
                <w:color w:val="auto"/>
              </w:rPr>
              <w:t>Engineered Systems</w:t>
            </w:r>
          </w:p>
        </w:tc>
        <w:tc>
          <w:tcPr>
            <w:tcW w:w="8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319,672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646,262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1,066,796</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1,715,689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Federal Solutions revenues</w:t>
            </w:r>
          </w:p>
        </w:tc>
        <w:tc>
          <w:tcPr>
            <w:tcW w:w="8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788,607</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1,105,580</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2,436,628</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3,003,791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ind w:left="300"/>
              <w:spacing w:after="0" w:line="196" w:lineRule="exact"/>
              <w:rPr>
                <w:sz w:val="20"/>
                <w:szCs w:val="20"/>
                <w:color w:val="auto"/>
              </w:rPr>
            </w:pPr>
            <w:r>
              <w:rPr>
                <w:rFonts w:ascii="Arial" w:cs="Arial" w:eastAsia="Arial" w:hAnsi="Arial"/>
                <w:sz w:val="18"/>
                <w:szCs w:val="18"/>
                <w:color w:val="auto"/>
              </w:rPr>
              <w:t>Infrastructure – North America</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528,564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438,307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1,479,720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1,237,752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CFF0FC"/>
            </w:tcBorders>
            <w:shd w:val="clear" w:color="auto" w:fill="CFF0FC"/>
          </w:tcPr>
          <w:p>
            <w:pPr>
              <w:ind w:left="300"/>
              <w:spacing w:after="0" w:line="202" w:lineRule="exact"/>
              <w:rPr>
                <w:sz w:val="20"/>
                <w:szCs w:val="20"/>
                <w:color w:val="auto"/>
              </w:rPr>
            </w:pPr>
            <w:r>
              <w:rPr>
                <w:rFonts w:ascii="Arial" w:cs="Arial" w:eastAsia="Arial" w:hAnsi="Arial"/>
                <w:sz w:val="18"/>
                <w:szCs w:val="18"/>
                <w:color w:val="auto"/>
              </w:rPr>
              <w:t>Infrastructure – Europe, Middle East and Africa</w:t>
            </w:r>
          </w:p>
        </w:tc>
        <w:tc>
          <w:tcPr>
            <w:tcW w:w="8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304,577</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266,229</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844,083</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774,716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Pr>
          <w:p>
            <w:pPr>
              <w:ind w:left="160"/>
              <w:spacing w:after="0" w:line="196" w:lineRule="exact"/>
              <w:rPr>
                <w:sz w:val="20"/>
                <w:szCs w:val="20"/>
                <w:color w:val="auto"/>
              </w:rPr>
            </w:pPr>
            <w:r>
              <w:rPr>
                <w:rFonts w:ascii="Arial" w:cs="Arial" w:eastAsia="Arial" w:hAnsi="Arial"/>
                <w:sz w:val="18"/>
                <w:szCs w:val="18"/>
                <w:color w:val="auto"/>
              </w:rPr>
              <w:t>Critical Infrastructure revenues</w:t>
            </w:r>
          </w:p>
        </w:tc>
        <w:tc>
          <w:tcPr>
            <w:tcW w:w="8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833,141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704,536</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2,323,803</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2,012,468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Revenue</w:t>
            </w:r>
          </w:p>
        </w:tc>
        <w:tc>
          <w:tcPr>
            <w:tcW w:w="110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1,621,748</w:t>
            </w:r>
          </w:p>
        </w:tc>
        <w:tc>
          <w:tcPr>
            <w:tcW w:w="460" w:type="dxa"/>
            <w:vAlign w:val="bottom"/>
            <w:gridSpan w:val="2"/>
            <w:shd w:val="clear" w:color="auto" w:fill="CFF0FC"/>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1,810,116</w:t>
            </w:r>
          </w:p>
        </w:tc>
        <w:tc>
          <w:tcPr>
            <w:tcW w:w="46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4,760,431</w:t>
            </w:r>
          </w:p>
        </w:tc>
        <w:tc>
          <w:tcPr>
            <w:tcW w:w="460" w:type="dxa"/>
            <w:vAlign w:val="bottom"/>
            <w:gridSpan w:val="2"/>
            <w:shd w:val="clear" w:color="auto" w:fill="CFF0FC"/>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5,016,259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-565150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-565150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-565150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-299720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-299720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-299720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12" w:lineRule="exact"/>
        <w:rPr>
          <w:sz w:val="20"/>
          <w:szCs w:val="20"/>
          <w:color w:val="auto"/>
        </w:rPr>
      </w:pPr>
    </w:p>
    <w:p>
      <w:pPr>
        <w:ind w:right="20" w:firstLine="636"/>
        <w:spacing w:after="0" w:line="244" w:lineRule="auto"/>
        <w:rPr>
          <w:sz w:val="20"/>
          <w:szCs w:val="20"/>
          <w:color w:val="auto"/>
        </w:rPr>
      </w:pPr>
      <w:r>
        <w:rPr>
          <w:rFonts w:ascii="Arial" w:cs="Arial" w:eastAsia="Arial" w:hAnsi="Arial"/>
          <w:sz w:val="18"/>
          <w:szCs w:val="18"/>
          <w:color w:val="auto"/>
        </w:rPr>
        <w:t>After the quarter ended September 30, 2025, the Company entered into a merger agreement to acquire a 100% ownership interest in Applied Sciences Consulting, Inc. ("Applied Sciences") for approximately $28 million from cash on hand. Headquartered in Tampa, Florida, Applied Sciences works closely with agencies across Florida to deliver solutions that protect and advance the region’s water infrastructure resilience. At the time of the filing of this Form 10-Q, the Company has just started the process of obtaining the relevant data to make the required acquisition related disclosures. This acquisition is not material to the Company's consolidated financial statements.</w:t>
      </w:r>
    </w:p>
    <w:p>
      <w:pPr>
        <w:spacing w:after="0" w:line="284"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 Unaudited</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selected quarterly financial information (in thousands except per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Before Adoption of ASU 2024-</w:t>
            </w:r>
          </w:p>
        </w:tc>
        <w:tc>
          <w:tcPr>
            <w:tcW w:w="23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After Adoption of ASU 2024-04</w:t>
            </w:r>
          </w:p>
        </w:tc>
      </w:tr>
      <w:tr>
        <w:trPr>
          <w:trHeight w:val="162"/>
        </w:trPr>
        <w:tc>
          <w:tcPr>
            <w:tcW w:w="4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jc w:val="center"/>
              <w:ind w:right="188"/>
              <w:spacing w:after="0"/>
              <w:rPr>
                <w:sz w:val="20"/>
                <w:szCs w:val="20"/>
                <w:color w:val="auto"/>
              </w:rPr>
            </w:pPr>
            <w:r>
              <w:rPr>
                <w:rFonts w:ascii="Arial" w:cs="Arial" w:eastAsia="Arial" w:hAnsi="Arial"/>
                <w:sz w:val="14"/>
                <w:szCs w:val="14"/>
                <w:b w:val="1"/>
                <w:bCs w:val="1"/>
                <w:color w:val="auto"/>
              </w:rPr>
              <w:t>04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2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4"/>
                <w:szCs w:val="14"/>
                <w:color w:val="auto"/>
              </w:rPr>
            </w:pPr>
          </w:p>
        </w:tc>
      </w:tr>
      <w:tr>
        <w:trPr>
          <w:trHeight w:val="155"/>
        </w:trPr>
        <w:tc>
          <w:tcPr>
            <w:tcW w:w="48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Federal Solutions revenue</w:t>
            </w:r>
          </w:p>
        </w:tc>
        <w:tc>
          <w:tcPr>
            <w:tcW w:w="186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3,003,791</w:t>
            </w: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3,003,791</w:t>
            </w:r>
          </w:p>
        </w:tc>
        <w:tc>
          <w:tcPr>
            <w:tcW w:w="100" w:type="dxa"/>
            <w:vAlign w:val="bottom"/>
            <w:shd w:val="clear" w:color="auto" w:fill="CFF0FC"/>
          </w:tcPr>
          <w:p>
            <w:pPr>
              <w:spacing w:after="0"/>
              <w:rPr>
                <w:sz w:val="13"/>
                <w:szCs w:val="13"/>
                <w:color w:val="auto"/>
              </w:rPr>
            </w:pPr>
          </w:p>
        </w:tc>
      </w:tr>
      <w:tr>
        <w:trPr>
          <w:trHeight w:val="162"/>
        </w:trPr>
        <w:tc>
          <w:tcPr>
            <w:tcW w:w="4840" w:type="dxa"/>
            <w:vAlign w:val="bottom"/>
          </w:tcPr>
          <w:p>
            <w:pPr>
              <w:spacing w:after="0"/>
              <w:rPr>
                <w:sz w:val="20"/>
                <w:szCs w:val="20"/>
                <w:color w:val="auto"/>
              </w:rPr>
            </w:pPr>
            <w:r>
              <w:rPr>
                <w:rFonts w:ascii="Arial" w:cs="Arial" w:eastAsia="Arial" w:hAnsi="Arial"/>
                <w:sz w:val="14"/>
                <w:szCs w:val="14"/>
                <w:color w:val="auto"/>
              </w:rPr>
              <w:t>Critical Infrastructure revenue</w:t>
            </w:r>
          </w:p>
        </w:tc>
        <w:tc>
          <w:tcPr>
            <w:tcW w:w="1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2,012,468</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2,012,468</w:t>
            </w:r>
          </w:p>
        </w:tc>
        <w:tc>
          <w:tcPr>
            <w:tcW w:w="100" w:type="dxa"/>
            <w:vAlign w:val="bottom"/>
          </w:tcPr>
          <w:p>
            <w:pPr>
              <w:spacing w:after="0"/>
              <w:rPr>
                <w:sz w:val="14"/>
                <w:szCs w:val="14"/>
                <w:color w:val="auto"/>
              </w:rPr>
            </w:pPr>
          </w:p>
        </w:tc>
      </w:tr>
      <w:tr>
        <w:trPr>
          <w:trHeight w:val="155"/>
        </w:trPr>
        <w:tc>
          <w:tcPr>
            <w:tcW w:w="48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revenue</w:t>
            </w:r>
          </w:p>
        </w:tc>
        <w:tc>
          <w:tcPr>
            <w:tcW w:w="1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5,016,259</w:t>
            </w: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5,016,259</w:t>
            </w:r>
          </w:p>
        </w:tc>
        <w:tc>
          <w:tcPr>
            <w:tcW w:w="100" w:type="dxa"/>
            <w:vAlign w:val="bottom"/>
            <w:shd w:val="clear" w:color="auto" w:fill="CFF0FC"/>
          </w:tcPr>
          <w:p>
            <w:pPr>
              <w:spacing w:after="0"/>
              <w:rPr>
                <w:sz w:val="13"/>
                <w:szCs w:val="13"/>
                <w:color w:val="auto"/>
              </w:rPr>
            </w:pPr>
          </w:p>
        </w:tc>
      </w:tr>
      <w:tr>
        <w:trPr>
          <w:trHeight w:val="162"/>
        </w:trPr>
        <w:tc>
          <w:tcPr>
            <w:tcW w:w="4840" w:type="dxa"/>
            <w:vAlign w:val="bottom"/>
          </w:tcPr>
          <w:p>
            <w:pPr>
              <w:spacing w:after="0"/>
              <w:rPr>
                <w:sz w:val="20"/>
                <w:szCs w:val="20"/>
                <w:color w:val="auto"/>
              </w:rPr>
            </w:pPr>
            <w:r>
              <w:rPr>
                <w:rFonts w:ascii="Arial" w:cs="Arial" w:eastAsia="Arial" w:hAnsi="Arial"/>
                <w:sz w:val="14"/>
                <w:szCs w:val="14"/>
                <w:color w:val="auto"/>
              </w:rPr>
              <w:t>Operating income</w:t>
            </w: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328,254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328,254</w:t>
            </w:r>
          </w:p>
        </w:tc>
        <w:tc>
          <w:tcPr>
            <w:tcW w:w="100" w:type="dxa"/>
            <w:vAlign w:val="bottom"/>
          </w:tcPr>
          <w:p>
            <w:pPr>
              <w:spacing w:after="0"/>
              <w:rPr>
                <w:sz w:val="14"/>
                <w:szCs w:val="14"/>
                <w:color w:val="auto"/>
              </w:rPr>
            </w:pPr>
          </w:p>
        </w:tc>
      </w:tr>
      <w:tr>
        <w:trPr>
          <w:trHeight w:val="162"/>
        </w:trPr>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Convertible debt repurchase loss (1)</w:t>
            </w:r>
          </w:p>
        </w:tc>
        <w:tc>
          <w:tcPr>
            <w:tcW w:w="1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(211,018)</w:t>
            </w:r>
          </w:p>
        </w:tc>
        <w:tc>
          <w:tcPr>
            <w:tcW w:w="260" w:type="dxa"/>
            <w:vAlign w:val="bottom"/>
            <w:shd w:val="clear" w:color="auto" w:fill="CFF0FC"/>
          </w:tcPr>
          <w:p>
            <w:pPr>
              <w:spacing w:after="0"/>
              <w:rPr>
                <w:sz w:val="14"/>
                <w:szCs w:val="14"/>
                <w:color w:val="auto"/>
              </w:rPr>
            </w:pPr>
          </w:p>
        </w:tc>
        <w:tc>
          <w:tcPr>
            <w:tcW w:w="2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(18,355)</w:t>
            </w:r>
          </w:p>
        </w:tc>
      </w:tr>
      <w:tr>
        <w:trPr>
          <w:trHeight w:val="162"/>
        </w:trPr>
        <w:tc>
          <w:tcPr>
            <w:tcW w:w="4840" w:type="dxa"/>
            <w:vAlign w:val="bottom"/>
          </w:tcPr>
          <w:p>
            <w:pPr>
              <w:spacing w:after="0"/>
              <w:rPr>
                <w:sz w:val="20"/>
                <w:szCs w:val="20"/>
                <w:color w:val="auto"/>
              </w:rPr>
            </w:pPr>
            <w:r>
              <w:rPr>
                <w:rFonts w:ascii="Arial" w:cs="Arial" w:eastAsia="Arial" w:hAnsi="Arial"/>
                <w:sz w:val="14"/>
                <w:szCs w:val="14"/>
                <w:color w:val="auto"/>
              </w:rPr>
              <w:t>Income tax expense (1)</w:t>
            </w: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jc w:val="right"/>
              <w:ind w:right="240"/>
              <w:spacing w:after="0"/>
              <w:rPr>
                <w:sz w:val="20"/>
                <w:szCs w:val="20"/>
                <w:color w:val="auto"/>
              </w:rPr>
            </w:pPr>
            <w:r>
              <w:rPr>
                <w:rFonts w:ascii="Arial" w:cs="Arial" w:eastAsia="Arial" w:hAnsi="Arial"/>
                <w:sz w:val="14"/>
                <w:szCs w:val="14"/>
                <w:color w:val="auto"/>
              </w:rPr>
              <w:t>(12,699)</w:t>
            </w:r>
          </w:p>
        </w:tc>
        <w:tc>
          <w:tcPr>
            <w:tcW w:w="260" w:type="dxa"/>
            <w:vAlign w:val="bottom"/>
          </w:tcPr>
          <w:p>
            <w:pPr>
              <w:spacing w:after="0"/>
              <w:rPr>
                <w:sz w:val="14"/>
                <w:szCs w:val="14"/>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4"/>
                <w:szCs w:val="14"/>
                <w:color w:val="auto"/>
              </w:rPr>
              <w:t>(58,257)</w:t>
            </w:r>
          </w:p>
        </w:tc>
      </w:tr>
      <w:tr>
        <w:trPr>
          <w:trHeight w:val="162"/>
        </w:trPr>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Net income attributable to Parsons Corporation (1)</w:t>
            </w:r>
          </w:p>
        </w:tc>
        <w:tc>
          <w:tcPr>
            <w:tcW w:w="1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33,768</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180,873</w:t>
            </w:r>
          </w:p>
        </w:tc>
        <w:tc>
          <w:tcPr>
            <w:tcW w:w="100" w:type="dxa"/>
            <w:vAlign w:val="bottom"/>
            <w:shd w:val="clear" w:color="auto" w:fill="CFF0FC"/>
          </w:tcPr>
          <w:p>
            <w:pPr>
              <w:spacing w:after="0"/>
              <w:rPr>
                <w:sz w:val="14"/>
                <w:szCs w:val="14"/>
                <w:color w:val="auto"/>
              </w:rPr>
            </w:pPr>
          </w:p>
        </w:tc>
      </w:tr>
      <w:tr>
        <w:trPr>
          <w:trHeight w:val="162"/>
        </w:trPr>
        <w:tc>
          <w:tcPr>
            <w:tcW w:w="4840" w:type="dxa"/>
            <w:vAlign w:val="bottom"/>
          </w:tcPr>
          <w:p>
            <w:pPr>
              <w:spacing w:after="0"/>
              <w:rPr>
                <w:sz w:val="20"/>
                <w:szCs w:val="20"/>
                <w:color w:val="auto"/>
              </w:rPr>
            </w:pPr>
            <w:r>
              <w:rPr>
                <w:rFonts w:ascii="Arial" w:cs="Arial" w:eastAsia="Arial" w:hAnsi="Arial"/>
                <w:sz w:val="14"/>
                <w:szCs w:val="14"/>
                <w:color w:val="auto"/>
              </w:rPr>
              <w:t>Earnings per share:</w:t>
            </w: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840" w:type="dxa"/>
            <w:vAlign w:val="bottom"/>
            <w:shd w:val="clear" w:color="auto" w:fill="CFF0FC"/>
          </w:tcPr>
          <w:p>
            <w:pPr>
              <w:ind w:left="60"/>
              <w:spacing w:after="0"/>
              <w:rPr>
                <w:sz w:val="20"/>
                <w:szCs w:val="20"/>
                <w:color w:val="auto"/>
              </w:rPr>
            </w:pPr>
            <w:r>
              <w:rPr>
                <w:rFonts w:ascii="Arial" w:cs="Arial" w:eastAsia="Arial" w:hAnsi="Arial"/>
                <w:sz w:val="14"/>
                <w:szCs w:val="14"/>
                <w:color w:val="auto"/>
              </w:rPr>
              <w:t>Basic</w:t>
            </w:r>
          </w:p>
        </w:tc>
        <w:tc>
          <w:tcPr>
            <w:tcW w:w="18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0.32</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FF0FC"/>
          </w:tcPr>
          <w:p>
            <w:pPr>
              <w:spacing w:after="0"/>
              <w:rPr>
                <w:sz w:val="14"/>
                <w:szCs w:val="14"/>
                <w:color w:val="auto"/>
              </w:rPr>
            </w:pPr>
          </w:p>
        </w:tc>
      </w:tr>
      <w:tr>
        <w:trPr>
          <w:trHeight w:val="190"/>
        </w:trPr>
        <w:tc>
          <w:tcPr>
            <w:tcW w:w="4840" w:type="dxa"/>
            <w:vAlign w:val="bottom"/>
          </w:tcPr>
          <w:p>
            <w:pPr>
              <w:ind w:left="60"/>
              <w:spacing w:after="0"/>
              <w:rPr>
                <w:sz w:val="20"/>
                <w:szCs w:val="20"/>
                <w:color w:val="auto"/>
              </w:rPr>
            </w:pPr>
            <w:r>
              <w:rPr>
                <w:rFonts w:ascii="Arial" w:cs="Arial" w:eastAsia="Arial" w:hAnsi="Arial"/>
                <w:sz w:val="14"/>
                <w:szCs w:val="14"/>
                <w:color w:val="auto"/>
              </w:rPr>
              <w:t>Diluted (2)</w:t>
            </w:r>
          </w:p>
        </w:tc>
        <w:tc>
          <w:tcPr>
            <w:tcW w:w="18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0.31</w:t>
            </w:r>
          </w:p>
        </w:tc>
        <w:tc>
          <w:tcPr>
            <w:tcW w:w="3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left="-20" w:firstLine="652"/>
        <w:spacing w:after="0" w:line="234" w:lineRule="auto"/>
        <w:tabs>
          <w:tab w:leader="none" w:pos="740" w:val="left"/>
        </w:tabs>
        <w:numPr>
          <w:ilvl w:val="0"/>
          <w:numId w:val="31"/>
        </w:numPr>
        <w:rPr>
          <w:rFonts w:ascii="Arial" w:cs="Arial" w:eastAsia="Arial" w:hAnsi="Arial"/>
          <w:sz w:val="24"/>
          <w:szCs w:val="24"/>
          <w:color w:val="auto"/>
          <w:vertAlign w:val="superscript"/>
        </w:rPr>
      </w:pPr>
      <w:r>
        <w:rPr>
          <w:rFonts w:ascii="Arial" w:cs="Arial" w:eastAsia="Arial" w:hAnsi="Arial"/>
          <w:sz w:val="16"/>
          <w:szCs w:val="16"/>
          <w:color w:val="auto"/>
        </w:rPr>
        <w:t>Presents the revised quarterly financial data resulting from the adoption of Accounting Standards Update (“ASU”) 2024-04 as of January 1, 2024 on a prospective basis. As a result of the adoption of ASU 2024-04, the Company reversed a loss on extinguishment of debt for the partial repurchase of the Convertible Senior Notes due 2025 and recorded the repurchase transaction as an induced conversion. This change from extinguishment to inducement accounting resulted in the Company (i.) reversing the $211.0 million loss and the related $49.9 million tax benefit on extinguishment of debt, recorded in Q1 2024, (ii.) recording a $18.4 million convertible debt repurchase loss, (iii.) the difference between the extinguishment loss and inducement expense of $192.6 million recorded to equity, and (iv.) the related tax benefit of $45.6 million recorded to equity. See "Note 2—Basis of Presentation and Principles of Consolidation" for a further discussion of the first quarter 2024 extinguishment accounting and subsequent change to inducement accounting.</w:t>
      </w:r>
    </w:p>
    <w:p>
      <w:pPr>
        <w:spacing w:after="0" w:line="99" w:lineRule="exact"/>
        <w:rPr>
          <w:sz w:val="20"/>
          <w:szCs w:val="20"/>
          <w:color w:val="auto"/>
        </w:rPr>
      </w:pPr>
    </w:p>
    <w:p>
      <w:pPr>
        <w:ind w:left="-20" w:right="100" w:firstLine="652"/>
        <w:spacing w:after="0" w:line="235" w:lineRule="auto"/>
        <w:tabs>
          <w:tab w:leader="none" w:pos="729"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Diluted earnings per share prior to the adoption of ASU 2024-04 did not include certain adjustments as their inclusion would have been antidilutive. Subsequent to the adoption of ASU 2024-04 these adjustments are no longer antidilutive. Dilutive adjustments include if converted interest of $2.9 million, 1.6 million shares related to stock based awards and 4.0 million shares related to convertible senior notes. Inclusion of these dilution adjustments resulted in dilutive net income attributable to Parsons Corporation of $183.7 million and total diluted shares of 112.2 million for the nine months ended September 30, 2024.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3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636"/>
        <w:spacing w:after="0" w:line="246"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2024. Certain amounts may not foot due to rounding.</w:t>
      </w:r>
    </w:p>
    <w:p>
      <w:pPr>
        <w:spacing w:after="0" w:line="177" w:lineRule="exact"/>
        <w:rPr>
          <w:sz w:val="20"/>
          <w:szCs w:val="20"/>
          <w:color w:val="auto"/>
        </w:rPr>
      </w:pPr>
    </w:p>
    <w:p>
      <w:pPr>
        <w:ind w:right="20" w:firstLine="636"/>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2024.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144780</wp:posOffset>
            </wp:positionV>
            <wp:extent cx="6172200" cy="3471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9"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9" w:name="page40"/>
    <w:bookmarkEnd w:id="39"/>
    <w:p>
      <w:pPr>
        <w:spacing w:after="0" w:line="271" w:lineRule="auto"/>
        <w:rPr>
          <w:sz w:val="20"/>
          <w:szCs w:val="20"/>
          <w:color w:val="auto"/>
        </w:rPr>
      </w:pPr>
      <w:r>
        <w:rPr>
          <w:rFonts w:ascii="Arial" w:cs="Arial" w:eastAsia="Arial" w:hAnsi="Arial"/>
          <w:sz w:val="18"/>
          <w:szCs w:val="18"/>
          <w:color w:val="auto"/>
        </w:rPr>
        <w:t>entity. In addition to focusing on increasing our revenues through increased contract awards and backlog, we focus our financial performance on margin expansion and cash flow.</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260" w:firstLine="636"/>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113665</wp:posOffset>
            </wp:positionV>
            <wp:extent cx="85725" cy="1454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113665</wp:posOffset>
            </wp:positionV>
            <wp:extent cx="85725" cy="1454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5"/>
                <w:szCs w:val="15"/>
                <w:color w:val="auto"/>
              </w:rPr>
            </w:pPr>
          </w:p>
        </w:tc>
      </w:tr>
      <w:tr>
        <w:trPr>
          <w:trHeight w:val="196"/>
        </w:trPr>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Awards (year to date)</w:t>
            </w:r>
          </w:p>
        </w:tc>
        <w:tc>
          <w:tcPr>
            <w:tcW w:w="2760" w:type="dxa"/>
            <w:vAlign w:val="bottom"/>
            <w:gridSpan w:val="2"/>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4,865,560</w:t>
            </w:r>
          </w:p>
        </w:tc>
        <w:tc>
          <w:tcPr>
            <w:tcW w:w="640" w:type="dxa"/>
            <w:vAlign w:val="bottom"/>
            <w:gridSpan w:val="3"/>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5,367,109</w:t>
            </w:r>
          </w:p>
        </w:tc>
        <w:tc>
          <w:tcPr>
            <w:tcW w:w="100" w:type="dxa"/>
            <w:vAlign w:val="bottom"/>
            <w:shd w:val="clear" w:color="auto" w:fill="CFF0FC"/>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Backlog (1)</w:t>
            </w:r>
          </w:p>
        </w:tc>
        <w:tc>
          <w:tcPr>
            <w:tcW w:w="276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8,832,447</w:t>
            </w:r>
          </w:p>
        </w:tc>
        <w:tc>
          <w:tcPr>
            <w:tcW w:w="640" w:type="dxa"/>
            <w:vAlign w:val="bottom"/>
            <w:gridSpan w:val="3"/>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8,784,047</w:t>
            </w:r>
          </w:p>
        </w:tc>
        <w:tc>
          <w:tcPr>
            <w:tcW w:w="100" w:type="dxa"/>
            <w:vAlign w:val="bottom"/>
          </w:tcPr>
          <w:p>
            <w:pPr>
              <w:spacing w:after="0"/>
              <w:rPr>
                <w:sz w:val="17"/>
                <w:szCs w:val="17"/>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Book-to-Bill (year to date)</w:t>
            </w:r>
          </w:p>
        </w:tc>
        <w:tc>
          <w:tcPr>
            <w:tcW w:w="23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jc w:val="both"/>
        <w:ind w:left="660" w:right="60" w:hanging="652"/>
        <w:spacing w:after="0" w:line="25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Difference between our backlog of $8.8 billion and our remaining unsatisfied performance obligations, or RUPO, of $7.0 billion, each as of September 30, 2025, is due to (i) unissued task orders and unexercised option years, to the extent their issuance or exercise is probable, as well as (ii) contract awards, to the extent we believe contract execution and funding is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240" w:firstLine="636"/>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3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08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71"/>
        </w:trPr>
        <w:tc>
          <w:tcPr>
            <w:tcW w:w="3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3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880" w:type="dxa"/>
            <w:vAlign w:val="bottom"/>
            <w:gridSpan w:val="2"/>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649,692</w:t>
            </w:r>
          </w:p>
        </w:tc>
        <w:tc>
          <w:tcPr>
            <w:tcW w:w="38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1,012,432</w:t>
            </w:r>
          </w:p>
        </w:tc>
        <w:tc>
          <w:tcPr>
            <w:tcW w:w="38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2,045,171</w:t>
            </w:r>
          </w:p>
        </w:tc>
        <w:tc>
          <w:tcPr>
            <w:tcW w:w="40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3,100,242</w:t>
            </w:r>
          </w:p>
        </w:tc>
        <w:tc>
          <w:tcPr>
            <w:tcW w:w="100" w:type="dxa"/>
            <w:vAlign w:val="bottom"/>
            <w:shd w:val="clear" w:color="auto" w:fill="CFF0FC"/>
          </w:tcPr>
          <w:p>
            <w:pPr>
              <w:spacing w:after="0"/>
              <w:rPr>
                <w:sz w:val="17"/>
                <w:szCs w:val="17"/>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1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943,317</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772,304</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2,820,389</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2,266,867</w:t>
            </w:r>
          </w:p>
        </w:tc>
        <w:tc>
          <w:tcPr>
            <w:tcW w:w="100" w:type="dxa"/>
            <w:vAlign w:val="bottom"/>
          </w:tcPr>
          <w:p>
            <w:pPr>
              <w:spacing w:after="0"/>
              <w:rPr>
                <w:sz w:val="17"/>
                <w:szCs w:val="17"/>
                <w:color w:val="auto"/>
              </w:rPr>
            </w:pPr>
          </w:p>
        </w:tc>
      </w:tr>
      <w:tr>
        <w:trPr>
          <w:trHeight w:val="216"/>
        </w:trPr>
        <w:tc>
          <w:tcPr>
            <w:tcW w:w="3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Awards</w:t>
            </w:r>
          </w:p>
        </w:tc>
        <w:tc>
          <w:tcPr>
            <w:tcW w:w="16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1,593,009</w:t>
            </w:r>
          </w:p>
        </w:tc>
        <w:tc>
          <w:tcPr>
            <w:tcW w:w="38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1,784,736</w:t>
            </w:r>
          </w:p>
        </w:tc>
        <w:tc>
          <w:tcPr>
            <w:tcW w:w="38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4,865,560</w:t>
            </w:r>
          </w:p>
        </w:tc>
        <w:tc>
          <w:tcPr>
            <w:tcW w:w="40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5,367,109</w:t>
            </w:r>
          </w:p>
        </w:tc>
        <w:tc>
          <w:tcPr>
            <w:tcW w:w="100" w:type="dxa"/>
            <w:vAlign w:val="bottom"/>
            <w:shd w:val="clear" w:color="auto" w:fill="CFF0FC"/>
          </w:tcPr>
          <w:p>
            <w:pPr>
              <w:spacing w:after="0"/>
              <w:rPr>
                <w:sz w:val="18"/>
                <w:szCs w:val="18"/>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-25400</wp:posOffset>
            </wp:positionV>
            <wp:extent cx="596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596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596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96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0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03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4"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w:t>
      </w:r>
    </w:p>
    <w:p>
      <w:pPr>
        <w:spacing w:after="0" w:line="140" w:lineRule="exact"/>
        <w:rPr>
          <w:sz w:val="20"/>
          <w:szCs w:val="20"/>
          <w:color w:val="auto"/>
        </w:rPr>
      </w:pPr>
    </w:p>
    <w:p>
      <w:pPr>
        <w:ind w:right="100" w:firstLine="636"/>
        <w:spacing w:after="0" w:line="242" w:lineRule="auto"/>
        <w:rPr>
          <w:sz w:val="20"/>
          <w:szCs w:val="20"/>
          <w:color w:val="auto"/>
        </w:rPr>
      </w:pPr>
      <w:r>
        <w:rPr>
          <w:rFonts w:ascii="Arial" w:cs="Arial" w:eastAsia="Arial" w:hAnsi="Arial"/>
          <w:sz w:val="18"/>
          <w:szCs w:val="18"/>
          <w:color w:val="auto"/>
        </w:rPr>
        <w:t>The increase in awards for the three and nine months ended September 30, 2025 in our Critical Infrastructure segment when compared to the corresponding period last year was primarily driven by an overall increase in awards in the current year periods. Critical Infrastructure awards for the three months ended September 30, 2024 included a significant design award. The decrease in awards for the three and nine months ended September 30, 2025 in our Federal Solutions segment when compared to the corresponding periods last year was primarily driven by a delay in the timing of awards of a number of contracts being pursued. Awards for the three and nine months ended September 30, 2024 included significant option period awards from the confidential contract in the Federal Solutions segment.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900" w:right="580" w:hanging="263"/>
        <w:spacing w:after="0" w:line="270"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future revenue anticipated from orders for services under existing contracts for which funding is appropriated or otherwise authorized.</w:t>
      </w:r>
    </w:p>
    <w:p>
      <w:pPr>
        <w:spacing w:after="0" w:line="46"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future revenue anticipated from orders for services under existing contracts for which funding has not been appropriated or otherwise authorized.</w:t>
      </w:r>
    </w:p>
    <w:p>
      <w:pPr>
        <w:spacing w:after="0" w:line="154" w:lineRule="exact"/>
        <w:rPr>
          <w:sz w:val="20"/>
          <w:szCs w:val="20"/>
          <w:color w:val="auto"/>
        </w:rPr>
      </w:pPr>
    </w:p>
    <w:p>
      <w:pPr>
        <w:ind w:right="160" w:firstLine="636"/>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5633085</wp:posOffset>
            </wp:positionH>
            <wp:positionV relativeFrom="paragraph">
              <wp:posOffset>150495</wp:posOffset>
            </wp:positionV>
            <wp:extent cx="85090" cy="1454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090" cy="14541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150495</wp:posOffset>
            </wp:positionV>
            <wp:extent cx="85725" cy="145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840" w:type="dxa"/>
            <w:vAlign w:val="bottom"/>
            <w:vMerge w:val="restart"/>
          </w:tcPr>
          <w:p>
            <w:pPr>
              <w:spacing w:after="0"/>
              <w:rPr>
                <w:sz w:val="20"/>
                <w:szCs w:val="20"/>
                <w:color w:val="auto"/>
              </w:rPr>
            </w:pPr>
            <w:r>
              <w:rPr>
                <w:rFonts w:ascii="Arial" w:cs="Arial" w:eastAsia="Arial" w:hAnsi="Arial"/>
                <w:sz w:val="18"/>
                <w:szCs w:val="18"/>
                <w:color w:val="auto"/>
              </w:rPr>
              <w:t>Federal Solutions:</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2025</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Funded</w:t>
            </w:r>
          </w:p>
        </w:tc>
        <w:tc>
          <w:tcPr>
            <w:tcW w:w="380" w:type="dxa"/>
            <w:vAlign w:val="bottom"/>
            <w:shd w:val="clear" w:color="auto" w:fill="CFF0FC"/>
          </w:tcPr>
          <w:p>
            <w:pPr>
              <w:jc w:val="right"/>
              <w:ind w:right="196"/>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1,897,010</w:t>
            </w:r>
          </w:p>
        </w:tc>
        <w:tc>
          <w:tcPr>
            <w:tcW w:w="8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1,982,336</w:t>
            </w:r>
          </w:p>
        </w:tc>
        <w:tc>
          <w:tcPr>
            <w:tcW w:w="0" w:type="dxa"/>
            <w:vAlign w:val="bottom"/>
          </w:tcPr>
          <w:p>
            <w:pPr>
              <w:spacing w:after="0"/>
              <w:rPr>
                <w:sz w:val="1"/>
                <w:szCs w:val="1"/>
                <w:color w:val="auto"/>
              </w:rPr>
            </w:pPr>
          </w:p>
        </w:tc>
      </w:tr>
      <w:tr>
        <w:trPr>
          <w:trHeight w:val="203"/>
        </w:trPr>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Unfunded</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2,409,177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2,936,109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Federal Solutions</w:t>
            </w: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4,306,187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4,918,445</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Critical Infrastructure:</w:t>
            </w: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Funded</w:t>
            </w: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4,483,659</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3,811,638</w:t>
            </w:r>
          </w:p>
        </w:tc>
        <w:tc>
          <w:tcPr>
            <w:tcW w:w="0" w:type="dxa"/>
            <w:vAlign w:val="bottom"/>
          </w:tcPr>
          <w:p>
            <w:pPr>
              <w:spacing w:after="0"/>
              <w:rPr>
                <w:sz w:val="1"/>
                <w:szCs w:val="1"/>
                <w:color w:val="auto"/>
              </w:rPr>
            </w:pPr>
          </w:p>
        </w:tc>
      </w:tr>
      <w:tr>
        <w:trPr>
          <w:trHeight w:val="203"/>
        </w:trPr>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Unfunded</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53,964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Critical Infrastructure</w:t>
            </w:r>
          </w:p>
        </w:tc>
        <w:tc>
          <w:tcPr>
            <w:tcW w:w="3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4,526,260</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3,865,602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Total Backlog (1)</w:t>
            </w:r>
          </w:p>
        </w:tc>
        <w:tc>
          <w:tcPr>
            <w:tcW w:w="380" w:type="dxa"/>
            <w:vAlign w:val="bottom"/>
          </w:tcPr>
          <w:p>
            <w:pPr>
              <w:jc w:val="right"/>
              <w:ind w:right="196"/>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8,832,447</w:t>
            </w:r>
          </w:p>
        </w:tc>
        <w:tc>
          <w:tcPr>
            <w:tcW w:w="80" w:type="dxa"/>
            <w:vAlign w:val="bottom"/>
          </w:tcPr>
          <w:p>
            <w:pPr>
              <w:spacing w:after="0"/>
              <w:rPr>
                <w:sz w:val="17"/>
                <w:szCs w:val="17"/>
                <w:color w:val="auto"/>
              </w:rPr>
            </w:pPr>
          </w:p>
        </w:tc>
        <w:tc>
          <w:tcPr>
            <w:tcW w:w="520" w:type="dxa"/>
            <w:vAlign w:val="bottom"/>
            <w:gridSpan w:val="2"/>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8,784,047</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-693420</wp:posOffset>
            </wp:positionV>
            <wp:extent cx="596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-693420</wp:posOffset>
            </wp:positionV>
            <wp:extent cx="60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-162560</wp:posOffset>
            </wp:positionV>
            <wp:extent cx="596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20" w:right="220" w:hanging="638"/>
        <w:spacing w:after="0" w:line="25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Difference between our backlog of $8.8 billion and our RUPO of $7.0 billion, each as of September 30, 2025,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right="40" w:firstLine="636"/>
        <w:spacing w:after="0" w:line="242" w:lineRule="auto"/>
        <w:rPr>
          <w:sz w:val="20"/>
          <w:szCs w:val="20"/>
          <w:color w:val="auto"/>
        </w:rPr>
      </w:pPr>
      <w:r>
        <w:rPr>
          <w:rFonts w:ascii="Arial" w:cs="Arial" w:eastAsia="Arial" w:hAnsi="Arial"/>
          <w:sz w:val="18"/>
          <w:szCs w:val="18"/>
          <w:color w:val="auto"/>
        </w:rPr>
        <w:t>We expect to recognize $4.1 billion of our funded backlog at September 30, 2025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 than expected revenue” in the Company’s Form 10-K for the year ended December 31, 2024.</w:t>
      </w:r>
    </w:p>
    <w:p>
      <w:pPr>
        <w:spacing w:after="0" w:line="179"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The increase in backlog in the Critical Infrastructure segment was primarily from ordinary course fluctuations in our business and an overall increase in awards. The decrease in Federal Solutions backlog was primarily related to a reduction in work on our confidential contract as a result of the recent Department of State reorganization issued May 29, 2025 and a delay in the timing of awards of a number of contracts being pursued.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right="60" w:firstLine="636"/>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3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080" w:type="dxa"/>
            <w:vAlign w:val="bottom"/>
            <w:gridSpan w:val="5"/>
          </w:tcPr>
          <w:p>
            <w:pPr>
              <w:ind w:left="54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tcBorders>
              <w:top w:val="single" w:sz="8" w:color="auto"/>
            </w:tcBorders>
          </w:tcPr>
          <w:p>
            <w:pPr>
              <w:jc w:val="right"/>
              <w:ind w:right="28"/>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8"/>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100" w:type="dxa"/>
            <w:vAlign w:val="bottom"/>
            <w:tcBorders>
              <w:top w:val="single" w:sz="8" w:color="auto"/>
            </w:tcBorders>
          </w:tcPr>
          <w:p>
            <w:pPr>
              <w:jc w:val="right"/>
              <w:ind w:right="8"/>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8"/>
              <w:spacing w:after="0" w:line="147" w:lineRule="exact"/>
              <w:rPr>
                <w:sz w:val="20"/>
                <w:szCs w:val="20"/>
                <w:color w:val="auto"/>
              </w:rPr>
            </w:pPr>
            <w:r>
              <w:rPr>
                <w:rFonts w:ascii="Arial" w:cs="Arial" w:eastAsia="Arial" w:hAnsi="Arial"/>
                <w:sz w:val="14"/>
                <w:szCs w:val="14"/>
                <w:b w:val="1"/>
                <w:bCs w:val="1"/>
                <w:color w:val="auto"/>
              </w:rPr>
              <w:t>September 30,</w:t>
            </w:r>
          </w:p>
        </w:tc>
        <w:tc>
          <w:tcPr>
            <w:tcW w:w="660" w:type="dxa"/>
            <w:vAlign w:val="bottom"/>
            <w:gridSpan w:val="2"/>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3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28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1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0.9</w:t>
            </w:r>
          </w:p>
        </w:tc>
        <w:tc>
          <w:tcPr>
            <w:tcW w:w="1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1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2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Overall</w:t>
            </w:r>
          </w:p>
        </w:tc>
        <w:tc>
          <w:tcPr>
            <w:tcW w:w="2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652"/>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20" w:type="dxa"/>
            <w:vAlign w:val="bottom"/>
            <w:gridSpan w:val="2"/>
          </w:tcPr>
          <w:p>
            <w:pPr>
              <w:jc w:val="right"/>
              <w:ind w:right="908"/>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right="120" w:firstLine="636"/>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Chesapeake Technology International, Corp</w:t>
      </w:r>
    </w:p>
    <w:p>
      <w:pPr>
        <w:spacing w:after="0" w:line="102" w:lineRule="exact"/>
        <w:rPr>
          <w:sz w:val="20"/>
          <w:szCs w:val="20"/>
          <w:color w:val="auto"/>
        </w:rPr>
      </w:pPr>
    </w:p>
    <w:p>
      <w:pPr>
        <w:ind w:right="380" w:firstLine="644"/>
        <w:spacing w:after="0" w:line="247" w:lineRule="auto"/>
        <w:rPr>
          <w:sz w:val="20"/>
          <w:szCs w:val="20"/>
          <w:color w:val="auto"/>
        </w:rPr>
      </w:pPr>
      <w:r>
        <w:rPr>
          <w:rFonts w:ascii="Arial" w:cs="Arial" w:eastAsia="Arial" w:hAnsi="Arial"/>
          <w:sz w:val="18"/>
          <w:szCs w:val="18"/>
          <w:color w:val="auto"/>
        </w:rPr>
        <w:t>On June 30, 2025, the Company acquired a 100% ownership interest in Chesapeake Technology International, Corp ("CTI"), a privately owned company, for $91.5 million from cash on hand. CTI brings extensive capabilities as an all-domain technology solutions provider, powered by cutting-edge products that enhance the warfighters’ ability to sense, evaluate and deliver effects within the invisible battlespaces. The financial results of CTI have been included in our consolidated results of operations from June 30, 2025 onward.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TRS Group, Inc.</w:t>
      </w:r>
    </w:p>
    <w:p>
      <w:pPr>
        <w:spacing w:after="0" w:line="102"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On January 31, 2025, the Company acquired a 100% ownership interest in TRS Group, Inc. ("TRS") a privately owned company, for $36.6 million. TRS is an environmental solutions firm that specializes in remediation technology. The acquisition of TRS significantly enhances Parsons’ environmental remediation capabilities. The financial results of TRS have been included in our consolidated results of operations from January 31, 2025 onward.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BCC Engineering, LLC</w:t>
      </w:r>
    </w:p>
    <w:p>
      <w:pPr>
        <w:spacing w:after="0" w:line="102" w:lineRule="exact"/>
        <w:rPr>
          <w:sz w:val="20"/>
          <w:szCs w:val="20"/>
          <w:color w:val="auto"/>
        </w:rPr>
      </w:pPr>
    </w:p>
    <w:p>
      <w:pPr>
        <w:ind w:right="540" w:firstLine="644"/>
        <w:spacing w:after="0" w:line="244" w:lineRule="auto"/>
        <w:rPr>
          <w:sz w:val="20"/>
          <w:szCs w:val="20"/>
          <w:color w:val="auto"/>
        </w:rPr>
      </w:pPr>
      <w:r>
        <w:rPr>
          <w:rFonts w:ascii="Arial" w:cs="Arial" w:eastAsia="Arial" w:hAnsi="Arial"/>
          <w:sz w:val="18"/>
          <w:szCs w:val="18"/>
          <w:color w:val="auto"/>
        </w:rPr>
        <w:t>On November 1, 2024, the Company acquired a 100% ownership interest in BCC Engineering, LLC ("BCC") a privately owned company, for $ 233.5 million. BCC is a full-service engineering firm that provides planning, design, and 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The financial results of BCC have been included in our consolidated results of operations from October 18, 2024 onward.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BlackSignal Technologies, LLC</w:t>
      </w:r>
    </w:p>
    <w:p>
      <w:pPr>
        <w:spacing w:after="0" w:line="102" w:lineRule="exact"/>
        <w:rPr>
          <w:sz w:val="20"/>
          <w:szCs w:val="20"/>
          <w:color w:val="auto"/>
        </w:rPr>
      </w:pPr>
    </w:p>
    <w:p>
      <w:pPr>
        <w:ind w:right="100" w:firstLine="644"/>
        <w:spacing w:after="0" w:line="242" w:lineRule="auto"/>
        <w:rPr>
          <w:sz w:val="20"/>
          <w:szCs w:val="20"/>
          <w:color w:val="auto"/>
        </w:rPr>
      </w:pPr>
      <w:r>
        <w:rPr>
          <w:rFonts w:ascii="Arial" w:cs="Arial" w:eastAsia="Arial" w:hAnsi="Arial"/>
          <w:sz w:val="18"/>
          <w:szCs w:val="18"/>
          <w:color w:val="auto"/>
        </w:rPr>
        <w:t>On August 16, 2024, the Company acquired a 100% ownership interest in BlackSignal Technologies, LLC, ("BlackSignal") a privately-owned company, for $203.7 million. Headquartered in Chantilly, Virginia, BlackSignal is a next-generation digital signal processing, electronic warfare, and cyber security provider built to counter near peer threats. Parsons believes that the acquisition will expand Parsons' customer base across the Department of Defense and Intelligence Community and significantly strengthen Parsons' positioning within cyber warfare, while adding new capabilities in the counterspace radio frequency domain. The financial results of BlackSignal have been included in our consolidated results of operations from August 16, 2024 onward.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400" w:right="160" w:hanging="374"/>
        <w:spacing w:after="0" w:line="252" w:lineRule="auto"/>
        <w:tabs>
          <w:tab w:leader="none" w:pos="14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3" w:name="page44"/>
    <w:bookmarkEnd w:id="43"/>
    <w:p>
      <w:pPr>
        <w:ind w:left="1400"/>
        <w:spacing w:after="0"/>
        <w:rPr>
          <w:sz w:val="20"/>
          <w:szCs w:val="20"/>
          <w:color w:val="auto"/>
        </w:rPr>
      </w:pPr>
      <w:r>
        <w:rPr>
          <w:rFonts w:ascii="Arial" w:cs="Arial" w:eastAsia="Arial" w:hAnsi="Arial"/>
          <w:sz w:val="18"/>
          <w:szCs w:val="18"/>
          <w:color w:val="auto"/>
        </w:rPr>
        <w:t>audit agencies, and such reviews could result in costs being disputed as non-reimbursable under the terms of the contract.</w:t>
      </w:r>
    </w:p>
    <w:p>
      <w:pPr>
        <w:spacing w:after="0" w:line="104" w:lineRule="exact"/>
        <w:rPr>
          <w:sz w:val="20"/>
          <w:szCs w:val="20"/>
          <w:color w:val="auto"/>
        </w:rPr>
      </w:pPr>
    </w:p>
    <w:p>
      <w:pPr>
        <w:jc w:val="both"/>
        <w:ind w:left="1400" w:right="360" w:hanging="374"/>
        <w:spacing w:after="0" w:line="252" w:lineRule="auto"/>
        <w:tabs>
          <w:tab w:leader="none" w:pos="14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4"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2024 for a description of our policies on revenue recognition.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4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5040" w:type="dxa"/>
            <w:vAlign w:val="bottom"/>
          </w:tcPr>
          <w:p>
            <w:pPr>
              <w:spacing w:after="0"/>
              <w:rPr>
                <w:sz w:val="12"/>
                <w:szCs w:val="12"/>
                <w:color w:val="auto"/>
              </w:rPr>
            </w:pPr>
          </w:p>
        </w:tc>
        <w:tc>
          <w:tcPr>
            <w:tcW w:w="116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18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20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20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0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Fixed-price</w:t>
            </w:r>
          </w:p>
        </w:tc>
        <w:tc>
          <w:tcPr>
            <w:tcW w:w="11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7"/>
              </w:rPr>
              <w:t>33.0%</w:t>
            </w:r>
          </w:p>
        </w:tc>
        <w:tc>
          <w:tcPr>
            <w:tcW w:w="1300" w:type="dxa"/>
            <w:vAlign w:val="bottom"/>
            <w:gridSpan w:val="2"/>
            <w:shd w:val="clear" w:color="auto" w:fill="CFF0FC"/>
          </w:tcPr>
          <w:p>
            <w:pPr>
              <w:jc w:val="center"/>
              <w:ind w:left="10"/>
              <w:spacing w:after="0" w:line="196" w:lineRule="exact"/>
              <w:rPr>
                <w:sz w:val="20"/>
                <w:szCs w:val="20"/>
                <w:color w:val="auto"/>
              </w:rPr>
            </w:pPr>
            <w:r>
              <w:rPr>
                <w:rFonts w:ascii="Arial" w:cs="Arial" w:eastAsia="Arial" w:hAnsi="Arial"/>
                <w:sz w:val="18"/>
                <w:szCs w:val="18"/>
                <w:color w:val="auto"/>
              </w:rPr>
              <w:t>43.7%</w:t>
            </w:r>
          </w:p>
        </w:tc>
        <w:tc>
          <w:tcPr>
            <w:tcW w:w="1300" w:type="dxa"/>
            <w:vAlign w:val="bottom"/>
            <w:gridSpan w:val="2"/>
            <w:shd w:val="clear" w:color="auto" w:fill="CFF0FC"/>
          </w:tcPr>
          <w:p>
            <w:pPr>
              <w:jc w:val="center"/>
              <w:ind w:left="10"/>
              <w:spacing w:after="0" w:line="196" w:lineRule="exact"/>
              <w:rPr>
                <w:sz w:val="20"/>
                <w:szCs w:val="20"/>
                <w:color w:val="auto"/>
              </w:rPr>
            </w:pPr>
            <w:r>
              <w:rPr>
                <w:rFonts w:ascii="Arial" w:cs="Arial" w:eastAsia="Arial" w:hAnsi="Arial"/>
                <w:sz w:val="18"/>
                <w:szCs w:val="18"/>
                <w:color w:val="auto"/>
              </w:rPr>
              <w:t>34.5%</w:t>
            </w:r>
          </w:p>
        </w:tc>
        <w:tc>
          <w:tcPr>
            <w:tcW w:w="1300" w:type="dxa"/>
            <w:vAlign w:val="bottom"/>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w w:val="97"/>
              </w:rPr>
              <w:t>42.4%</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Time-and-materials</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7"/>
              </w:rPr>
              <w:t>24.3%</w:t>
            </w:r>
          </w:p>
        </w:tc>
        <w:tc>
          <w:tcPr>
            <w:tcW w:w="130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rPr>
              <w:t>19.6%</w:t>
            </w:r>
          </w:p>
        </w:tc>
        <w:tc>
          <w:tcPr>
            <w:tcW w:w="130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rPr>
              <w:t>23.4%</w:t>
            </w:r>
          </w:p>
        </w:tc>
        <w:tc>
          <w:tcPr>
            <w:tcW w:w="13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7"/>
              </w:rPr>
              <w:t>21.0%</w:t>
            </w: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Cost-plus</w:t>
            </w:r>
          </w:p>
        </w:tc>
        <w:tc>
          <w:tcPr>
            <w:tcW w:w="11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42.7%</w:t>
            </w:r>
          </w:p>
        </w:tc>
        <w:tc>
          <w:tcPr>
            <w:tcW w:w="130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rPr>
              <w:t>36.7%</w:t>
            </w:r>
          </w:p>
        </w:tc>
        <w:tc>
          <w:tcPr>
            <w:tcW w:w="130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rPr>
              <w:t>42.1%</w:t>
            </w:r>
          </w:p>
        </w:tc>
        <w:tc>
          <w:tcPr>
            <w:tcW w:w="130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36.6%</w:t>
            </w:r>
          </w:p>
        </w:tc>
      </w:tr>
    </w:tbl>
    <w:p>
      <w:pPr>
        <w:spacing w:after="0" w:line="22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generally experienced a relatively stable contract mix.</w:t>
      </w:r>
    </w:p>
    <w:p>
      <w:pPr>
        <w:spacing w:after="0" w:line="172"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The significant change in the contract mix for the three and nine months ended September 30, 2025 compared to the corresponding periods last year primarily relates to decreased business volume from a fixed price contract from a confidential contract in our Federal Solutions segment.</w:t>
      </w:r>
    </w:p>
    <w:p>
      <w:pPr>
        <w:spacing w:after="0" w:line="169" w:lineRule="exact"/>
        <w:rPr>
          <w:sz w:val="20"/>
          <w:szCs w:val="20"/>
          <w:color w:val="auto"/>
        </w:rPr>
      </w:pPr>
    </w:p>
    <w:p>
      <w:pPr>
        <w:ind w:right="180" w:firstLine="644"/>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right="80" w:firstLine="636"/>
        <w:spacing w:after="0" w:line="242"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(losses) earnings of unconsolidated joint ventures. Our revenues included amounts related to services we provided to our unconsolidated joint ventures for the three months ended September 30, 2025 and September 30, 2024 of $56.9 million and $47.6 million, respectively and $144.3 million and $144.9 million for the nine months ended September 30, 2025 and September 30, 2024,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320" w:firstLine="636"/>
        <w:spacing w:after="0" w:line="247"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September 30, 2025 and September 30, 2024 was $18.6 million and $13.2 million,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4" w:name="page45"/>
    <w:bookmarkEnd w:id="44"/>
    <w:p>
      <w:pPr>
        <w:ind w:right="160"/>
        <w:spacing w:after="0" w:line="271" w:lineRule="auto"/>
        <w:rPr>
          <w:sz w:val="20"/>
          <w:szCs w:val="20"/>
          <w:color w:val="auto"/>
        </w:rPr>
      </w:pPr>
      <w:r>
        <w:rPr>
          <w:rFonts w:ascii="Arial" w:cs="Arial" w:eastAsia="Arial" w:hAnsi="Arial"/>
          <w:sz w:val="18"/>
          <w:szCs w:val="18"/>
          <w:color w:val="auto"/>
        </w:rPr>
        <w:t>respectively, and $54.0 million and $43.4 million for the nine months ended September 30, 2025 and September 30, 2024, respectively and is recorded in “Direct cost of contracts” and “Selling, general and administrative expenses.”</w:t>
      </w:r>
    </w:p>
    <w:p>
      <w:pPr>
        <w:spacing w:after="0" w:line="154" w:lineRule="exact"/>
        <w:rPr>
          <w:sz w:val="20"/>
          <w:szCs w:val="20"/>
          <w:color w:val="auto"/>
        </w:rPr>
      </w:pPr>
    </w:p>
    <w:p>
      <w:pPr>
        <w:ind w:right="80" w:firstLine="636"/>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760" w:firstLine="636"/>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660" w:firstLine="636"/>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0"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nine months ended September 30, 2025 and September 30, 2024.</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7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480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r>
      <w:tr>
        <w:trPr>
          <w:trHeight w:val="171"/>
        </w:trPr>
        <w:tc>
          <w:tcPr>
            <w:tcW w:w="480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4"/>
                <w:szCs w:val="14"/>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4"/>
                <w:szCs w:val="14"/>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Adjusted EBITDA (1)</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   158,137</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   167,011</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   456,044</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   458,334</w:t>
            </w:r>
          </w:p>
        </w:tc>
        <w:tc>
          <w:tcPr>
            <w:tcW w:w="18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Net Income Margin (2)</w:t>
            </w: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w:t>
            </w: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w:t>
            </w:r>
          </w:p>
        </w:tc>
      </w:tr>
      <w:tr>
        <w:trPr>
          <w:trHeight w:val="203"/>
        </w:trPr>
        <w:tc>
          <w:tcPr>
            <w:tcW w:w="4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Margin (3)</w:t>
            </w:r>
          </w:p>
        </w:tc>
        <w:tc>
          <w:tcPr>
            <w:tcW w:w="1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9.8%</w:t>
            </w: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9.2%</w:t>
            </w:r>
          </w:p>
        </w:tc>
        <w:tc>
          <w:tcPr>
            <w:tcW w:w="1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9.6%</w:t>
            </w: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20" w:hanging="63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36" w:lineRule="exact"/>
        <w:rPr>
          <w:rFonts w:ascii="Arial" w:cs="Arial" w:eastAsia="Arial" w:hAnsi="Arial"/>
          <w:sz w:val="18"/>
          <w:szCs w:val="18"/>
          <w:color w:val="auto"/>
        </w:rPr>
      </w:pPr>
    </w:p>
    <w:p>
      <w:pPr>
        <w:ind w:left="1020" w:hanging="63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03" w:lineRule="exact"/>
        <w:rPr>
          <w:rFonts w:ascii="Arial" w:cs="Arial" w:eastAsia="Arial" w:hAnsi="Arial"/>
          <w:sz w:val="18"/>
          <w:szCs w:val="18"/>
          <w:color w:val="auto"/>
        </w:rPr>
      </w:pPr>
    </w:p>
    <w:p>
      <w:pPr>
        <w:ind w:left="1020" w:hanging="638"/>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4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3"/>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52"/>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3"/>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52"/>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71"/>
        </w:trPr>
        <w:tc>
          <w:tcPr>
            <w:tcW w:w="4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4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1020" w:type="dxa"/>
            <w:vAlign w:val="bottom"/>
            <w:gridSpan w:val="2"/>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64,123</w:t>
            </w:r>
          </w:p>
        </w:tc>
        <w:tc>
          <w:tcPr>
            <w:tcW w:w="480" w:type="dxa"/>
            <w:vAlign w:val="bottom"/>
            <w:gridSpan w:val="2"/>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71,951</w:t>
            </w:r>
          </w:p>
        </w:tc>
        <w:tc>
          <w:tcPr>
            <w:tcW w:w="500" w:type="dxa"/>
            <w:vAlign w:val="bottom"/>
            <w:gridSpan w:val="2"/>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185,556</w:t>
            </w:r>
          </w:p>
        </w:tc>
        <w:tc>
          <w:tcPr>
            <w:tcW w:w="500" w:type="dxa"/>
            <w:vAlign w:val="bottom"/>
            <w:gridSpan w:val="2"/>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180,873</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 net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11,696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8,802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33,301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29,831</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Income tax expense</w:t>
            </w: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16,035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22,518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53,702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58,257</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29,849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24,542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85,844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73,513</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17,671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13,638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48,514</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40,428</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Equity-based compensation</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11,568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21,251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30,190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44,554</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Convertible debt repurchase loss</w:t>
            </w: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18,355</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Transaction-related costs (a)</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5,074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3,770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13,910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8,958</w:t>
            </w: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Restructuring (b)</w:t>
            </w: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2,653</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140"/>
              <w:spacing w:after="0" w:line="202" w:lineRule="exact"/>
              <w:rPr>
                <w:sz w:val="20"/>
                <w:szCs w:val="20"/>
                <w:color w:val="auto"/>
              </w:rPr>
            </w:pPr>
            <w:r>
              <w:rPr>
                <w:rFonts w:ascii="Arial" w:cs="Arial" w:eastAsia="Arial" w:hAnsi="Arial"/>
                <w:sz w:val="18"/>
                <w:szCs w:val="18"/>
                <w:color w:val="auto"/>
              </w:rPr>
              <w:t>Other (c)</w:t>
            </w:r>
          </w:p>
        </w:tc>
        <w:tc>
          <w:tcPr>
            <w:tcW w:w="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539</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3,565</w:t>
            </w:r>
          </w:p>
        </w:tc>
        <w:tc>
          <w:tcPr>
            <w:tcW w:w="100" w:type="dxa"/>
            <w:vAlign w:val="bottom"/>
          </w:tcPr>
          <w:p>
            <w:pPr>
              <w:spacing w:after="0"/>
              <w:rPr>
                <w:sz w:val="17"/>
                <w:szCs w:val="17"/>
                <w:color w:val="auto"/>
              </w:rPr>
            </w:pPr>
          </w:p>
        </w:tc>
      </w:tr>
      <w:tr>
        <w:trPr>
          <w:trHeight w:val="232"/>
        </w:trPr>
        <w:tc>
          <w:tcPr>
            <w:tcW w:w="4860" w:type="dxa"/>
            <w:vAlign w:val="bottom"/>
          </w:tcPr>
          <w:p>
            <w:pPr>
              <w:ind w:left="140"/>
              <w:spacing w:after="0"/>
              <w:rPr>
                <w:sz w:val="20"/>
                <w:szCs w:val="20"/>
                <w:color w:val="auto"/>
              </w:rPr>
            </w:pPr>
            <w:r>
              <w:rPr>
                <w:rFonts w:ascii="Arial" w:cs="Arial" w:eastAsia="Arial" w:hAnsi="Arial"/>
                <w:sz w:val="18"/>
                <w:szCs w:val="18"/>
                <w:color w:val="auto"/>
              </w:rPr>
              <w:t>Adjusted EBITDA</w:t>
            </w:r>
          </w:p>
        </w:tc>
        <w:tc>
          <w:tcPr>
            <w:tcW w:w="76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158,137</w:t>
            </w:r>
          </w:p>
        </w:tc>
        <w:tc>
          <w:tcPr>
            <w:tcW w:w="2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167,011</w:t>
            </w:r>
          </w:p>
        </w:tc>
        <w:tc>
          <w:tcPr>
            <w:tcW w:w="2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456,044</w:t>
            </w:r>
          </w:p>
        </w:tc>
        <w:tc>
          <w:tcPr>
            <w:tcW w:w="2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458,334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660" w:right="120" w:hanging="652"/>
        <w:spacing w:after="0" w:line="23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initiatives.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left="660" w:right="100" w:hanging="652"/>
        <w:spacing w:after="0" w:line="27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54"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89"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89" w:lineRule="exact"/>
        <w:rPr>
          <w:sz w:val="20"/>
          <w:szCs w:val="20"/>
          <w:color w:val="auto"/>
        </w:rPr>
      </w:pPr>
    </w:p>
    <w:p>
      <w:pPr>
        <w:ind w:right="120" w:firstLine="636"/>
        <w:spacing w:after="0" w:line="271" w:lineRule="auto"/>
        <w:rPr>
          <w:sz w:val="20"/>
          <w:szCs w:val="20"/>
          <w:color w:val="auto"/>
        </w:rPr>
      </w:pPr>
      <w:r>
        <w:rPr>
          <w:rFonts w:ascii="Arial" w:cs="Arial" w:eastAsia="Arial" w:hAnsi="Arial"/>
          <w:sz w:val="18"/>
          <w:szCs w:val="18"/>
          <w:color w:val="auto"/>
        </w:rPr>
        <w:t>The following table sets forth our results of operations for the three and nine months ended September 30, 2025 and September 30, 2024 as a percentage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180" w:type="dxa"/>
            <w:vAlign w:val="bottom"/>
            <w:gridSpan w:val="5"/>
          </w:tcPr>
          <w:p>
            <w:pPr>
              <w:ind w:left="54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5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340" w:type="dxa"/>
            <w:vAlign w:val="bottom"/>
            <w:tcBorders>
              <w:top w:val="single" w:sz="8" w:color="auto"/>
            </w:tcBorders>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340" w:type="dxa"/>
            <w:vAlign w:val="bottom"/>
            <w:tcBorders>
              <w:top w:val="single" w:sz="8" w:color="auto"/>
            </w:tcBorders>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September 30,</w:t>
            </w:r>
          </w:p>
        </w:tc>
        <w:tc>
          <w:tcPr>
            <w:tcW w:w="11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September 30,</w:t>
            </w:r>
          </w:p>
        </w:tc>
        <w:tc>
          <w:tcPr>
            <w:tcW w:w="740" w:type="dxa"/>
            <w:vAlign w:val="bottom"/>
            <w:gridSpan w:val="2"/>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1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Direct costs of contracts</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77.8%</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80.1%</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77.7%</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in (losses) earnings of unconsolidated joint ventures</w:t>
            </w: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0.5%</w:t>
            </w: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-0.4%</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16.0%</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15.9%</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13.8%</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Operating income</w:t>
            </w:r>
          </w:p>
        </w:tc>
        <w:tc>
          <w:tcPr>
            <w:tcW w:w="1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6.7%</w:t>
            </w:r>
          </w:p>
        </w:tc>
        <w:tc>
          <w:tcPr>
            <w:tcW w:w="1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6.4%</w:t>
            </w:r>
          </w:p>
        </w:tc>
        <w:tc>
          <w:tcPr>
            <w:tcW w:w="1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6.6%</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0.2%</w:t>
            </w: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0.1%</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0.2%</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-0.8%</w:t>
            </w: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-0.7%</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-0.8%</w:t>
            </w: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-0.8%</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net</w:t>
            </w: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0.1%</w:t>
            </w: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0.2%</w:t>
            </w: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0.0%</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tcPr>
          <w:p>
            <w:pPr>
              <w:ind w:left="120"/>
              <w:spacing w:after="0" w:line="196" w:lineRule="exact"/>
              <w:rPr>
                <w:sz w:val="20"/>
                <w:szCs w:val="20"/>
                <w:color w:val="auto"/>
              </w:rPr>
            </w:pPr>
            <w:r>
              <w:rPr>
                <w:rFonts w:ascii="Arial" w:cs="Arial" w:eastAsia="Arial" w:hAnsi="Arial"/>
                <w:sz w:val="18"/>
                <w:szCs w:val="18"/>
                <w:color w:val="auto"/>
              </w:rPr>
              <w:t>Total other income (expense)</w:t>
            </w:r>
          </w:p>
        </w:tc>
        <w:tc>
          <w:tcPr>
            <w:tcW w:w="13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-0.5%</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Income before income tax expense</w:t>
            </w:r>
          </w:p>
        </w:tc>
        <w:tc>
          <w:tcPr>
            <w:tcW w:w="1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6.0%</w:t>
            </w:r>
          </w:p>
        </w:tc>
        <w:tc>
          <w:tcPr>
            <w:tcW w:w="1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6.0%</w:t>
            </w:r>
          </w:p>
        </w:tc>
        <w:tc>
          <w:tcPr>
            <w:tcW w:w="1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6.0%</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2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1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5.0%</w:t>
            </w:r>
          </w:p>
        </w:tc>
        <w:tc>
          <w:tcPr>
            <w:tcW w:w="1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4.7%</w:t>
            </w:r>
          </w:p>
        </w:tc>
        <w:tc>
          <w:tcPr>
            <w:tcW w:w="1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4.9%</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-0.8%</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-0.8%</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82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1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4.0%</w:t>
            </w:r>
          </w:p>
        </w:tc>
        <w:tc>
          <w:tcPr>
            <w:tcW w:w="1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4.0%</w:t>
            </w:r>
          </w:p>
        </w:tc>
        <w:tc>
          <w:tcPr>
            <w:tcW w:w="1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3.9%</w:t>
            </w:r>
          </w:p>
        </w:tc>
        <w:tc>
          <w:tcPr>
            <w:tcW w:w="12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560" w:type="dxa"/>
            <w:vAlign w:val="bottom"/>
          </w:tcPr>
          <w:p>
            <w:pPr>
              <w:spacing w:after="0"/>
              <w:rPr>
                <w:sz w:val="20"/>
                <w:szCs w:val="20"/>
                <w:color w:val="auto"/>
              </w:rPr>
            </w:pPr>
          </w:p>
        </w:tc>
      </w:tr>
      <w:tr>
        <w:trPr>
          <w:trHeight w:val="633"/>
        </w:trPr>
        <w:tc>
          <w:tcPr>
            <w:tcW w:w="580" w:type="dxa"/>
            <w:vAlign w:val="bottom"/>
          </w:tcPr>
          <w:p>
            <w:pPr>
              <w:spacing w:after="0"/>
              <w:rPr>
                <w:sz w:val="24"/>
                <w:szCs w:val="24"/>
                <w:color w:val="auto"/>
              </w:rPr>
            </w:pPr>
          </w:p>
        </w:tc>
        <w:tc>
          <w:tcPr>
            <w:tcW w:w="482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jc w:val="right"/>
              <w:ind w:right="653"/>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-2253615</wp:posOffset>
            </wp:positionV>
            <wp:extent cx="1111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-2253615</wp:posOffset>
            </wp:positionV>
            <wp:extent cx="1111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-2253615</wp:posOffset>
            </wp:positionV>
            <wp:extent cx="1111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-2253615</wp:posOffset>
            </wp:positionV>
            <wp:extent cx="1117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-1731010</wp:posOffset>
            </wp:positionV>
            <wp:extent cx="1111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-1731010</wp:posOffset>
            </wp:positionV>
            <wp:extent cx="1111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-1731010</wp:posOffset>
            </wp:positionV>
            <wp:extent cx="1111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-1731010</wp:posOffset>
            </wp:positionV>
            <wp:extent cx="1117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-925195</wp:posOffset>
            </wp:positionV>
            <wp:extent cx="111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-908050</wp:posOffset>
            </wp:positionV>
            <wp:extent cx="1111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-925195</wp:posOffset>
            </wp:positionV>
            <wp:extent cx="1111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-908050</wp:posOffset>
            </wp:positionV>
            <wp:extent cx="1111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-925195</wp:posOffset>
            </wp:positionV>
            <wp:extent cx="1111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-908050</wp:posOffset>
            </wp:positionV>
            <wp:extent cx="1111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-925195</wp:posOffset>
            </wp:positionV>
            <wp:extent cx="1117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-908050</wp:posOffset>
            </wp:positionV>
            <wp:extent cx="1117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Revenue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vMerge w:val="continue"/>
          </w:tcPr>
          <w:p>
            <w:pPr>
              <w:spacing w:after="0"/>
              <w:rPr>
                <w:sz w:val="13"/>
                <w:szCs w:val="13"/>
                <w:color w:val="auto"/>
              </w:rPr>
            </w:pPr>
          </w:p>
        </w:tc>
        <w:tc>
          <w:tcPr>
            <w:tcW w:w="1500" w:type="dxa"/>
            <w:vAlign w:val="bottom"/>
            <w:tcBorders>
              <w:bottom w:val="single" w:sz="8" w:color="auto"/>
            </w:tcBorders>
            <w:gridSpan w:val="2"/>
          </w:tcPr>
          <w:p>
            <w:pPr>
              <w:jc w:val="right"/>
              <w:ind w:right="4"/>
              <w:spacing w:after="0" w:line="155" w:lineRule="exact"/>
              <w:rPr>
                <w:sz w:val="20"/>
                <w:szCs w:val="20"/>
                <w:color w:val="auto"/>
              </w:rPr>
            </w:pPr>
            <w:r>
              <w:rPr>
                <w:rFonts w:ascii="Arial" w:cs="Arial" w:eastAsia="Arial" w:hAnsi="Arial"/>
                <w:sz w:val="14"/>
                <w:szCs w:val="14"/>
                <w:b w:val="1"/>
                <w:bCs w:val="1"/>
                <w:color w:val="auto"/>
              </w:rPr>
              <w:t>September 30, 2025</w:t>
            </w:r>
          </w:p>
        </w:tc>
        <w:tc>
          <w:tcPr>
            <w:tcW w:w="260" w:type="dxa"/>
            <w:vAlign w:val="bottom"/>
          </w:tcPr>
          <w:p>
            <w:pPr>
              <w:spacing w:after="0"/>
              <w:rPr>
                <w:sz w:val="13"/>
                <w:szCs w:val="13"/>
                <w:color w:val="auto"/>
              </w:rPr>
            </w:pPr>
          </w:p>
        </w:tc>
        <w:tc>
          <w:tcPr>
            <w:tcW w:w="15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420" w:type="dxa"/>
            <w:vAlign w:val="bottom"/>
            <w:shd w:val="clear" w:color="auto" w:fill="CFF0FC"/>
          </w:tcPr>
          <w:p>
            <w:pPr>
              <w:jc w:val="right"/>
              <w:ind w:right="244"/>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1,621,748</w:t>
            </w:r>
          </w:p>
        </w:tc>
        <w:tc>
          <w:tcPr>
            <w:tcW w:w="940" w:type="dxa"/>
            <w:vAlign w:val="bottom"/>
            <w:gridSpan w:val="2"/>
            <w:shd w:val="clear" w:color="auto" w:fill="CFF0FC"/>
          </w:tcPr>
          <w:p>
            <w:pPr>
              <w:jc w:val="right"/>
              <w:ind w:right="508"/>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1,810,116</w:t>
            </w:r>
          </w:p>
        </w:tc>
        <w:tc>
          <w:tcPr>
            <w:tcW w:w="5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(188,368)</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644"/>
        <w:spacing w:after="0" w:line="253" w:lineRule="auto"/>
        <w:rPr>
          <w:sz w:val="20"/>
          <w:szCs w:val="20"/>
          <w:color w:val="auto"/>
        </w:rPr>
      </w:pPr>
      <w:r>
        <w:rPr>
          <w:rFonts w:ascii="Arial" w:cs="Arial" w:eastAsia="Arial" w:hAnsi="Arial"/>
          <w:sz w:val="18"/>
          <w:szCs w:val="18"/>
          <w:color w:val="auto"/>
        </w:rPr>
        <w:t>Revenue decreased $188.4 million for the three months ended September 30, 2025 when compared to the corresponding period last year, due to a decrease in revenue in our Federal Solutions segment of $317.0 million, offset by an increase in revenue in our Critical Infrastructure Segment of $128.6 million. See “Segment Results” below for a further discussion of the changes in the Company's revenue.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vMerge w:val="continue"/>
          </w:tcPr>
          <w:p>
            <w:pPr>
              <w:spacing w:after="0"/>
              <w:rPr>
                <w:sz w:val="13"/>
                <w:szCs w:val="13"/>
                <w:color w:val="auto"/>
              </w:rPr>
            </w:pPr>
          </w:p>
        </w:tc>
        <w:tc>
          <w:tcPr>
            <w:tcW w:w="1500" w:type="dxa"/>
            <w:vAlign w:val="bottom"/>
            <w:tcBorders>
              <w:bottom w:val="single" w:sz="8" w:color="auto"/>
            </w:tcBorders>
            <w:gridSpan w:val="2"/>
          </w:tcPr>
          <w:p>
            <w:pPr>
              <w:jc w:val="right"/>
              <w:ind w:right="4"/>
              <w:spacing w:after="0" w:line="155" w:lineRule="exact"/>
              <w:rPr>
                <w:sz w:val="20"/>
                <w:szCs w:val="20"/>
                <w:color w:val="auto"/>
              </w:rPr>
            </w:pPr>
            <w:r>
              <w:rPr>
                <w:rFonts w:ascii="Arial" w:cs="Arial" w:eastAsia="Arial" w:hAnsi="Arial"/>
                <w:sz w:val="14"/>
                <w:szCs w:val="14"/>
                <w:b w:val="1"/>
                <w:bCs w:val="1"/>
                <w:color w:val="auto"/>
              </w:rPr>
              <w:t>September 30, 2025</w:t>
            </w:r>
          </w:p>
        </w:tc>
        <w:tc>
          <w:tcPr>
            <w:tcW w:w="260" w:type="dxa"/>
            <w:vAlign w:val="bottom"/>
          </w:tcPr>
          <w:p>
            <w:pPr>
              <w:spacing w:after="0"/>
              <w:rPr>
                <w:sz w:val="13"/>
                <w:szCs w:val="13"/>
                <w:color w:val="auto"/>
              </w:rPr>
            </w:pPr>
          </w:p>
        </w:tc>
        <w:tc>
          <w:tcPr>
            <w:tcW w:w="15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420" w:type="dxa"/>
            <w:vAlign w:val="bottom"/>
            <w:shd w:val="clear" w:color="auto" w:fill="CFF0FC"/>
          </w:tcPr>
          <w:p>
            <w:pPr>
              <w:jc w:val="right"/>
              <w:ind w:right="244"/>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4,760,431</w:t>
            </w:r>
          </w:p>
        </w:tc>
        <w:tc>
          <w:tcPr>
            <w:tcW w:w="920" w:type="dxa"/>
            <w:vAlign w:val="bottom"/>
            <w:gridSpan w:val="2"/>
            <w:shd w:val="clear" w:color="auto" w:fill="CFF0FC"/>
          </w:tcPr>
          <w:p>
            <w:pPr>
              <w:jc w:val="right"/>
              <w:ind w:right="488"/>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5,016,259</w:t>
            </w:r>
          </w:p>
        </w:tc>
        <w:tc>
          <w:tcPr>
            <w:tcW w:w="5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(255,828)</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340" w:firstLine="644"/>
        <w:spacing w:after="0" w:line="253" w:lineRule="auto"/>
        <w:rPr>
          <w:sz w:val="20"/>
          <w:szCs w:val="20"/>
          <w:color w:val="auto"/>
        </w:rPr>
      </w:pPr>
      <w:r>
        <w:rPr>
          <w:rFonts w:ascii="Arial" w:cs="Arial" w:eastAsia="Arial" w:hAnsi="Arial"/>
          <w:sz w:val="18"/>
          <w:szCs w:val="18"/>
          <w:color w:val="auto"/>
        </w:rPr>
        <w:t>The decrease in revenue of $255.8 million for the nine months ended September 30, 2025 when compared to the corresponding period last year, was due to a decrease in our Federal Solutions segment of $567.2 million offset by an increase in revenue in our Critical Infrastructure segment of $311.3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Variance</w:t>
            </w:r>
          </w:p>
        </w:tc>
        <w:tc>
          <w:tcPr>
            <w:tcW w:w="1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Direct costs of contracts</w:t>
            </w:r>
          </w:p>
        </w:tc>
        <w:tc>
          <w:tcPr>
            <w:tcW w:w="9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1,261,893</w:t>
            </w:r>
          </w:p>
        </w:tc>
        <w:tc>
          <w:tcPr>
            <w:tcW w:w="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1,449,831</w:t>
            </w:r>
          </w:p>
        </w:tc>
        <w:tc>
          <w:tcPr>
            <w:tcW w:w="6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(187,938)</w:t>
            </w:r>
          </w:p>
        </w:tc>
        <w:tc>
          <w:tcPr>
            <w:tcW w:w="4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60" w:firstLine="644"/>
        <w:spacing w:after="0" w:line="244" w:lineRule="auto"/>
        <w:rPr>
          <w:sz w:val="20"/>
          <w:szCs w:val="20"/>
          <w:color w:val="auto"/>
        </w:rPr>
      </w:pPr>
      <w:r>
        <w:rPr>
          <w:rFonts w:ascii="Arial" w:cs="Arial" w:eastAsia="Arial" w:hAnsi="Arial"/>
          <w:sz w:val="18"/>
          <w:szCs w:val="18"/>
          <w:color w:val="auto"/>
        </w:rPr>
        <w:t>Direct cost of contracts decreased $187.9 million for the three months ended September 30, 2025 when compared to the corresponding period last year, primarily due to a decrease of $268.7 million in our Federal Solutions segment offset by an increase of $80.8 million in our Critical Infrastructure segment. The decrease in direct costs of contracts in the Federal Solutions segment is primarily related to reduced volume from our confidential contract, See “Segment Results” below for a further discussion. The increase in direct costs of contracts in the Critical Infrastructure segment is primarily related to increased volume from new and existing contracts.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Variance</w:t>
            </w:r>
          </w:p>
        </w:tc>
        <w:tc>
          <w:tcPr>
            <w:tcW w:w="1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Direct costs of contracts</w:t>
            </w:r>
          </w:p>
        </w:tc>
        <w:tc>
          <w:tcPr>
            <w:tcW w:w="9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3,698,240</w:t>
            </w:r>
          </w:p>
        </w:tc>
        <w:tc>
          <w:tcPr>
            <w:tcW w:w="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3,979,589</w:t>
            </w:r>
          </w:p>
        </w:tc>
        <w:tc>
          <w:tcPr>
            <w:tcW w:w="6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(281,349)</w:t>
            </w:r>
          </w:p>
        </w:tc>
        <w:tc>
          <w:tcPr>
            <w:tcW w:w="4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180" w:firstLine="644"/>
        <w:spacing w:after="0" w:line="244" w:lineRule="auto"/>
        <w:rPr>
          <w:sz w:val="20"/>
          <w:szCs w:val="20"/>
          <w:color w:val="auto"/>
        </w:rPr>
      </w:pPr>
      <w:r>
        <w:rPr>
          <w:rFonts w:ascii="Arial" w:cs="Arial" w:eastAsia="Arial" w:hAnsi="Arial"/>
          <w:sz w:val="18"/>
          <w:szCs w:val="18"/>
          <w:color w:val="auto"/>
        </w:rPr>
        <w:t>The decrease in direct cost of contracts $ 281.3 million for the nine months ended September 30, 2025 when compared to the corresponding period last year, was primarily due to a decrease of $ 477.0 million in our Federal Solutions segment offset by an increase of $195.7 million in our Critical Infrastructure segment. The changes in direct cost of contracts for the nine months ended September 30, 2025 compared to the corresponding period last year were primarily impacted by the factors noted above for both segments for the three months ended September 30, 2025.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(losses) of unconsolidated joint ventures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4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450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r>
      <w:tr>
        <w:trPr>
          <w:trHeight w:val="196"/>
        </w:trPr>
        <w:tc>
          <w:tcPr>
            <w:tcW w:w="4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earnings of unconsolidated joint ventures</w:t>
            </w:r>
          </w:p>
        </w:tc>
        <w:tc>
          <w:tcPr>
            <w:tcW w:w="74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8,266</w:t>
            </w:r>
          </w:p>
        </w:tc>
        <w:tc>
          <w:tcPr>
            <w:tcW w:w="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872</w:t>
            </w:r>
          </w:p>
        </w:tc>
        <w:tc>
          <w:tcPr>
            <w:tcW w:w="900" w:type="dxa"/>
            <w:vAlign w:val="bottom"/>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7,394</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847.9%</w:t>
            </w:r>
          </w:p>
        </w:tc>
      </w:tr>
    </w:tbl>
    <w:p>
      <w:pPr>
        <w:spacing w:after="0" w:line="184" w:lineRule="exact"/>
        <w:rPr>
          <w:sz w:val="20"/>
          <w:szCs w:val="20"/>
          <w:color w:val="auto"/>
        </w:rPr>
      </w:pPr>
    </w:p>
    <w:p>
      <w:pPr>
        <w:ind w:right="20" w:firstLine="644"/>
        <w:spacing w:after="0" w:line="253" w:lineRule="auto"/>
        <w:rPr>
          <w:sz w:val="20"/>
          <w:szCs w:val="20"/>
          <w:color w:val="auto"/>
        </w:rPr>
      </w:pPr>
      <w:r>
        <w:rPr>
          <w:rFonts w:ascii="Arial" w:cs="Arial" w:eastAsia="Arial" w:hAnsi="Arial"/>
          <w:sz w:val="18"/>
          <w:szCs w:val="18"/>
          <w:color w:val="auto"/>
        </w:rPr>
        <w:t>Equity in losses of unconsolidated joint ventures improved by $7.4 million for the three months ended September 30, 2025 compared to the corresponding period last year which included significant write-downs on certain joint ventures. The Company is winding down its participation in construction joint ventures.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04"/>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494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r>
      <w:tr>
        <w:trPr>
          <w:trHeight w:val="196"/>
        </w:trPr>
        <w:tc>
          <w:tcPr>
            <w:tcW w:w="50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Equity in earnings (losses) of unconsolidated joint ventures   $</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6,937</w:t>
            </w:r>
          </w:p>
        </w:tc>
        <w:tc>
          <w:tcPr>
            <w:tcW w:w="92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(18,025)</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24,962</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138.5%</w:t>
            </w:r>
          </w:p>
        </w:tc>
      </w:tr>
    </w:tbl>
    <w:p>
      <w:pPr>
        <w:spacing w:after="0" w:line="184" w:lineRule="exact"/>
        <w:rPr>
          <w:sz w:val="20"/>
          <w:szCs w:val="20"/>
          <w:color w:val="auto"/>
        </w:rPr>
      </w:pPr>
    </w:p>
    <w:p>
      <w:pPr>
        <w:ind w:right="440" w:firstLine="644"/>
        <w:spacing w:after="0" w:line="253" w:lineRule="auto"/>
        <w:rPr>
          <w:sz w:val="20"/>
          <w:szCs w:val="20"/>
          <w:color w:val="auto"/>
        </w:rPr>
      </w:pPr>
      <w:r>
        <w:rPr>
          <w:rFonts w:ascii="Arial" w:cs="Arial" w:eastAsia="Arial" w:hAnsi="Arial"/>
          <w:sz w:val="18"/>
          <w:szCs w:val="18"/>
          <w:color w:val="auto"/>
        </w:rPr>
        <w:t>Equity in earnings (losses) of unconsolidated joint ventures improved by $25.0 million for the nine months ended September 30, 2025 compared to the corresponding period last year which included significant write-downs on certain joint ventures. The Company is winding down its participation in construction joint ventures.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Borders>
              <w:bottom w:val="single" w:sz="8" w:color="auto"/>
            </w:tcBorders>
            <w:gridSpan w:val="2"/>
          </w:tcPr>
          <w:p>
            <w:pPr>
              <w:jc w:val="right"/>
              <w:ind w:right="19"/>
              <w:spacing w:after="0" w:line="155" w:lineRule="exact"/>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September 30, 2024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800" w:type="dxa"/>
            <w:vAlign w:val="bottom"/>
            <w:gridSpan w:val="2"/>
            <w:shd w:val="clear" w:color="auto" w:fill="CFF0FC"/>
          </w:tcPr>
          <w:p>
            <w:pPr>
              <w:jc w:val="right"/>
              <w:ind w:right="328"/>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260,166</w:t>
            </w:r>
          </w:p>
        </w:tc>
        <w:tc>
          <w:tcPr>
            <w:tcW w:w="840" w:type="dxa"/>
            <w:vAlign w:val="bottom"/>
            <w:gridSpan w:val="2"/>
            <w:shd w:val="clear" w:color="auto" w:fill="CFF0FC"/>
          </w:tcPr>
          <w:p>
            <w:pPr>
              <w:jc w:val="right"/>
              <w:ind w:right="528"/>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246,169</w:t>
            </w:r>
          </w:p>
        </w:tc>
        <w:tc>
          <w:tcPr>
            <w:tcW w:w="4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13,997</w:t>
            </w: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40" w:firstLine="636"/>
        <w:spacing w:after="0" w:line="242" w:lineRule="auto"/>
        <w:rPr>
          <w:sz w:val="20"/>
          <w:szCs w:val="20"/>
          <w:color w:val="auto"/>
        </w:rPr>
      </w:pPr>
      <w:r>
        <w:rPr>
          <w:rFonts w:ascii="Arial" w:cs="Arial" w:eastAsia="Arial" w:hAnsi="Arial"/>
          <w:sz w:val="18"/>
          <w:szCs w:val="18"/>
          <w:color w:val="auto"/>
        </w:rPr>
        <w:t>As a percentage of revenue, our SG&amp;A increased by 2.4% to 16.0% for the three months ended September 30, 2025 compared to 13.6% for the corresponding period last year. The increase in SG&amp;A was primarily due to an increase in segment level SG&amp;A, in particular from business acquisitions, increased investments in bid and proposal activity, critical hires in support of our strong pipeline, and large strategic pursuits aligned to the Trump administration’s priorities. Partially offsetting these increases in SG&amp;A was a decrease in incentive compensation cost. Partially driving the increase in SG&amp;A as a percent of revenue, was the decrease in business volume in the Federal Solutions segment discussed below.</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Borders>
              <w:bottom w:val="single" w:sz="8" w:color="auto"/>
            </w:tcBorders>
            <w:gridSpan w:val="2"/>
          </w:tcPr>
          <w:p>
            <w:pPr>
              <w:jc w:val="right"/>
              <w:ind w:right="19"/>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3"/>
                <w:szCs w:val="13"/>
                <w:color w:val="auto"/>
              </w:rPr>
            </w:pPr>
          </w:p>
        </w:tc>
        <w:tc>
          <w:tcPr>
            <w:tcW w:w="152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780" w:type="dxa"/>
            <w:vAlign w:val="bottom"/>
            <w:gridSpan w:val="2"/>
            <w:shd w:val="clear" w:color="auto" w:fill="CFF0FC"/>
          </w:tcPr>
          <w:p>
            <w:pPr>
              <w:jc w:val="right"/>
              <w:ind w:right="308"/>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756,279</w:t>
            </w:r>
          </w:p>
        </w:tc>
        <w:tc>
          <w:tcPr>
            <w:tcW w:w="980" w:type="dxa"/>
            <w:vAlign w:val="bottom"/>
            <w:gridSpan w:val="2"/>
            <w:shd w:val="clear" w:color="auto" w:fill="CFF0FC"/>
          </w:tcPr>
          <w:p>
            <w:pPr>
              <w:jc w:val="right"/>
              <w:ind w:right="528"/>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690,391</w:t>
            </w:r>
          </w:p>
        </w:tc>
        <w:tc>
          <w:tcPr>
            <w:tcW w:w="1240" w:type="dxa"/>
            <w:vAlign w:val="bottom"/>
            <w:gridSpan w:val="2"/>
            <w:shd w:val="clear" w:color="auto" w:fill="CFF0FC"/>
          </w:tcPr>
          <w:p>
            <w:pPr>
              <w:jc w:val="right"/>
              <w:ind w:right="788"/>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65,888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percentage of revenue, SG&amp;A increased by 2.1% to 15.9% for the nine months ended September 30, 2025</w:t>
      </w:r>
    </w:p>
    <w:p>
      <w:pPr>
        <w:spacing w:after="0" w:line="1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compared to 13.8% for the corresponding period last year. The increase in SG&amp;A was primarily due to the factors noted above for the three months ended September 30, 2025.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Pr>
          <w:p>
            <w:pPr>
              <w:spacing w:after="0"/>
              <w:rPr>
                <w:sz w:val="14"/>
                <w:szCs w:val="14"/>
                <w:color w:val="auto"/>
              </w:rPr>
            </w:pPr>
          </w:p>
        </w:tc>
        <w:tc>
          <w:tcPr>
            <w:tcW w:w="380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c>
          <w:tcPr>
            <w:tcW w:w="1180" w:type="dxa"/>
            <w:vAlign w:val="bottom"/>
            <w:gridSpan w:val="3"/>
          </w:tcPr>
          <w:p>
            <w:pPr>
              <w:ind w:left="380"/>
              <w:spacing w:after="0"/>
              <w:rPr>
                <w:sz w:val="20"/>
                <w:szCs w:val="20"/>
                <w:color w:val="auto"/>
              </w:rPr>
            </w:pPr>
            <w:r>
              <w:rPr>
                <w:rFonts w:ascii="Arial" w:cs="Arial" w:eastAsia="Arial" w:hAnsi="Arial"/>
                <w:sz w:val="14"/>
                <w:szCs w:val="14"/>
                <w:b w:val="1"/>
                <w:bCs w:val="1"/>
                <w:color w:val="auto"/>
              </w:rPr>
              <w:t>Variance</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4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September 30, 2025</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5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40" w:type="dxa"/>
            <w:vAlign w:val="bottom"/>
            <w:tcBorders>
              <w:right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1,839</w:t>
            </w:r>
          </w:p>
        </w:tc>
        <w:tc>
          <w:tcPr>
            <w:tcW w:w="2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4,232</w:t>
            </w:r>
          </w:p>
        </w:tc>
        <w:tc>
          <w:tcPr>
            <w:tcW w:w="260" w:type="dxa"/>
            <w:vAlign w:val="bottom"/>
            <w:tcBorders>
              <w:right w:val="single" w:sz="8" w:color="CFF0FC"/>
            </w:tcBorders>
            <w:shd w:val="clear" w:color="auto" w:fill="CFF0FC"/>
          </w:tcPr>
          <w:p>
            <w:pPr>
              <w:spacing w:after="0"/>
              <w:rPr>
                <w:sz w:val="17"/>
                <w:szCs w:val="17"/>
                <w:color w:val="auto"/>
              </w:rPr>
            </w:pPr>
          </w:p>
        </w:tc>
        <w:tc>
          <w:tcPr>
            <w:tcW w:w="1040" w:type="dxa"/>
            <w:vAlign w:val="bottom"/>
            <w:shd w:val="clear" w:color="auto" w:fill="CFF0FC"/>
          </w:tcPr>
          <w:p>
            <w:pPr>
              <w:jc w:val="right"/>
              <w:ind w:right="909"/>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FF0FC"/>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(2,393)</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3"/>
        </w:trPr>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(13,535)</w:t>
            </w:r>
          </w:p>
        </w:tc>
        <w:tc>
          <w:tcPr>
            <w:tcW w:w="1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(13,034)</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(501)</w:t>
            </w:r>
          </w:p>
        </w:tc>
        <w:tc>
          <w:tcPr>
            <w:tcW w:w="36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3640" w:type="dxa"/>
            <w:vAlign w:val="bottom"/>
            <w:tcBorders>
              <w:right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FF0FC"/>
          </w:tcPr>
          <w:p>
            <w:pPr>
              <w:spacing w:after="0"/>
              <w:rPr>
                <w:sz w:val="17"/>
                <w:szCs w:val="17"/>
                <w:color w:val="auto"/>
              </w:rPr>
            </w:pPr>
          </w:p>
        </w:tc>
        <w:tc>
          <w:tcPr>
            <w:tcW w:w="15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1,570</w:t>
            </w:r>
          </w:p>
        </w:tc>
        <w:tc>
          <w:tcPr>
            <w:tcW w:w="2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1,921</w:t>
            </w:r>
          </w:p>
        </w:tc>
        <w:tc>
          <w:tcPr>
            <w:tcW w:w="260" w:type="dxa"/>
            <w:vAlign w:val="bottom"/>
            <w:tcBorders>
              <w:right w:val="single" w:sz="8" w:color="CFF0FC"/>
            </w:tcBorders>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(351)</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36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tcPr>
          <w:p>
            <w:pPr>
              <w:ind w:left="100"/>
              <w:spacing w:after="0" w:line="196" w:lineRule="exact"/>
              <w:rPr>
                <w:sz w:val="20"/>
                <w:szCs w:val="20"/>
                <w:color w:val="auto"/>
              </w:rPr>
            </w:pPr>
            <w:r>
              <w:rPr>
                <w:rFonts w:ascii="Arial" w:cs="Arial" w:eastAsia="Arial" w:hAnsi="Arial"/>
                <w:sz w:val="18"/>
                <w:szCs w:val="18"/>
                <w:color w:val="auto"/>
              </w:rPr>
              <w:t>Total other income (expense)</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(10,126)</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(6,881)</w:t>
            </w:r>
          </w:p>
        </w:tc>
        <w:tc>
          <w:tcPr>
            <w:tcW w:w="260" w:type="dxa"/>
            <w:vAlign w:val="bottom"/>
          </w:tcPr>
          <w:p>
            <w:pPr>
              <w:spacing w:after="0"/>
              <w:rPr>
                <w:sz w:val="17"/>
                <w:szCs w:val="17"/>
                <w:color w:val="auto"/>
              </w:rPr>
            </w:pPr>
          </w:p>
        </w:tc>
        <w:tc>
          <w:tcPr>
            <w:tcW w:w="1040" w:type="dxa"/>
            <w:vAlign w:val="bottom"/>
          </w:tcPr>
          <w:p>
            <w:pPr>
              <w:jc w:val="right"/>
              <w:ind w:right="90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(3,245)</w:t>
            </w:r>
          </w:p>
        </w:tc>
        <w:tc>
          <w:tcPr>
            <w:tcW w:w="360" w:type="dxa"/>
            <w:vAlign w:val="bottom"/>
          </w:tcPr>
          <w:p>
            <w:pPr>
              <w:spacing w:after="0"/>
              <w:rPr>
                <w:sz w:val="17"/>
                <w:szCs w:val="17"/>
                <w:color w:val="auto"/>
              </w:rPr>
            </w:pPr>
          </w:p>
        </w:tc>
        <w:tc>
          <w:tcPr>
            <w:tcW w:w="1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Pr>
          <w:p>
            <w:pPr>
              <w:spacing w:after="0"/>
              <w:rPr>
                <w:sz w:val="24"/>
                <w:szCs w:val="24"/>
                <w:color w:val="auto"/>
              </w:rPr>
            </w:pPr>
          </w:p>
        </w:tc>
        <w:tc>
          <w:tcPr>
            <w:tcW w:w="3800" w:type="dxa"/>
            <w:vAlign w:val="bottom"/>
            <w:gridSpan w:val="5"/>
          </w:tcPr>
          <w:p>
            <w:pPr>
              <w:jc w:val="right"/>
              <w:ind w:right="1440"/>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24"/>
                <w:szCs w:val="24"/>
                <w:color w:val="auto"/>
              </w:rPr>
            </w:pPr>
          </w:p>
        </w:tc>
        <w:tc>
          <w:tcPr>
            <w:tcW w:w="1180" w:type="dxa"/>
            <w:vAlign w:val="bottom"/>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64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September 30, 2025</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5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40" w:type="dxa"/>
            <w:vAlign w:val="bottom"/>
            <w:tcBorders>
              <w:right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5,049</w:t>
            </w:r>
          </w:p>
        </w:tc>
        <w:tc>
          <w:tcPr>
            <w:tcW w:w="2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9,209</w:t>
            </w:r>
          </w:p>
        </w:tc>
        <w:tc>
          <w:tcPr>
            <w:tcW w:w="260" w:type="dxa"/>
            <w:vAlign w:val="bottom"/>
            <w:tcBorders>
              <w:right w:val="single" w:sz="8" w:color="CFF0FC"/>
            </w:tcBorders>
            <w:shd w:val="clear" w:color="auto" w:fill="CFF0FC"/>
          </w:tcPr>
          <w:p>
            <w:pPr>
              <w:spacing w:after="0"/>
              <w:rPr>
                <w:sz w:val="17"/>
                <w:szCs w:val="17"/>
                <w:color w:val="auto"/>
              </w:rPr>
            </w:pPr>
          </w:p>
        </w:tc>
        <w:tc>
          <w:tcPr>
            <w:tcW w:w="1040" w:type="dxa"/>
            <w:vAlign w:val="bottom"/>
            <w:shd w:val="clear" w:color="auto" w:fill="CFF0FC"/>
          </w:tcPr>
          <w:p>
            <w:pPr>
              <w:jc w:val="right"/>
              <w:ind w:right="869"/>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FF0FC"/>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(4,160)</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3"/>
        </w:trPr>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(38,350)</w:t>
            </w:r>
          </w:p>
        </w:tc>
        <w:tc>
          <w:tcPr>
            <w:tcW w:w="120" w:type="dxa"/>
            <w:vAlign w:val="bottom"/>
          </w:tcPr>
          <w:p>
            <w:pPr>
              <w:spacing w:after="0"/>
              <w:rPr>
                <w:sz w:val="17"/>
                <w:szCs w:val="17"/>
                <w:color w:val="auto"/>
              </w:rPr>
            </w:pPr>
          </w:p>
        </w:tc>
        <w:tc>
          <w:tcPr>
            <w:tcW w:w="1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(39,040)</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690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3640" w:type="dxa"/>
            <w:vAlign w:val="bottom"/>
            <w:tcBorders>
              <w:right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Convertible debt repurchase loss</w:t>
            </w:r>
          </w:p>
        </w:tc>
        <w:tc>
          <w:tcPr>
            <w:tcW w:w="120" w:type="dxa"/>
            <w:vAlign w:val="bottom"/>
            <w:shd w:val="clear" w:color="auto" w:fill="CFF0FC"/>
          </w:tcPr>
          <w:p>
            <w:pPr>
              <w:spacing w:after="0"/>
              <w:rPr>
                <w:sz w:val="17"/>
                <w:szCs w:val="17"/>
                <w:color w:val="auto"/>
              </w:rPr>
            </w:pPr>
          </w:p>
        </w:tc>
        <w:tc>
          <w:tcPr>
            <w:tcW w:w="15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60" w:type="dxa"/>
            <w:vAlign w:val="bottom"/>
            <w:tcBorders>
              <w:right w:val="single" w:sz="8" w:color="CFF0FC"/>
            </w:tcBorders>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(18,355)</w:t>
            </w:r>
          </w:p>
        </w:tc>
        <w:tc>
          <w:tcPr>
            <w:tcW w:w="104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18,355</w:t>
            </w:r>
          </w:p>
        </w:tc>
        <w:tc>
          <w:tcPr>
            <w:tcW w:w="24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8,224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(510)</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8,734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1712.5%</w:t>
            </w:r>
          </w:p>
        </w:tc>
        <w:tc>
          <w:tcPr>
            <w:tcW w:w="0" w:type="dxa"/>
            <w:vAlign w:val="bottom"/>
          </w:tcPr>
          <w:p>
            <w:pPr>
              <w:spacing w:after="0"/>
              <w:rPr>
                <w:sz w:val="1"/>
                <w:szCs w:val="1"/>
                <w:color w:val="auto"/>
              </w:rPr>
            </w:pPr>
          </w:p>
        </w:tc>
      </w:tr>
      <w:tr>
        <w:trPr>
          <w:trHeight w:val="20"/>
        </w:trPr>
        <w:tc>
          <w:tcPr>
            <w:tcW w:w="36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tcBorders>
              <w:right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other income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820" w:type="dxa"/>
            <w:vAlign w:val="bottom"/>
            <w:tcBorders>
              <w:right w:val="single" w:sz="8" w:color="CFF0FC"/>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(25,077)</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right w:val="single" w:sz="8" w:color="CFF0FC"/>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(48,696)</w:t>
            </w:r>
          </w:p>
        </w:tc>
        <w:tc>
          <w:tcPr>
            <w:tcW w:w="1040" w:type="dxa"/>
            <w:vAlign w:val="bottom"/>
            <w:shd w:val="clear" w:color="auto" w:fill="CFF0FC"/>
          </w:tcPr>
          <w:p>
            <w:pPr>
              <w:jc w:val="right"/>
              <w:ind w:right="869"/>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23,619</w:t>
            </w:r>
          </w:p>
        </w:tc>
        <w:tc>
          <w:tcPr>
            <w:tcW w:w="24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-1353820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-1353820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-1353820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-1353820</wp:posOffset>
            </wp:positionV>
            <wp:extent cx="1117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-25400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-8255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is related to interest earned on investments in government money funds.</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8" w:name="page49"/>
    <w:bookmarkEnd w:id="48"/>
    <w:p>
      <w:pPr>
        <w:ind w:right="120" w:firstLine="636"/>
        <w:spacing w:after="0" w:line="253" w:lineRule="auto"/>
        <w:rPr>
          <w:sz w:val="20"/>
          <w:szCs w:val="20"/>
          <w:color w:val="auto"/>
        </w:rPr>
      </w:pPr>
      <w:r>
        <w:rPr>
          <w:rFonts w:ascii="Arial" w:cs="Arial" w:eastAsia="Arial" w:hAnsi="Arial"/>
          <w:sz w:val="18"/>
          <w:szCs w:val="18"/>
          <w:color w:val="auto"/>
        </w:rPr>
        <w:t>Interest expense for the three and nine months ended September 30, 2025 and September 30, 2024 is primarily due to debt related to our Convertible Senior Notes and Term Loan. Interest expense for the nine months ended September 30, 2024 included a $3.2 million charge related to the March 2024 partial repurchase of the Company's Convertible Senior Notes due 2025 (discussed in more detail below).</w:t>
      </w:r>
    </w:p>
    <w:p>
      <w:pPr>
        <w:spacing w:after="0" w:line="169" w:lineRule="exact"/>
        <w:rPr>
          <w:sz w:val="20"/>
          <w:szCs w:val="20"/>
          <w:color w:val="auto"/>
        </w:rPr>
      </w:pPr>
    </w:p>
    <w:p>
      <w:pPr>
        <w:ind w:right="120" w:firstLine="636"/>
        <w:spacing w:after="0" w:line="230" w:lineRule="auto"/>
        <w:rPr>
          <w:sz w:val="20"/>
          <w:szCs w:val="20"/>
          <w:color w:val="auto"/>
        </w:rPr>
      </w:pPr>
      <w:r>
        <w:rPr>
          <w:rFonts w:ascii="Arial" w:cs="Arial" w:eastAsia="Arial" w:hAnsi="Arial"/>
          <w:sz w:val="18"/>
          <w:szCs w:val="18"/>
          <w:color w:val="auto"/>
        </w:rPr>
        <w:t>During the nine months ended September 30, 2024, we paid $495.6 million in cash to repurchase $284.6 million aggregate principal amount of our Convertible Senior Notes due 2025 (the "Repurchase Transaction") concurrently with the offering of 2.625% Convertible Senior Notes due 2029. As a result of the Repurchase Transaction, we incurred a $18.4 million loss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on debt extinguishment. The Repurchase Transaction is a partial repurchase of our Convertible Senior Notes due 2025. See </w:t>
      </w:r>
      <w:r>
        <w:rPr>
          <w:rFonts w:ascii="Arial" w:cs="Arial" w:eastAsia="Arial" w:hAnsi="Arial"/>
          <w:sz w:val="18"/>
          <w:szCs w:val="18"/>
          <w:color w:val="202124"/>
        </w:rPr>
        <w:t>“Note 10 – Debt and Credit Facilities,” for a</w:t>
      </w:r>
      <w:r>
        <w:rPr>
          <w:rFonts w:ascii="Arial" w:cs="Arial" w:eastAsia="Arial" w:hAnsi="Arial"/>
          <w:sz w:val="18"/>
          <w:szCs w:val="18"/>
          <w:color w:val="auto"/>
        </w:rPr>
        <w:t xml:space="preserve"> </w:t>
      </w:r>
      <w:r>
        <w:rPr>
          <w:rFonts w:ascii="Arial" w:cs="Arial" w:eastAsia="Arial" w:hAnsi="Arial"/>
          <w:sz w:val="18"/>
          <w:szCs w:val="18"/>
          <w:color w:val="202124"/>
        </w:rPr>
        <w:t>further discussion of this transaction</w:t>
      </w:r>
      <w:r>
        <w:rPr>
          <w:rFonts w:ascii="Arial" w:cs="Arial" w:eastAsia="Arial" w:hAnsi="Arial"/>
          <w:sz w:val="18"/>
          <w:szCs w:val="18"/>
          <w:color w:val="000000"/>
        </w:rPr>
        <w:t>.</w:t>
      </w:r>
    </w:p>
    <w:p>
      <w:pPr>
        <w:spacing w:after="0" w:line="189" w:lineRule="exact"/>
        <w:rPr>
          <w:sz w:val="20"/>
          <w:szCs w:val="20"/>
          <w:color w:val="auto"/>
        </w:rPr>
      </w:pPr>
    </w:p>
    <w:p>
      <w:pPr>
        <w:ind w:right="80" w:firstLine="636"/>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During the first quarter of 2024, prior to the early adoption of ASU 2024-04, the Company recorded a $211.0 million loss on debt extinguishment associated with the 0.25% Convertible Senior Notes due 2025. Please see "Note 2— Basis of Presentation and Principles of Consolidation" for a discussion of the Company's adoption of ASU 2024-04. As a result of the early adoption, the extinguishment charge was reversed from the Company's consolidated financial statements and a convertible debt repurchase loss was recorded as described above.</w:t>
      </w:r>
    </w:p>
    <w:p>
      <w:pPr>
        <w:spacing w:after="0" w:line="187" w:lineRule="exact"/>
        <w:rPr>
          <w:sz w:val="20"/>
          <w:szCs w:val="20"/>
          <w:color w:val="auto"/>
        </w:rPr>
      </w:pPr>
    </w:p>
    <w:p>
      <w:pPr>
        <w:jc w:val="both"/>
        <w:ind w:right="300" w:firstLine="636"/>
        <w:spacing w:after="0" w:line="253" w:lineRule="auto"/>
        <w:rPr>
          <w:sz w:val="20"/>
          <w:szCs w:val="20"/>
          <w:color w:val="auto"/>
        </w:rPr>
      </w:pPr>
      <w:r>
        <w:rPr>
          <w:rFonts w:ascii="Arial" w:cs="Arial" w:eastAsia="Arial" w:hAnsi="Arial"/>
          <w:sz w:val="18"/>
          <w:szCs w:val="18"/>
          <w:color w:val="auto"/>
        </w:rPr>
        <w:t>The amounts in other income (expense), net are primarily related to transaction gains and losses on foreign currency transactions and sublease income. Other income (expense), net for the nine months ended September 30, 2024 included a $1.8 million change in the estimated fair value of contingent consideration which was settled in the prior fiscal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Pr>
          <w:p>
            <w:pPr>
              <w:spacing w:after="0"/>
              <w:rPr>
                <w:sz w:val="14"/>
                <w:szCs w:val="14"/>
                <w:color w:val="auto"/>
              </w:rPr>
            </w:pPr>
          </w:p>
        </w:tc>
        <w:tc>
          <w:tcPr>
            <w:tcW w:w="3920" w:type="dxa"/>
            <w:vAlign w:val="bottom"/>
            <w:gridSpan w:val="6"/>
          </w:tcPr>
          <w:p>
            <w:pPr>
              <w:ind w:left="10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September 30, 2025</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September 30, 2024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Dollar</w:t>
            </w:r>
          </w:p>
        </w:tc>
        <w:tc>
          <w:tcPr>
            <w:tcW w:w="6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FF0FC"/>
          </w:tcPr>
          <w:p>
            <w:pPr>
              <w:ind w:left="1080"/>
              <w:spacing w:after="0" w:line="196" w:lineRule="exact"/>
              <w:rPr>
                <w:sz w:val="20"/>
                <w:szCs w:val="20"/>
                <w:color w:val="auto"/>
              </w:rPr>
            </w:pPr>
            <w:r>
              <w:rPr>
                <w:rFonts w:ascii="Arial" w:cs="Arial" w:eastAsia="Arial" w:hAnsi="Arial"/>
                <w:sz w:val="18"/>
                <w:szCs w:val="18"/>
                <w:color w:val="auto"/>
              </w:rPr>
              <w:t>16,035</w:t>
            </w:r>
          </w:p>
        </w:tc>
        <w:tc>
          <w:tcPr>
            <w:tcW w:w="3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22,518</w:t>
            </w:r>
          </w:p>
        </w:tc>
        <w:tc>
          <w:tcPr>
            <w:tcW w:w="1360" w:type="dxa"/>
            <w:vAlign w:val="bottom"/>
            <w:gridSpan w:val="2"/>
            <w:shd w:val="clear" w:color="auto" w:fill="CFF0FC"/>
          </w:tcPr>
          <w:p>
            <w:pPr>
              <w:jc w:val="right"/>
              <w:ind w:right="1028"/>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(6,483)</w:t>
            </w:r>
          </w:p>
        </w:tc>
        <w:tc>
          <w:tcPr>
            <w:tcW w:w="4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Company’s effective tax rate was 16.4% and 20.8% and income tax expense was $16.0 million and $ 22.5 million for the three months ended September 30, 2025 and September 30, 2024, respectively. The decrease in tax expense for the three months ended September 30, 2025 compared to the three months ended September 30, 2024 was due primarily to the tax impact of a decrease in pre-tax income, a discrete tax benefit related to the reduction of unrecognized tax benefits for various tax positions resulting from the expiration of the statute of limitations, a change in the jurisdictional mix of earnings and an increase in untaxed income attributed to noncontrolling interests, partially offset by a decrease in the foreign-derived intangible income (FDII) deduction and an increase in unrecognized tax benefits for foreign tax credits.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4"/>
          </w:tcPr>
          <w:p>
            <w:pPr>
              <w:jc w:val="right"/>
              <w:ind w:right="1239"/>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Variance</w:t>
            </w:r>
          </w:p>
        </w:tc>
        <w:tc>
          <w:tcPr>
            <w:tcW w:w="1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8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3"/>
                <w:szCs w:val="13"/>
                <w:color w:val="auto"/>
              </w:rPr>
            </w:pPr>
          </w:p>
        </w:tc>
        <w:tc>
          <w:tcPr>
            <w:tcW w:w="12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Dollar</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expense</w:t>
            </w:r>
          </w:p>
        </w:tc>
        <w:tc>
          <w:tcPr>
            <w:tcW w:w="7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53,702</w:t>
            </w:r>
          </w:p>
        </w:tc>
        <w:tc>
          <w:tcPr>
            <w:tcW w:w="4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58,257</w:t>
            </w:r>
          </w:p>
        </w:tc>
        <w:tc>
          <w:tcPr>
            <w:tcW w:w="1500" w:type="dxa"/>
            <w:vAlign w:val="bottom"/>
            <w:gridSpan w:val="2"/>
            <w:shd w:val="clear" w:color="auto" w:fill="CFF0FC"/>
          </w:tcPr>
          <w:p>
            <w:pPr>
              <w:jc w:val="right"/>
              <w:ind w:right="1048"/>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(4,555)</w:t>
            </w:r>
          </w:p>
        </w:tc>
        <w:tc>
          <w:tcPr>
            <w:tcW w:w="4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Company’s effective income tax rate was 18.7% and 20.8% for the nine months ended September 30, 2025 and September 30, 2024, respectively. Income tax expense was $53.7 million and $58.3 million for the nine months ended September 30, 2025 and September 30, 2024, respectively. The decrease in tax expense for the nine months ended September 30, 2025 compared to the nine months ended September 30, 2024 was due primarily to a discrete tax benefit related to the reduction of unrecognized tax benefits for various tax positions resulting from the expiration of the statute of limitations, a change in the jurisdictional mix of earnings and an increase in untaxed income attributed to noncontrolling interests, partially offset by a decreases in the FDII deduction and the windfall equity-based compensation deduction, and an increase in unrecognized tax benefits for foreign tax credits.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center"/>
        <w:ind w:right="40"/>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680" w:firstLine="636"/>
        <w:spacing w:after="0" w:line="255"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5"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6"/>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center"/>
              <w:ind w:right="6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340" w:type="dxa"/>
            <w:vAlign w:val="bottom"/>
            <w:tcBorders>
              <w:top w:val="single" w:sz="8" w:color="auto"/>
            </w:tcBorders>
            <w:gridSpan w:val="5"/>
          </w:tcPr>
          <w:p>
            <w:pPr>
              <w:jc w:val="center"/>
              <w:ind w:right="280"/>
              <w:spacing w:after="0" w:line="147" w:lineRule="exact"/>
              <w:rPr>
                <w:sz w:val="20"/>
                <w:szCs w:val="20"/>
                <w:color w:val="auto"/>
              </w:rPr>
            </w:pPr>
            <w:r>
              <w:rPr>
                <w:rFonts w:ascii="Arial" w:cs="Arial" w:eastAsia="Arial" w:hAnsi="Arial"/>
                <w:sz w:val="14"/>
                <w:szCs w:val="14"/>
                <w:b w:val="1"/>
                <w:bCs w:val="1"/>
                <w:color w:val="auto"/>
              </w:rPr>
              <w:t>September 30,</w:t>
            </w:r>
          </w:p>
        </w:tc>
        <w:tc>
          <w:tcPr>
            <w:tcW w:w="1120" w:type="dxa"/>
            <w:vAlign w:val="bottom"/>
            <w:tcBorders>
              <w:top w:val="single" w:sz="8" w:color="auto"/>
            </w:tcBorders>
            <w:gridSpan w:val="3"/>
          </w:tcPr>
          <w:p>
            <w:pPr>
              <w:jc w:val="right"/>
              <w:ind w:right="100"/>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 2025</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0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Federal Solutions Adjusted EBITDA attributable to Parsons</w:t>
            </w:r>
          </w:p>
        </w:tc>
        <w:tc>
          <w:tcPr>
            <w:tcW w:w="4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Corporation</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72,501</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120,091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215,105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315,413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00" w:type="dxa"/>
            <w:vAlign w:val="bottom"/>
            <w:gridSpan w:val="2"/>
          </w:tcPr>
          <w:p>
            <w:pPr>
              <w:spacing w:after="0" w:line="183" w:lineRule="exact"/>
              <w:rPr>
                <w:sz w:val="20"/>
                <w:szCs w:val="20"/>
                <w:color w:val="auto"/>
              </w:rPr>
            </w:pPr>
            <w:r>
              <w:rPr>
                <w:rFonts w:ascii="Arial" w:cs="Arial" w:eastAsia="Arial" w:hAnsi="Arial"/>
                <w:sz w:val="18"/>
                <w:szCs w:val="18"/>
                <w:color w:val="auto"/>
              </w:rPr>
              <w:t>Critical Infrastructure Adjusted EBITDA attributable to Parsons</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00" w:type="dxa"/>
            <w:vAlign w:val="bottom"/>
          </w:tcPr>
          <w:p>
            <w:pPr>
              <w:spacing w:after="0"/>
              <w:rPr>
                <w:sz w:val="20"/>
                <w:szCs w:val="20"/>
                <w:color w:val="auto"/>
              </w:rPr>
            </w:pPr>
            <w:r>
              <w:rPr>
                <w:rFonts w:ascii="Arial" w:cs="Arial" w:eastAsia="Arial" w:hAnsi="Arial"/>
                <w:sz w:val="18"/>
                <w:szCs w:val="18"/>
                <w:color w:val="auto"/>
              </w:rPr>
              <w:t>Corporation</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67,803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33,007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192,183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101,582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4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17,833</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8"/>
              </w:rPr>
              <w:t>13,913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48,756</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41,339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ind w:left="160"/>
              <w:spacing w:after="0" w:line="196" w:lineRule="exact"/>
              <w:rPr>
                <w:sz w:val="20"/>
                <w:szCs w:val="20"/>
                <w:color w:val="auto"/>
              </w:rPr>
            </w:pPr>
            <w:r>
              <w:rPr>
                <w:rFonts w:ascii="Arial" w:cs="Arial" w:eastAsia="Arial" w:hAnsi="Arial"/>
                <w:sz w:val="18"/>
                <w:szCs w:val="18"/>
                <w:color w:val="auto"/>
              </w:rPr>
              <w:t>Total Adjusted EBITDA</w:t>
            </w:r>
          </w:p>
        </w:tc>
        <w:tc>
          <w:tcPr>
            <w:tcW w:w="400" w:type="dxa"/>
            <w:vAlign w:val="bottom"/>
          </w:tcPr>
          <w:p>
            <w:pPr>
              <w:spacing w:after="0"/>
              <w:rPr>
                <w:sz w:val="17"/>
                <w:szCs w:val="17"/>
                <w:color w:val="auto"/>
              </w:rPr>
            </w:pPr>
          </w:p>
        </w:tc>
        <w:tc>
          <w:tcPr>
            <w:tcW w:w="960" w:type="dxa"/>
            <w:vAlign w:val="bottom"/>
            <w:gridSpan w:val="2"/>
          </w:tcPr>
          <w:p>
            <w:pPr>
              <w:jc w:val="right"/>
              <w:ind w:right="408"/>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158,137</w:t>
            </w:r>
          </w:p>
        </w:tc>
        <w:tc>
          <w:tcPr>
            <w:tcW w:w="460" w:type="dxa"/>
            <w:vAlign w:val="bottom"/>
            <w:gridSpan w:val="2"/>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167,011</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456,044</w:t>
            </w:r>
          </w:p>
        </w:tc>
        <w:tc>
          <w:tcPr>
            <w:tcW w:w="2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458,334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gridSpan w:val="5"/>
            <w:vMerge w:val="restart"/>
          </w:tcPr>
          <w:p>
            <w:pPr>
              <w:jc w:val="center"/>
              <w:ind w:left="25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136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136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20" w:type="dxa"/>
            <w:vAlign w:val="bottom"/>
            <w:tcBorders>
              <w:bottom w:val="single" w:sz="8" w:color="auto"/>
            </w:tcBorders>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7"/>
              </w:rPr>
              <w:t>Percent</w:t>
            </w: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788,607</w:t>
            </w:r>
          </w:p>
        </w:tc>
        <w:tc>
          <w:tcPr>
            <w:tcW w:w="80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1,105,580</w:t>
            </w:r>
          </w:p>
        </w:tc>
        <w:tc>
          <w:tcPr>
            <w:tcW w:w="5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4"/>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(316,973)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72,501</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120,091</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(47,590)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-999490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-999490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-999490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-999490</wp:posOffset>
            </wp:positionV>
            <wp:extent cx="774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1" w:lineRule="exact"/>
        <w:rPr>
          <w:sz w:val="20"/>
          <w:szCs w:val="20"/>
          <w:color w:val="auto"/>
        </w:rPr>
      </w:pPr>
    </w:p>
    <w:p>
      <w:pPr>
        <w:ind w:right="160" w:firstLine="644"/>
        <w:spacing w:after="0" w:line="247" w:lineRule="auto"/>
        <w:rPr>
          <w:sz w:val="20"/>
          <w:szCs w:val="20"/>
          <w:color w:val="auto"/>
        </w:rPr>
      </w:pPr>
      <w:r>
        <w:rPr>
          <w:rFonts w:ascii="Arial" w:cs="Arial" w:eastAsia="Arial" w:hAnsi="Arial"/>
          <w:sz w:val="18"/>
          <w:szCs w:val="18"/>
          <w:color w:val="auto"/>
        </w:rPr>
        <w:t>The decrease in Federal Solutions revenue for the three months ended September 30, 2025 compared to the corresponding period last year was primarily driven by our confidential contract operating at a reduced volume as a result of the recent Department of State reorganization issued May 29, 2025. This decrease was offset by the recognition of incentive fees, growth on existing contracts, and the ramp-up of new task orders.</w:t>
      </w:r>
    </w:p>
    <w:p>
      <w:pPr>
        <w:spacing w:after="0" w:line="174" w:lineRule="exact"/>
        <w:rPr>
          <w:sz w:val="20"/>
          <w:szCs w:val="20"/>
          <w:color w:val="auto"/>
        </w:rPr>
      </w:pPr>
    </w:p>
    <w:p>
      <w:pPr>
        <w:jc w:val="both"/>
        <w:ind w:right="40" w:firstLine="644"/>
        <w:spacing w:after="0" w:line="253" w:lineRule="auto"/>
        <w:rPr>
          <w:sz w:val="20"/>
          <w:szCs w:val="20"/>
          <w:color w:val="auto"/>
        </w:rPr>
      </w:pPr>
      <w:r>
        <w:rPr>
          <w:rFonts w:ascii="Arial" w:cs="Arial" w:eastAsia="Arial" w:hAnsi="Arial"/>
          <w:sz w:val="18"/>
          <w:szCs w:val="18"/>
          <w:color w:val="auto"/>
        </w:rPr>
        <w:t>The decrease in Federal Solutions Adjusted EBITDA attributable to Parsons Corporation for the three months ended September 30, 2025 compared to the corresponding period last year was primarily due to the factors impacting revenue discussed above and an increase in SG&amp;A including investments made in key personnel and bid and proposal activity on strategic pursuits.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1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1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2,436,628</w:t>
            </w:r>
          </w:p>
        </w:tc>
        <w:tc>
          <w:tcPr>
            <w:tcW w:w="78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3,003,791</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(567,163)</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215,105</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315,413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(100,308)</w:t>
            </w: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40" w:firstLine="644"/>
        <w:spacing w:after="0" w:line="271" w:lineRule="auto"/>
        <w:rPr>
          <w:sz w:val="20"/>
          <w:szCs w:val="20"/>
          <w:color w:val="auto"/>
        </w:rPr>
      </w:pPr>
      <w:r>
        <w:rPr>
          <w:rFonts w:ascii="Arial" w:cs="Arial" w:eastAsia="Arial" w:hAnsi="Arial"/>
          <w:sz w:val="18"/>
          <w:szCs w:val="18"/>
          <w:color w:val="auto"/>
        </w:rPr>
        <w:t>The decrease in Federal Solutions revenue for the nine months ended September 30, 2025 compared to the corresponding period last year was primarily related to the factors impacting revenue discussed above for the three months ended September 30, 2025.</w:t>
      </w:r>
    </w:p>
    <w:p>
      <w:pPr>
        <w:spacing w:after="0" w:line="154" w:lineRule="exact"/>
        <w:rPr>
          <w:sz w:val="20"/>
          <w:szCs w:val="20"/>
          <w:color w:val="auto"/>
        </w:rPr>
      </w:pPr>
    </w:p>
    <w:p>
      <w:pPr>
        <w:jc w:val="both"/>
        <w:ind w:right="180" w:firstLine="644"/>
        <w:spacing w:after="0" w:line="253" w:lineRule="auto"/>
        <w:rPr>
          <w:sz w:val="20"/>
          <w:szCs w:val="20"/>
          <w:color w:val="auto"/>
        </w:rPr>
      </w:pPr>
      <w:r>
        <w:rPr>
          <w:rFonts w:ascii="Arial" w:cs="Arial" w:eastAsia="Arial" w:hAnsi="Arial"/>
          <w:sz w:val="18"/>
          <w:szCs w:val="18"/>
          <w:color w:val="auto"/>
        </w:rPr>
        <w:t>The decrease in Federal Solutions Adjusted EBITDA attributable to Parsons Corporation for the nine months ended September 30, 2025 compared to the corresponding period last year was primarily related to the factors discussed above for Adjusted EBITDA attributable to Parsons Corporation for the three months ended September 30, 2025.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Critical Infrastructure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00" w:type="dxa"/>
            <w:vAlign w:val="bottom"/>
            <w:vMerge w:val="continue"/>
          </w:tcPr>
          <w:p>
            <w:pPr>
              <w:spacing w:after="0"/>
              <w:rPr>
                <w:sz w:val="13"/>
                <w:szCs w:val="13"/>
                <w:color w:val="auto"/>
              </w:rPr>
            </w:pPr>
          </w:p>
        </w:tc>
        <w:tc>
          <w:tcPr>
            <w:tcW w:w="1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1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833,141</w:t>
            </w:r>
          </w:p>
        </w:tc>
        <w:tc>
          <w:tcPr>
            <w:tcW w:w="88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704,536</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128,605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67,803</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33,007</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34,796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644"/>
        <w:spacing w:after="0" w:line="253" w:lineRule="auto"/>
        <w:rPr>
          <w:sz w:val="20"/>
          <w:szCs w:val="20"/>
          <w:color w:val="auto"/>
        </w:rPr>
      </w:pPr>
      <w:r>
        <w:rPr>
          <w:rFonts w:ascii="Arial" w:cs="Arial" w:eastAsia="Arial" w:hAnsi="Arial"/>
          <w:sz w:val="18"/>
          <w:szCs w:val="18"/>
          <w:color w:val="auto"/>
        </w:rPr>
        <w:t>The increase in Critical Infrastructure revenue for the three months ended September 30, 2025 compared to the corresponding periods last year was primarily related to organic growth of 12.7% and $38.9 million from business acquisitions. Organic growth was primarily due to an increase in business volume from existing contracts and ramping up of recent awards.</w:t>
      </w:r>
    </w:p>
    <w:p>
      <w:pPr>
        <w:spacing w:after="0" w:line="169" w:lineRule="exact"/>
        <w:rPr>
          <w:sz w:val="20"/>
          <w:szCs w:val="20"/>
          <w:color w:val="auto"/>
        </w:rPr>
      </w:pPr>
    </w:p>
    <w:p>
      <w:pPr>
        <w:ind w:right="140" w:firstLine="644"/>
        <w:spacing w:after="0" w:line="247"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three months ended September 30, 2025 compared to the corresponding period last year was primarily related to the revenue impacts discussed above, recent business acquisitions, and improvement in equity in earnings (losses) from unconsolidated joint ventures. These increases in Adjusted EBITDA, were partially offset by an increase in SG&amp;A.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00" w:type="dxa"/>
            <w:vAlign w:val="bottom"/>
            <w:vMerge w:val="continue"/>
          </w:tcPr>
          <w:p>
            <w:pPr>
              <w:spacing w:after="0"/>
              <w:rPr>
                <w:sz w:val="13"/>
                <w:szCs w:val="13"/>
                <w:color w:val="auto"/>
              </w:rPr>
            </w:pPr>
          </w:p>
        </w:tc>
        <w:tc>
          <w:tcPr>
            <w:tcW w:w="1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1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2,323,803</w:t>
            </w:r>
          </w:p>
        </w:tc>
        <w:tc>
          <w:tcPr>
            <w:tcW w:w="78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2,012,468</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311,335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192,183</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101,582</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90,601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40" w:firstLine="644"/>
        <w:spacing w:after="0" w:line="253" w:lineRule="auto"/>
        <w:rPr>
          <w:sz w:val="20"/>
          <w:szCs w:val="20"/>
          <w:color w:val="auto"/>
        </w:rPr>
      </w:pPr>
      <w:r>
        <w:rPr>
          <w:rFonts w:ascii="Arial" w:cs="Arial" w:eastAsia="Arial" w:hAnsi="Arial"/>
          <w:sz w:val="18"/>
          <w:szCs w:val="18"/>
          <w:color w:val="auto"/>
        </w:rPr>
        <w:t>The increase in Critical Infrastructure revenue for the nine months ended September 30, 2025 compared to the corresponding period last year was primarily related to organic growth of 9.8% and $113.8 million from business acquisitions along with the other factors impacting revenue discussed above.</w:t>
      </w:r>
    </w:p>
    <w:p>
      <w:pPr>
        <w:spacing w:after="0" w:line="169" w:lineRule="exact"/>
        <w:rPr>
          <w:sz w:val="20"/>
          <w:szCs w:val="20"/>
          <w:color w:val="auto"/>
        </w:rPr>
      </w:pPr>
    </w:p>
    <w:p>
      <w:pPr>
        <w:jc w:val="both"/>
        <w:ind w:right="260" w:firstLine="644"/>
        <w:spacing w:after="0" w:line="253"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nine months ended September 30, 2025 compared to the corresponding period last year was primarily related to the factors discussed above for Adjusted EBITDA for the three months ended September 30, 2025.</w:t>
      </w:r>
    </w:p>
    <w:p>
      <w:pPr>
        <w:spacing w:after="0" w:line="16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We currently finance our operations and capital expenditures through a combination of internally generated cash from operations, our Convertible Senior Notes, Term Loan and periodic borrowings under our Revolving Credit Facility.</w:t>
      </w:r>
    </w:p>
    <w:p>
      <w:pPr>
        <w:spacing w:after="0" w:line="154"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74" w:lineRule="exact"/>
        <w:rPr>
          <w:sz w:val="20"/>
          <w:szCs w:val="20"/>
          <w:color w:val="auto"/>
        </w:rPr>
      </w:pPr>
    </w:p>
    <w:p>
      <w:pPr>
        <w:ind w:right="260" w:firstLine="636"/>
        <w:spacing w:after="0" w:line="244" w:lineRule="auto"/>
        <w:rPr>
          <w:sz w:val="20"/>
          <w:szCs w:val="20"/>
          <w:color w:val="auto"/>
        </w:rPr>
      </w:pPr>
      <w:r>
        <w:rPr>
          <w:rFonts w:ascii="Arial" w:cs="Arial" w:eastAsia="Arial" w:hAnsi="Arial"/>
          <w:sz w:val="18"/>
          <w:szCs w:val="18"/>
          <w:color w:val="auto"/>
        </w:rPr>
        <w:t>As of September 30, 2025, we believe we have adequate liquidity and capital resources to fund our operations, support our debt service and our ongoing acquisition strategy for at least the next twelve months based on the liquidity from cash provided by our operating activities, cash and cash equivalents on-hand and our borrowing capacity under our Revolving Credit Facility. Management continually monitors debt maturities to strategically execute optimal terms and ensure appropriate levels of working capital liquidity are maintained for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1" w:name="page52"/>
    <w:bookmarkEnd w:id="51"/>
    <w:p>
      <w:pPr>
        <w:ind w:right="60" w:firstLine="636"/>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61"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Accounts receivable is the principal component of our working capital and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62 days at September 30, 2025 an 11 day increase from September 30, 2024. Impacting the change in DSO was lower volume from our confidential contract and delayed collections in the Middle East. Our working capital (current assets less current liabilities) was $1.1 billion at September 30, 2025 and $546.8 million at December 31, 2024.</w:t>
      </w:r>
    </w:p>
    <w:p>
      <w:pPr>
        <w:spacing w:after="0" w:line="180"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Our cash and cash equivalents decreased by $31.0 million to $422.6 million at September 30, 2025 from $453.5 million at December 31, 2024.</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60" w:type="dxa"/>
            <w:vAlign w:val="bottom"/>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rPr>
              <w:t>September 30, 2025</w:t>
            </w:r>
          </w:p>
        </w:tc>
        <w:tc>
          <w:tcPr>
            <w:tcW w:w="80" w:type="dxa"/>
            <w:vAlign w:val="bottom"/>
          </w:tcPr>
          <w:p>
            <w:pPr>
              <w:spacing w:after="0"/>
              <w:rPr>
                <w:sz w:val="13"/>
                <w:szCs w:val="13"/>
                <w:color w:val="auto"/>
              </w:rPr>
            </w:pPr>
          </w:p>
        </w:tc>
        <w:tc>
          <w:tcPr>
            <w:tcW w:w="152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42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310,864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jc w:val="right"/>
              <w:ind w:right="499"/>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396,840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4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(188,314)</w:t>
            </w: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(344,614)</w:t>
            </w:r>
          </w:p>
        </w:tc>
        <w:tc>
          <w:tcPr>
            <w:tcW w:w="0" w:type="dxa"/>
            <w:vAlign w:val="bottom"/>
          </w:tcPr>
          <w:p>
            <w:pPr>
              <w:spacing w:after="0"/>
              <w:rPr>
                <w:sz w:val="1"/>
                <w:szCs w:val="1"/>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(156,456)</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233,966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Effect of exchange rate changes</w:t>
            </w:r>
          </w:p>
        </w:tc>
        <w:tc>
          <w:tcPr>
            <w:tcW w:w="4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2,912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676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(30,994)</w:t>
            </w:r>
          </w:p>
        </w:tc>
        <w:tc>
          <w:tcPr>
            <w:tcW w:w="760" w:type="dxa"/>
            <w:vAlign w:val="bottom"/>
            <w:gridSpan w:val="2"/>
          </w:tcPr>
          <w:p>
            <w:pPr>
              <w:jc w:val="right"/>
              <w:ind w:right="499"/>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285,880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-162560</wp:posOffset>
            </wp:positionV>
            <wp:extent cx="603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140" w:firstLine="636"/>
        <w:spacing w:after="0" w:line="242"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losses (earnings)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1"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Net cash provided by operating activities decreased $86.0 million for the nine months ended September 30, 2025 compared to the nine months ended September 30, 2024. The primary driver of the decrease in cash flows provided by operating activities was a $103.8 million decrease in cash inflows from our working capital accounts (primarily from contract assets, prepaid expenses and other assets, accounts payable, and accrued expenses and other current liabilities offset by changes in accounts receivable and contract liabilities) offset by a change in other long-term liabilities of $18.3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20" w:firstLine="636"/>
        <w:spacing w:after="0" w:line="271"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54"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Net cash used in investing activities decreased $156.3 million for the nine months ended September 30, 2025, when compared to the nine months ended September 30, 2024. This change was primarily driven by a $80.6 million decrease in payments for acquisitions, net of cash acquired, a $53.1 million decrease in investments in unconsolidated joint ventures and a $28.3 million increase in return of investments in unconsolidated joint ventures.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600" w:firstLine="636"/>
        <w:spacing w:after="0" w:line="271" w:lineRule="auto"/>
        <w:rPr>
          <w:sz w:val="20"/>
          <w:szCs w:val="20"/>
          <w:color w:val="auto"/>
        </w:rPr>
      </w:pPr>
      <w:r>
        <w:rPr>
          <w:rFonts w:ascii="Arial" w:cs="Arial" w:eastAsia="Arial" w:hAnsi="Arial"/>
          <w:sz w:val="18"/>
          <w:szCs w:val="18"/>
          <w:color w:val="auto"/>
        </w:rPr>
        <w:t>Net cash (used in) provided by financing activities is primarily associated with proceeds from debt, the repayment thereof, and distributions to noncontrolling interests.</w:t>
      </w:r>
    </w:p>
    <w:p>
      <w:pPr>
        <w:spacing w:after="0" w:line="154" w:lineRule="exact"/>
        <w:rPr>
          <w:sz w:val="20"/>
          <w:szCs w:val="20"/>
          <w:color w:val="auto"/>
        </w:rPr>
      </w:pPr>
    </w:p>
    <w:p>
      <w:pPr>
        <w:ind w:right="200" w:firstLine="636"/>
        <w:spacing w:after="0" w:line="271" w:lineRule="auto"/>
        <w:rPr>
          <w:sz w:val="20"/>
          <w:szCs w:val="20"/>
          <w:color w:val="auto"/>
        </w:rPr>
      </w:pPr>
      <w:r>
        <w:rPr>
          <w:rFonts w:ascii="Arial" w:cs="Arial" w:eastAsia="Arial" w:hAnsi="Arial"/>
          <w:sz w:val="18"/>
          <w:szCs w:val="18"/>
          <w:color w:val="auto"/>
        </w:rPr>
        <w:t>Net cash used in financing activities increased $390.4 million for the nine months ended September 30, 2025 compared to the nine months ended September 30, 2024. The change in cash flows (used in) provided by financing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right="40"/>
        <w:spacing w:after="0" w:line="247" w:lineRule="auto"/>
        <w:rPr>
          <w:sz w:val="20"/>
          <w:szCs w:val="20"/>
          <w:color w:val="auto"/>
        </w:rPr>
      </w:pPr>
      <w:r>
        <w:rPr>
          <w:rFonts w:ascii="Arial" w:cs="Arial" w:eastAsia="Arial" w:hAnsi="Arial"/>
          <w:sz w:val="18"/>
          <w:szCs w:val="18"/>
          <w:color w:val="auto"/>
        </w:rPr>
        <w:t>activities is primarily driven by net cash inflows from our convertible bond transactions for the nine months ended June 30, 2024 of $316.2 million. See “Note 10 – Debt and Credit Facilities,” for a further discussion of these transactions. Also impacting net cash (used in) provided by financing activities were $55.0 million of repurchase of common stock and a $33.8 million change in distributions to noncontrolling interest offset in part by net, proceeds from the term loan of $100 million.</w:t>
      </w:r>
    </w:p>
    <w:p>
      <w:pPr>
        <w:spacing w:after="0" w:line="174" w:lineRule="exact"/>
        <w:rPr>
          <w:sz w:val="20"/>
          <w:szCs w:val="20"/>
          <w:color w:val="auto"/>
        </w:rPr>
      </w:pPr>
    </w:p>
    <w:p>
      <w:pPr>
        <w:ind w:right="260" w:firstLine="636"/>
        <w:spacing w:after="0" w:line="253" w:lineRule="auto"/>
        <w:rPr>
          <w:sz w:val="20"/>
          <w:szCs w:val="20"/>
          <w:color w:val="auto"/>
        </w:rPr>
      </w:pPr>
      <w:r>
        <w:rPr>
          <w:rFonts w:ascii="Arial" w:cs="Arial" w:eastAsia="Arial" w:hAnsi="Arial"/>
          <w:sz w:val="18"/>
          <w:szCs w:val="18"/>
          <w:color w:val="auto"/>
        </w:rPr>
        <w:t>During the quarter ended September 30, 2025, the Company paid $84.9 million to holders of the remaining balance of the Company's Convertible Senior Notes due 2025 that matured on August 15, 2025. During the nine months ended September 30, 2025, the Company paid $113.4 million to repurchase the Company's Convertible Senior Notes due 2025.</w:t>
      </w:r>
    </w:p>
    <w:p>
      <w:pPr>
        <w:spacing w:after="0" w:line="169"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In June 2025, the Company terminated its $ 350 million Delayed Draw Term Loan due 2025 and its $650 million Revolving Credit Facility due 2026 and replaced these credit facilities with a $450 million Term Loan due 2028 and a $750 million Revolving Credit Facility due 2030. See “Note 10 – Debt and Credit Facilities and the Company's Form 8-K filed June 5, 2025 for a further discussion of these credit facilities. Proceeds from the Term Loan were used to payoff the outstanding balance of the Delayed Draw Term Loan.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$354.3 million as of September 30, 2025. Letters of credit outstanding under the Credit Agreement total $41.8 million as of September 30, 2025.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See the information set forth in “Note 3—New Accounting Pronouncements” in the notes to our consolidated financial statements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2"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As of September 30, 2025,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risks related to the Company’s Revolving Credit Facility and Term Loan.</w:t>
      </w:r>
    </w:p>
    <w:p>
      <w:pPr>
        <w:spacing w:after="0" w:line="104"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As of September 30, 2025, there were no amounts outstanding under the Revolving Credit Facility. Borrowings under the Credit Facility effective June 2025 bear interest at either the Term SOFR rate plus a margin between 1.0% and 1.625% or a base rate (as defined in the Credit Agreement) plus a margin of between 0% and 0.625%. The rates on September 30, 2025 and December 31, 2024 were 5.4% and 5.7% (prior facility), respectively.</w:t>
      </w:r>
    </w:p>
    <w:p>
      <w:pPr>
        <w:spacing w:after="0" w:line="66" w:lineRule="exact"/>
        <w:rPr>
          <w:sz w:val="20"/>
          <w:szCs w:val="20"/>
          <w:color w:val="auto"/>
        </w:rPr>
      </w:pPr>
    </w:p>
    <w:p>
      <w:pPr>
        <w:ind w:right="20" w:firstLine="686"/>
        <w:spacing w:after="0" w:line="247" w:lineRule="auto"/>
        <w:rPr>
          <w:sz w:val="20"/>
          <w:szCs w:val="20"/>
          <w:color w:val="auto"/>
        </w:rPr>
      </w:pPr>
      <w:r>
        <w:rPr>
          <w:rFonts w:ascii="Arial" w:cs="Arial" w:eastAsia="Arial" w:hAnsi="Arial"/>
          <w:sz w:val="18"/>
          <w:szCs w:val="18"/>
          <w:color w:val="auto"/>
        </w:rPr>
        <w:t>As of September 30, 2025, there was $450.0 million outstanding under the Term Loan. Borrowings under the Term Loan Agreement effective June 2025 will bear interest at either an adjusted Term SOFR benchmark rate plus a margin between 0.875% and 1.500% or a base rate plus a margin of between 0% and 0.500% and will initially bear interest at the middle of this range. The interest rate at September 30, 2025 and December 31, 2024 were 5.3% and 5.6% (prior facility),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0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Our management carried out, as of September 30, 2025,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September 30, 2025,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100" w:firstLine="636"/>
        <w:spacing w:after="0" w:line="271" w:lineRule="auto"/>
        <w:rPr>
          <w:sz w:val="20"/>
          <w:szCs w:val="20"/>
          <w:color w:val="auto"/>
        </w:rPr>
      </w:pPr>
      <w:r>
        <w:rPr>
          <w:rFonts w:ascii="Arial" w:cs="Arial" w:eastAsia="Arial" w:hAnsi="Arial"/>
          <w:sz w:val="18"/>
          <w:szCs w:val="18"/>
          <w:color w:val="auto"/>
        </w:rPr>
        <w:t>During the third quarter of 2025, there were no changes to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9" w:right="4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480" w:firstLine="636"/>
        <w:spacing w:after="0" w:line="271"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have been no material changes to our Risk Factors disclosed in the Company’s Form 10-K for the year ended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ind w:right="20" w:firstLine="644"/>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March 2025 to increase and reset the repurchase capacity to $250 million. Any purchases made by the Company during Q1 of 2025 would be deducted from the reset capacity.</w:t>
      </w:r>
    </w:p>
    <w:p>
      <w:pPr>
        <w:spacing w:after="0" w:line="68"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and the March 2025 authorization is not greater than $329.7 million.</w:t>
      </w:r>
    </w:p>
    <w:p>
      <w:pPr>
        <w:spacing w:after="0" w:line="61" w:lineRule="exact"/>
        <w:rPr>
          <w:sz w:val="20"/>
          <w:szCs w:val="20"/>
          <w:color w:val="auto"/>
        </w:rPr>
      </w:pPr>
    </w:p>
    <w:p>
      <w:pPr>
        <w:ind w:right="120" w:firstLine="644"/>
        <w:spacing w:after="0" w:line="271" w:lineRule="auto"/>
        <w:rPr>
          <w:sz w:val="20"/>
          <w:szCs w:val="20"/>
          <w:color w:val="auto"/>
        </w:rPr>
      </w:pPr>
      <w:r>
        <w:rPr>
          <w:rFonts w:ascii="Arial" w:cs="Arial" w:eastAsia="Arial" w:hAnsi="Arial"/>
          <w:sz w:val="18"/>
          <w:szCs w:val="18"/>
          <w:color w:val="auto"/>
        </w:rPr>
        <w:t>As of September 30, 2025, the Company has spent $144.7 million repurchasing 2,679,421 shares of Common Stock at an average price of $54.00 per share.</w:t>
      </w:r>
    </w:p>
    <w:p>
      <w:pPr>
        <w:spacing w:after="0" w:line="46" w:lineRule="exact"/>
        <w:rPr>
          <w:sz w:val="20"/>
          <w:szCs w:val="20"/>
          <w:color w:val="auto"/>
        </w:rPr>
      </w:pPr>
    </w:p>
    <w:p>
      <w:pPr>
        <w:ind w:right="140" w:firstLine="636"/>
        <w:spacing w:after="0" w:line="244"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presents the Company's repurchases of equity securities for the three months ended September 30, 2025.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4"/>
                <w:szCs w:val="14"/>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296"/>
              <w:spacing w:after="0"/>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 approximate</w:t>
            </w:r>
          </w:p>
        </w:tc>
        <w:tc>
          <w:tcPr>
            <w:tcW w:w="0" w:type="dxa"/>
            <w:vAlign w:val="bottom"/>
          </w:tcPr>
          <w:p>
            <w:pPr>
              <w:spacing w:after="0"/>
              <w:rPr>
                <w:sz w:val="1"/>
                <w:szCs w:val="1"/>
                <w:color w:val="auto"/>
              </w:rPr>
            </w:pPr>
          </w:p>
        </w:tc>
      </w:tr>
      <w:tr>
        <w:trPr>
          <w:trHeight w:val="162"/>
        </w:trPr>
        <w:tc>
          <w:tcPr>
            <w:tcW w:w="444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 paid</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15"/>
        </w:trPr>
        <w:tc>
          <w:tcPr>
            <w:tcW w:w="4440" w:type="dxa"/>
            <w:vAlign w:val="bottom"/>
            <w:vMerge w:val="continue"/>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(or units</w:t>
            </w:r>
          </w:p>
        </w:tc>
        <w:tc>
          <w:tcPr>
            <w:tcW w:w="280" w:type="dxa"/>
            <w:vAlign w:val="bottom"/>
          </w:tcPr>
          <w:p>
            <w:pPr>
              <w:spacing w:after="0"/>
              <w:rPr>
                <w:sz w:val="10"/>
                <w:szCs w:val="1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per share (or unit)</w:t>
            </w:r>
          </w:p>
        </w:tc>
        <w:tc>
          <w:tcPr>
            <w:tcW w:w="24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0"/>
                <w:szCs w:val="10"/>
                <w:color w:val="auto"/>
              </w:rPr>
            </w:pPr>
          </w:p>
        </w:tc>
        <w:tc>
          <w:tcPr>
            <w:tcW w:w="16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shares (or units) that</w:t>
            </w:r>
          </w:p>
        </w:tc>
        <w:tc>
          <w:tcPr>
            <w:tcW w:w="0" w:type="dxa"/>
            <w:vAlign w:val="bottom"/>
          </w:tcPr>
          <w:p>
            <w:pPr>
              <w:spacing w:after="0"/>
              <w:rPr>
                <w:sz w:val="1"/>
                <w:szCs w:val="1"/>
                <w:color w:val="auto"/>
              </w:rPr>
            </w:pPr>
          </w:p>
        </w:tc>
      </w:tr>
      <w:tr>
        <w:trPr>
          <w:trHeight w:val="47"/>
        </w:trPr>
        <w:tc>
          <w:tcPr>
            <w:tcW w:w="444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296"/>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14"/>
                <w:szCs w:val="14"/>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plans programs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July 1 to 31, 2025</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210,005,603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40" w:type="dxa"/>
            <w:vAlign w:val="bottom"/>
          </w:tcPr>
          <w:p>
            <w:pPr>
              <w:spacing w:after="0" w:line="202" w:lineRule="exact"/>
              <w:rPr>
                <w:sz w:val="20"/>
                <w:szCs w:val="20"/>
                <w:color w:val="auto"/>
              </w:rPr>
            </w:pPr>
            <w:r>
              <w:rPr>
                <w:rFonts w:ascii="Arial" w:cs="Arial" w:eastAsia="Arial" w:hAnsi="Arial"/>
                <w:sz w:val="18"/>
                <w:szCs w:val="18"/>
                <w:color w:val="auto"/>
              </w:rPr>
              <w:t>August 1 to 31, 2025</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188,720</w:t>
            </w:r>
          </w:p>
        </w:tc>
        <w:tc>
          <w:tcPr>
            <w:tcW w:w="6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79.48</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188,720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195,005,752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September 1 to 30, 2025</w:t>
            </w: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134,455</w:t>
            </w:r>
          </w:p>
        </w:tc>
        <w:tc>
          <w:tcPr>
            <w:tcW w:w="640" w:type="dxa"/>
            <w:vAlign w:val="bottom"/>
            <w:tcBorders>
              <w:bottom w:val="single" w:sz="8" w:color="CFF0FC"/>
            </w:tcBorders>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74.37</w:t>
            </w:r>
          </w:p>
        </w:tc>
        <w:tc>
          <w:tcPr>
            <w:tcW w:w="24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134,455</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185,005,893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323,175</w:t>
            </w:r>
          </w:p>
        </w:tc>
        <w:tc>
          <w:tcPr>
            <w:tcW w:w="640" w:type="dxa"/>
            <w:vAlign w:val="bottom"/>
            <w:gridSpan w:val="2"/>
          </w:tcPr>
          <w:p>
            <w:pPr>
              <w:jc w:val="right"/>
              <w:ind w:right="188"/>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77.36</w:t>
            </w:r>
          </w:p>
        </w:tc>
        <w:tc>
          <w:tcPr>
            <w:tcW w:w="17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323,175</w:t>
            </w:r>
          </w:p>
        </w:tc>
        <w:tc>
          <w:tcPr>
            <w:tcW w:w="4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185,005,893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-162560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-162560</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1" w:lineRule="exact"/>
        <w:rPr>
          <w:sz w:val="20"/>
          <w:szCs w:val="20"/>
          <w:color w:val="auto"/>
        </w:rPr>
      </w:pPr>
    </w:p>
    <w:p>
      <w:pPr>
        <w:ind w:left="740" w:hanging="88"/>
        <w:spacing w:after="0"/>
        <w:tabs>
          <w:tab w:leader="none" w:pos="740" w:val="left"/>
        </w:tabs>
        <w:numPr>
          <w:ilvl w:val="0"/>
          <w:numId w:val="41"/>
        </w:numPr>
        <w:rPr>
          <w:rFonts w:ascii="Arial" w:cs="Arial" w:eastAsia="Arial" w:hAnsi="Arial"/>
          <w:sz w:val="23"/>
          <w:szCs w:val="23"/>
          <w:color w:val="auto"/>
          <w:vertAlign w:val="superscript"/>
        </w:rPr>
      </w:pPr>
      <w:r>
        <w:rPr>
          <w:rFonts w:ascii="Arial" w:cs="Arial" w:eastAsia="Arial" w:hAnsi="Arial"/>
          <w:sz w:val="16"/>
          <w:szCs w:val="16"/>
          <w:color w:val="auto"/>
        </w:rPr>
        <w:t>Includes commissions in the calculation of average price per share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Insider Trading Relationships and Policies</w:t>
      </w:r>
    </w:p>
    <w:p>
      <w:pPr>
        <w:spacing w:after="0" w:line="104" w:lineRule="exact"/>
        <w:rPr>
          <w:sz w:val="20"/>
          <w:szCs w:val="20"/>
          <w:color w:val="auto"/>
        </w:rPr>
      </w:pPr>
    </w:p>
    <w:p>
      <w:pPr>
        <w:ind w:right="260" w:firstLine="644"/>
        <w:spacing w:after="0" w:line="247" w:lineRule="auto"/>
        <w:rPr>
          <w:sz w:val="20"/>
          <w:szCs w:val="20"/>
          <w:color w:val="auto"/>
        </w:rPr>
      </w:pPr>
      <w:r>
        <w:rPr>
          <w:rFonts w:ascii="Arial" w:cs="Arial" w:eastAsia="Arial" w:hAnsi="Arial"/>
          <w:sz w:val="18"/>
          <w:szCs w:val="18"/>
          <w:color w:val="auto"/>
        </w:rPr>
        <w:t>In conformance with updated SEC regulations, the Company has adopted amended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New York Stock Exchange standards.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Executive Compensation</w:t>
      </w:r>
    </w:p>
    <w:p>
      <w:pPr>
        <w:spacing w:after="0" w:line="104" w:lineRule="exact"/>
        <w:rPr>
          <w:sz w:val="20"/>
          <w:szCs w:val="20"/>
          <w:color w:val="auto"/>
        </w:rPr>
      </w:pPr>
    </w:p>
    <w:p>
      <w:pPr>
        <w:ind w:right="120" w:firstLine="644"/>
        <w:spacing w:after="0" w:line="242" w:lineRule="auto"/>
        <w:rPr>
          <w:sz w:val="20"/>
          <w:szCs w:val="20"/>
          <w:color w:val="auto"/>
        </w:rPr>
      </w:pPr>
      <w:r>
        <w:rPr>
          <w:rFonts w:ascii="Arial" w:cs="Arial" w:eastAsia="Arial" w:hAnsi="Arial"/>
          <w:sz w:val="18"/>
          <w:szCs w:val="18"/>
          <w:color w:val="auto"/>
        </w:rPr>
        <w:t>As anticipated in the 8-K filed by Parsons Corporation on June 2, 2025, Parsons received notice of the termination for convenience of the material confidential contract with the Department of State on July 16, 2025. At the time of establishing the 2025 employee incentive plan, this termination was unforeseeable, and it was not within the control of the company nor its employees, having followed soon after the exercise of the contract option. Accordingly, the Parsons Board of Directors unanimously agreed that it is appropriate to modify certain 2025 short-term and long-term incentives for Parsons’ employees. Should the termination be revoked or the contract otherwise extended, any related financial benefit would be excluded from the incentive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ind w:right="76"/>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gridSpan w:val="9"/>
          </w:tcPr>
          <w:p>
            <w:pPr>
              <w:ind w:left="244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820" w:type="dxa"/>
            <w:vAlign w:val="bottom"/>
          </w:tcPr>
          <w:p>
            <w:pPr>
              <w:jc w:val="right"/>
              <w:ind w:right="316"/>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22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600" w:type="dxa"/>
            <w:vAlign w:val="bottom"/>
            <w:tcBorders>
              <w:top w:val="single" w:sz="8" w:color="0000FF"/>
            </w:tcBorders>
            <w:gridSpan w:val="3"/>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20" w:type="dxa"/>
            <w:vAlign w:val="bottom"/>
          </w:tcPr>
          <w:p>
            <w:pPr>
              <w:jc w:val="right"/>
              <w:ind w:right="316"/>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 1934,</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7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454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20" w:type="dxa"/>
            <w:vAlign w:val="bottom"/>
          </w:tcPr>
          <w:p>
            <w:pPr>
              <w:jc w:val="right"/>
              <w:ind w:right="316"/>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20" w:type="dxa"/>
            <w:vAlign w:val="bottom"/>
            <w:tcBorders>
              <w:top w:val="single" w:sz="8" w:color="0000FF"/>
            </w:tcBorders>
            <w:gridSpan w:val="6"/>
          </w:tcPr>
          <w:p>
            <w:pPr>
              <w:spacing w:after="0"/>
              <w:rPr>
                <w:sz w:val="15"/>
                <w:szCs w:val="15"/>
                <w:color w:val="auto"/>
              </w:rPr>
            </w:pPr>
          </w:p>
        </w:tc>
        <w:tc>
          <w:tcPr>
            <w:tcW w:w="580" w:type="dxa"/>
            <w:vAlign w:val="bottom"/>
            <w:gridSpan w:val="3"/>
          </w:tcPr>
          <w:p>
            <w:pPr>
              <w:spacing w:after="0"/>
              <w:rPr>
                <w:sz w:val="15"/>
                <w:szCs w:val="15"/>
                <w:color w:val="auto"/>
              </w:rPr>
            </w:pPr>
          </w:p>
        </w:tc>
      </w:tr>
      <w:tr>
        <w:trPr>
          <w:trHeight w:val="304"/>
        </w:trPr>
        <w:tc>
          <w:tcPr>
            <w:tcW w:w="820" w:type="dxa"/>
            <w:vAlign w:val="bottom"/>
          </w:tcPr>
          <w:p>
            <w:pPr>
              <w:jc w:val="right"/>
              <w:ind w:right="316"/>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60" w:type="dxa"/>
            <w:vAlign w:val="bottom"/>
            <w:tcBorders>
              <w:top w:val="single" w:sz="8" w:color="0000FF"/>
            </w:tcBorders>
            <w:gridSpan w:val="5"/>
          </w:tcPr>
          <w:p>
            <w:pPr>
              <w:spacing w:after="0"/>
              <w:rPr>
                <w:sz w:val="15"/>
                <w:szCs w:val="15"/>
                <w:color w:val="auto"/>
              </w:rPr>
            </w:pPr>
          </w:p>
        </w:tc>
        <w:tc>
          <w:tcPr>
            <w:tcW w:w="640" w:type="dxa"/>
            <w:vAlign w:val="bottom"/>
            <w:gridSpan w:val="4"/>
          </w:tcPr>
          <w:p>
            <w:pPr>
              <w:spacing w:after="0"/>
              <w:rPr>
                <w:sz w:val="15"/>
                <w:szCs w:val="15"/>
                <w:color w:val="auto"/>
              </w:rPr>
            </w:pPr>
          </w:p>
        </w:tc>
      </w:tr>
    </w:tbl>
    <w:p>
      <w:pPr>
        <w:spacing w:after="0" w:line="116" w:lineRule="exact"/>
        <w:rPr>
          <w:sz w:val="20"/>
          <w:szCs w:val="20"/>
          <w:color w:val="auto"/>
        </w:rPr>
      </w:pPr>
    </w:p>
    <w:p>
      <w:pPr>
        <w:ind w:left="940" w:right="20" w:hanging="932"/>
        <w:spacing w:after="0" w:line="247" w:lineRule="auto"/>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quarter ended September 30, 2025,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79" w:lineRule="exact"/>
        <w:rPr>
          <w:sz w:val="20"/>
          <w:szCs w:val="20"/>
          <w:color w:val="auto"/>
        </w:rPr>
      </w:pPr>
    </w:p>
    <w:p>
      <w:pPr>
        <w:ind w:left="940" w:right="80" w:hanging="932"/>
        <w:spacing w:after="0" w:line="271" w:lineRule="auto"/>
        <w:tabs>
          <w:tab w:leader="none" w:pos="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95123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6" w:name="page57"/>
    <w:bookmarkEnd w:id="56"/>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860" w:val="left"/>
          <w:tab w:leader="none" w:pos="7880" w:val="left"/>
        </w:tabs>
        <w:rPr>
          <w:sz w:val="20"/>
          <w:szCs w:val="20"/>
          <w:color w:val="auto"/>
        </w:rPr>
      </w:pPr>
      <w:r>
        <w:rPr>
          <w:rFonts w:ascii="Arial" w:cs="Arial" w:eastAsia="Arial" w:hAnsi="Arial"/>
          <w:sz w:val="18"/>
          <w:szCs w:val="18"/>
          <w:color w:val="auto"/>
        </w:rPr>
        <w:t>Date: November 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8890</wp:posOffset>
            </wp:positionV>
            <wp:extent cx="31629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0"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Matthew M. Ofilos</w:t>
      </w:r>
    </w:p>
    <w:p>
      <w:pPr>
        <w:spacing w:after="0" w:line="9"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jc w:val="center"/>
        <w:ind w:left="6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5" w:right="5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tabs>
          <w:tab w:leader="none" w:pos="6620" w:val="left"/>
          <w:tab w:leader="none" w:pos="8420" w:val="left"/>
        </w:tabs>
        <w:rPr>
          <w:sz w:val="20"/>
          <w:szCs w:val="20"/>
          <w:color w:val="auto"/>
        </w:rPr>
      </w:pPr>
      <w:r>
        <w:rPr>
          <w:rFonts w:ascii="Arial" w:cs="Arial" w:eastAsia="Arial" w:hAnsi="Arial"/>
          <w:sz w:val="18"/>
          <w:szCs w:val="18"/>
          <w:color w:val="auto"/>
        </w:rPr>
        <w:t>Date: November 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5"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23"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tabs>
          <w:tab w:leader="none" w:pos="6740" w:val="left"/>
          <w:tab w:leader="none" w:pos="8300" w:val="left"/>
        </w:tabs>
        <w:rPr>
          <w:sz w:val="20"/>
          <w:szCs w:val="20"/>
          <w:color w:val="auto"/>
        </w:rPr>
      </w:pPr>
      <w:r>
        <w:rPr>
          <w:rFonts w:ascii="Arial" w:cs="Arial" w:eastAsia="Arial" w:hAnsi="Arial"/>
          <w:sz w:val="18"/>
          <w:szCs w:val="18"/>
          <w:color w:val="auto"/>
        </w:rPr>
        <w:t>Date: November 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24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2025 as filed with the Securities and Exchange Commission on the date hereof (the “Report”), I, Carey A. Smith, Chief Executive Officer of the Company, certify, pursuant to 18 U.S.C. § 1350, as adopted pursuant to § 906 of the Sarbanes-Oxley Act of 2002, that:</w:t>
      </w:r>
    </w:p>
    <w:p>
      <w:pPr>
        <w:spacing w:after="0" w:line="61"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060" w:val="left"/>
          <w:tab w:leader="none" w:pos="8140" w:val="left"/>
        </w:tabs>
        <w:rPr>
          <w:sz w:val="20"/>
          <w:szCs w:val="20"/>
          <w:color w:val="auto"/>
        </w:rPr>
      </w:pPr>
      <w:r>
        <w:rPr>
          <w:rFonts w:ascii="Arial" w:cs="Arial" w:eastAsia="Arial" w:hAnsi="Arial"/>
          <w:sz w:val="18"/>
          <w:szCs w:val="18"/>
          <w:color w:val="auto"/>
        </w:rPr>
        <w:t>Date: November 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8890</wp:posOffset>
            </wp:positionV>
            <wp:extent cx="299148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0"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Carey A. Smith</w:t>
      </w:r>
    </w:p>
    <w:p>
      <w:pPr>
        <w:spacing w:after="0" w:line="14"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2025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060" w:val="left"/>
          <w:tab w:leader="none" w:pos="8020" w:val="left"/>
        </w:tabs>
        <w:rPr>
          <w:sz w:val="20"/>
          <w:szCs w:val="20"/>
          <w:color w:val="auto"/>
        </w:rPr>
      </w:pPr>
      <w:r>
        <w:rPr>
          <w:rFonts w:ascii="Arial" w:cs="Arial" w:eastAsia="Arial" w:hAnsi="Arial"/>
          <w:sz w:val="18"/>
          <w:szCs w:val="18"/>
          <w:color w:val="auto"/>
        </w:rPr>
        <w:t>Date: November 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8890</wp:posOffset>
            </wp:positionV>
            <wp:extent cx="300037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0"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1."/>
      <w:numFmt w:val="decimal"/>
      <w:start w:val="4"/>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6"/>
    </w:lvl>
  </w:abstractNum>
  <w:abstractNum w:abstractNumId="9">
    <w:nsid w:val="836C40E"/>
    <w:multiLevelType w:val="hybridMultilevel"/>
    <w:lvl w:ilvl="0">
      <w:lvlJc w:val="left"/>
      <w:lvlText w:val="%1."/>
      <w:numFmt w:val="decimal"/>
      <w:start w:val="7"/>
    </w:lvl>
  </w:abstractNum>
  <w:abstractNum w:abstractNumId="10">
    <w:nsid w:val="2901D82"/>
    <w:multiLevelType w:val="hybridMultilevel"/>
    <w:lvl w:ilvl="0">
      <w:lvlJc w:val="left"/>
      <w:lvlText w:val="%1."/>
      <w:numFmt w:val="decimal"/>
      <w:start w:val="8"/>
    </w:lvl>
  </w:abstractNum>
  <w:abstractNum w:abstractNumId="11">
    <w:nsid w:val="3A95F874"/>
    <w:multiLevelType w:val="hybridMultilevel"/>
    <w:lvl w:ilvl="0">
      <w:lvlJc w:val="left"/>
      <w:lvlText w:val="%1."/>
      <w:numFmt w:val="decimal"/>
      <w:start w:val="9"/>
    </w:lvl>
  </w:abstractNum>
  <w:abstractNum w:abstractNumId="12">
    <w:nsid w:val="8138641"/>
    <w:multiLevelType w:val="hybridMultilevel"/>
    <w:lvl w:ilvl="0">
      <w:lvlJc w:val="left"/>
      <w:lvlText w:val="%1."/>
      <w:numFmt w:val="decimal"/>
      <w:start w:val="10"/>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11"/>
    </w:lvl>
  </w:abstractNum>
  <w:abstractNum w:abstractNumId="16">
    <w:nsid w:val="6CEAF087"/>
    <w:multiLevelType w:val="hybridMultilevel"/>
    <w:lvl w:ilvl="0">
      <w:lvlJc w:val="left"/>
      <w:lvlText w:val="%1."/>
      <w:numFmt w:val="decimal"/>
      <w:start w:val="12"/>
    </w:lvl>
  </w:abstractNum>
  <w:abstractNum w:abstractNumId="17">
    <w:nsid w:val="22221A70"/>
    <w:multiLevelType w:val="hybridMultilevel"/>
    <w:lvl w:ilvl="0">
      <w:lvlJc w:val="left"/>
      <w:lvlText w:val="%1."/>
      <w:numFmt w:val="decimal"/>
      <w:start w:val="13"/>
    </w:lvl>
  </w:abstractNum>
  <w:abstractNum w:abstractNumId="18">
    <w:nsid w:val="4516DDE9"/>
    <w:multiLevelType w:val="hybridMultilevel"/>
    <w:lvl w:ilvl="0">
      <w:lvlJc w:val="left"/>
      <w:lvlText w:val="%1."/>
      <w:numFmt w:val="decimal"/>
      <w:start w:val="14"/>
    </w:lvl>
  </w:abstractNum>
  <w:abstractNum w:abstractNumId="19">
    <w:nsid w:val="3006C83E"/>
    <w:multiLevelType w:val="hybridMultilevel"/>
    <w:lvl w:ilvl="0">
      <w:lvlJc w:val="left"/>
      <w:lvlText w:val="%1."/>
      <w:numFmt w:val="decimal"/>
      <w:start w:val="15"/>
    </w:lvl>
  </w:abstractNum>
  <w:abstractNum w:abstractNumId="20">
    <w:nsid w:val="614FD4A1"/>
    <w:multiLevelType w:val="hybridMultilevel"/>
    <w:lvl w:ilvl="0">
      <w:lvlJc w:val="left"/>
      <w:lvlText w:val="%1."/>
      <w:numFmt w:val="decimal"/>
      <w:start w:val="16"/>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7"/>
    </w:lvl>
  </w:abstractNum>
  <w:abstractNum w:abstractNumId="23">
    <w:nsid w:val="440BADFC"/>
    <w:multiLevelType w:val="hybridMultilevel"/>
    <w:lvl w:ilvl="0">
      <w:lvlJc w:val="left"/>
      <w:lvlText w:val="%1."/>
      <w:numFmt w:val="decimal"/>
      <w:start w:val="1"/>
    </w:lvl>
    <w:lvl w:ilvl="1">
      <w:lvlJc w:val="left"/>
      <w:lvlText w:val="%2."/>
      <w:numFmt w:val="lowerLetter"/>
      <w:start w:val="1"/>
    </w:lvl>
  </w:abstractNum>
  <w:abstractNum w:abstractNumId="24">
    <w:nsid w:val="5072367"/>
    <w:multiLevelType w:val="hybridMultilevel"/>
    <w:lvl w:ilvl="0">
      <w:lvlJc w:val="left"/>
      <w:lvlText w:val="%1"/>
      <w:numFmt w:val="decimal"/>
      <w:start w:val="1"/>
    </w:lvl>
    <w:lvl w:ilvl="1">
      <w:lvlJc w:val="left"/>
      <w:lvlText w:val="%2."/>
      <w:numFmt w:val="lowerLetter"/>
      <w:start w:val="4"/>
    </w:lvl>
  </w:abstractNum>
  <w:abstractNum w:abstractNumId="25">
    <w:nsid w:val="3804823E"/>
    <w:multiLevelType w:val="hybridMultilevel"/>
    <w:lvl w:ilvl="0">
      <w:lvlJc w:val="left"/>
      <w:lvlText w:val="%1."/>
      <w:numFmt w:val="decimal"/>
      <w:start w:val="2"/>
    </w:lvl>
    <w:lvl w:ilvl="1">
      <w:lvlJc w:val="left"/>
      <w:lvlText w:val="%2."/>
      <w:numFmt w:val="lowerLetter"/>
      <w:start w:val="1"/>
    </w:lvl>
  </w:abstractNum>
  <w:abstractNum w:abstractNumId="26">
    <w:nsid w:val="77465F01"/>
    <w:multiLevelType w:val="hybridMultilevel"/>
    <w:lvl w:ilvl="0">
      <w:lvlJc w:val="left"/>
      <w:lvlText w:val="%1."/>
      <w:numFmt w:val="decimal"/>
      <w:start w:val="17"/>
    </w:lvl>
    <w:lvl w:ilvl="1">
      <w:lvlJc w:val="left"/>
      <w:lvlText w:val="1"/>
      <w:numFmt w:val="bullet"/>
      <w:start w:val="1"/>
    </w:lvl>
  </w:abstractNum>
  <w:abstractNum w:abstractNumId="27">
    <w:nsid w:val="7724C67E"/>
    <w:multiLevelType w:val="hybridMultilevel"/>
    <w:lvl w:ilvl="0">
      <w:lvlJc w:val="left"/>
      <w:lvlText w:val="(%1)"/>
      <w:numFmt w:val="lowerLetter"/>
      <w:start w:val="1"/>
    </w:lvl>
    <w:lvl w:ilvl="1">
      <w:lvlJc w:val="left"/>
      <w:lvlText w:val="%2."/>
      <w:numFmt w:val="lowerRoman"/>
      <w:start w:val="1"/>
    </w:lvl>
  </w:abstractNum>
  <w:abstractNum w:abstractNumId="28">
    <w:nsid w:val="5C482A97"/>
    <w:multiLevelType w:val="hybridMultilevel"/>
    <w:lvl w:ilvl="0">
      <w:lvlJc w:val="left"/>
      <w:lvlText w:val="%1."/>
      <w:numFmt w:val="decimal"/>
      <w:start w:val="19"/>
    </w:lvl>
  </w:abstractNum>
  <w:abstractNum w:abstractNumId="29">
    <w:nsid w:val="2463B9EA"/>
    <w:multiLevelType w:val="hybridMultilevel"/>
    <w:lvl w:ilvl="0">
      <w:lvlJc w:val="left"/>
      <w:lvlText w:val="%1."/>
      <w:numFmt w:val="decimal"/>
      <w:start w:val="20"/>
    </w:lvl>
  </w:abstractNum>
  <w:abstractNum w:abstractNumId="30">
    <w:nsid w:val="5E884ADC"/>
    <w:multiLevelType w:val="hybridMultilevel"/>
    <w:lvl w:ilvl="0">
      <w:lvlJc w:val="left"/>
      <w:lvlText w:val="1"/>
      <w:numFmt w:val="bullet"/>
      <w:start w:val="1"/>
    </w:lvl>
  </w:abstractNum>
  <w:abstractNum w:abstractNumId="31">
    <w:nsid w:val="51EAD36B"/>
    <w:multiLevelType w:val="hybridMultilevel"/>
    <w:lvl w:ilvl="0">
      <w:lvlJc w:val="left"/>
      <w:lvlText w:val="2"/>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3"/>
    </w:lvl>
  </w:abstractNum>
  <w:abstractNum w:abstractNumId="40">
    <w:nsid w:val="725A06FB"/>
    <w:multiLevelType w:val="hybridMultilevel"/>
    <w:lvl w:ilvl="0">
      <w:lvlJc w:val="left"/>
      <w:lvlText w:val="1"/>
      <w:numFmt w:val="bullet"/>
      <w:start w:val="1"/>
    </w:lvl>
  </w:abstractNum>
  <w:abstractNum w:abstractNumId="41">
    <w:nsid w:val="2CD89A32"/>
    <w:multiLevelType w:val="hybridMultilevel"/>
    <w:lvl w:ilvl="0">
      <w:lvlJc w:val="left"/>
      <w:lvlText w:val="%1"/>
      <w:numFmt w:val="decimal"/>
      <w:start w:val="101"/>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2025-11-05T05:47:32Z</dcterms:created>
  <dcterms:modified xsi:type="dcterms:W3CDTF">2025-11-05T05:47:32Z</dcterms:modified>
</cp:coreProperties>
</file>