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860" w:right="1260" w:hanging="2599"/>
        <w:spacing w:after="0" w:line="326" w:lineRule="auto"/>
        <w:tabs>
          <w:tab w:leader="none" w:pos="167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70"/>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1"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0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line="202" w:lineRule="exact"/>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ind w:right="14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300" w:hanging="598"/>
        <w:spacing w:after="0" w:line="251"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21, 2026, the registrant had 106,978,521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7"/>
          </w:tcPr>
          <w:p>
            <w:pPr>
              <w:ind w:left="20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1"/>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060" w:type="dxa"/>
            <w:vAlign w:val="bottom"/>
            <w:gridSpan w:val="15"/>
            <w:vMerge w:val="restart"/>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60" w:type="dxa"/>
            <w:vAlign w:val="bottom"/>
            <w:tcBorders>
              <w:bottom w:val="single" w:sz="8" w:color="0000FF"/>
            </w:tcBorders>
            <w:gridSpan w:val="11"/>
            <w:vMerge w:val="continue"/>
          </w:tcPr>
          <w:p>
            <w:pPr>
              <w:spacing w:after="0"/>
              <w:rPr>
                <w:sz w:val="14"/>
                <w:szCs w:val="14"/>
                <w:color w:val="auto"/>
              </w:rPr>
            </w:pPr>
          </w:p>
        </w:tc>
        <w:tc>
          <w:tcPr>
            <w:tcW w:w="706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bottom w:val="single" w:sz="8" w:color="0000FF"/>
            </w:tcBorders>
          </w:tcPr>
          <w:p>
            <w:pPr>
              <w:spacing w:after="0"/>
              <w:rPr>
                <w:sz w:val="15"/>
                <w:szCs w:val="15"/>
                <w:color w:val="auto"/>
              </w:rPr>
            </w:pPr>
          </w:p>
        </w:tc>
        <w:tc>
          <w:tcPr>
            <w:tcW w:w="48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77"/>
              </w:rPr>
              <w:t>Income</w:t>
            </w:r>
          </w:p>
        </w:tc>
        <w:tc>
          <w:tcPr>
            <w:tcW w:w="40" w:type="dxa"/>
            <w:vAlign w:val="bottom"/>
            <w:tcBorders>
              <w:bottom w:val="single" w:sz="8" w:color="0000EE"/>
            </w:tcBorders>
          </w:tcPr>
          <w:p>
            <w:pPr>
              <w:spacing w:after="0"/>
              <w:rPr>
                <w:sz w:val="15"/>
                <w:szCs w:val="15"/>
                <w:color w:val="auto"/>
              </w:rPr>
            </w:pPr>
          </w:p>
        </w:tc>
        <w:tc>
          <w:tcPr>
            <w:tcW w:w="64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1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4"/>
              </w:rPr>
              <w:t>Consolidated Statements of Shareholders’</w:t>
            </w:r>
          </w:p>
        </w:tc>
        <w:tc>
          <w:tcPr>
            <w:tcW w:w="20" w:type="dxa"/>
            <w:vAlign w:val="bottom"/>
            <w:tcBorders>
              <w:top w:val="single" w:sz="8" w:color="0000EE"/>
            </w:tcBorders>
          </w:tcPr>
          <w:p>
            <w:pPr>
              <w:spacing w:after="0"/>
              <w:rPr>
                <w:sz w:val="15"/>
                <w:szCs w:val="15"/>
                <w:color w:val="auto"/>
              </w:rPr>
            </w:pPr>
          </w:p>
        </w:tc>
        <w:tc>
          <w:tcPr>
            <w:tcW w:w="6100" w:type="dxa"/>
            <w:vAlign w:val="bottom"/>
            <w:gridSpan w:val="7"/>
          </w:tcPr>
          <w:p>
            <w:pPr>
              <w:ind w:left="200"/>
              <w:spacing w:after="0" w:line="182"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3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w:t>
            </w:r>
          </w:p>
        </w:tc>
        <w:tc>
          <w:tcPr>
            <w:tcW w:w="4940" w:type="dxa"/>
            <w:vAlign w:val="bottom"/>
            <w:gridSpan w:val="4"/>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4"/>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5"/>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6"/>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30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2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$90,488 and $153,144 Cash of consolidated joint ventures)</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283,921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220"/>
              <w:spacing w:after="0"/>
              <w:rPr>
                <w:sz w:val="20"/>
                <w:szCs w:val="20"/>
                <w:color w:val="auto"/>
              </w:rPr>
            </w:pPr>
            <w:r>
              <w:rPr>
                <w:rFonts w:ascii="Arial" w:cs="Arial" w:eastAsia="Arial" w:hAnsi="Arial"/>
                <w:sz w:val="14"/>
                <w:szCs w:val="14"/>
                <w:color w:val="auto"/>
              </w:rPr>
              <w:t>Accounts receivable, net (including $323,655 and $337,270 Accounts receivable of consolidated joint ventures)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1,096,575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1,124,417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assets (including $38,585 and $41,318 Contract assets of consolidated joint ventures)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1,021,848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915,806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220"/>
              <w:spacing w:after="0" w:line="153" w:lineRule="exact"/>
              <w:rPr>
                <w:sz w:val="20"/>
                <w:szCs w:val="20"/>
                <w:color w:val="auto"/>
              </w:rPr>
            </w:pPr>
            <w:r>
              <w:rPr>
                <w:rFonts w:ascii="Arial" w:cs="Arial" w:eastAsia="Arial" w:hAnsi="Arial"/>
                <w:sz w:val="14"/>
                <w:szCs w:val="14"/>
                <w:color w:val="auto"/>
              </w:rPr>
              <w:t>Prepaid expenses and other current assets (including $16,139 and $11,145 Prepaid expenses and other current assets of</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191,796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176,932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80" w:type="dxa"/>
            <w:vAlign w:val="bottom"/>
          </w:tcPr>
          <w:p>
            <w:pPr>
              <w:ind w:left="180"/>
              <w:spacing w:after="0" w:line="158" w:lineRule="exact"/>
              <w:rPr>
                <w:sz w:val="20"/>
                <w:szCs w:val="20"/>
                <w:color w:val="auto"/>
              </w:rPr>
            </w:pPr>
            <w:r>
              <w:rPr>
                <w:rFonts w:ascii="Arial" w:cs="Arial" w:eastAsia="Arial" w:hAnsi="Arial"/>
                <w:sz w:val="14"/>
                <w:szCs w:val="14"/>
                <w:color w:val="auto"/>
              </w:rPr>
              <w:t>consolidated joint ventures)</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8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2,594,140</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2,683,543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Property and Equipment, net (including $2,462 and $2,488 Property and equipment of consolidated joint ventures)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154,586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151,061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180"/>
              <w:spacing w:after="0" w:line="153" w:lineRule="exact"/>
              <w:rPr>
                <w:sz w:val="20"/>
                <w:szCs w:val="20"/>
                <w:color w:val="auto"/>
              </w:rPr>
            </w:pPr>
            <w:r>
              <w:rPr>
                <w:rFonts w:ascii="Arial" w:cs="Arial" w:eastAsia="Arial" w:hAnsi="Arial"/>
                <w:sz w:val="14"/>
                <w:szCs w:val="14"/>
                <w:color w:val="auto"/>
              </w:rPr>
              <w:t>Right of use assets, operating leases (including $3,895 and $4,482 Right of use assets, operating leases of consolidated joint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151,669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2,423,561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2,186,650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Investments in and advances to unconsolidated joint ventures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162,296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407,859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325,880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60,254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57,743</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58,799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80" w:type="dxa"/>
            <w:vAlign w:val="bottom"/>
          </w:tcPr>
          <w:p>
            <w:pPr>
              <w:ind w:left="340"/>
              <w:spacing w:after="0" w:line="155" w:lineRule="exact"/>
              <w:rPr>
                <w:sz w:val="20"/>
                <w:szCs w:val="20"/>
                <w:color w:val="auto"/>
              </w:rPr>
            </w:pPr>
            <w:r>
              <w:rPr>
                <w:rFonts w:ascii="Arial" w:cs="Arial" w:eastAsia="Arial" w:hAnsi="Arial"/>
                <w:sz w:val="14"/>
                <w:szCs w:val="14"/>
                <w:color w:val="auto"/>
              </w:rPr>
              <w:t>Total assets</w:t>
            </w:r>
          </w:p>
        </w:tc>
        <w:tc>
          <w:tcPr>
            <w:tcW w:w="4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6,012,108</w:t>
            </w:r>
          </w:p>
        </w:tc>
        <w:tc>
          <w:tcPr>
            <w:tcW w:w="22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5,769,534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8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Accounts payable (including $21,234 and $58,914 Accounts payable of consolidated joint ventures)</w:t>
            </w:r>
          </w:p>
        </w:tc>
        <w:tc>
          <w:tcPr>
            <w:tcW w:w="4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232,588</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250,514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Accrued expenses and other current liabilities (including $191,847 and $195,747 Accrued expenses and other current liabilities of</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831,532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884,445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Contract liabilities (including $48,749 and $44,802 Contract liabilities of consolidated joint ventures)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359,760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340,113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Short-term lease liabilities, operating leases (including $2,004 and $2,395 Short-term lease liabilities, operating leases of</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42,760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12,903</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8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1,479,543</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1,531,664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Long-term employee incentives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1,512,921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1,237,816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Long-term lease liabilities, operating leases (including $1,888 and $2,083 Long-term lease liabilities, operating leases of</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121,309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104,408</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95,345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8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4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3,257,951</w:t>
            </w:r>
          </w:p>
        </w:tc>
        <w:tc>
          <w:tcPr>
            <w:tcW w:w="22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3,001,862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Contingencies (Note 12)</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80" w:type="dxa"/>
            <w:vAlign w:val="bottom"/>
          </w:tcPr>
          <w:p>
            <w:pPr>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Common stock, $1 par value; authorized 1,000,000,000 shares; 145,677,597 and 145,676,335 shares issued; 56,923,103 and</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56,103,965 public shares outstanding; 50,046,241 and 50,864,117 ESOP shares outstanding</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145,678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Treasury stock, 38,708,253 shares at cost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(793,002)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(792,638)</w:t>
            </w: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2,610,651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2,648,730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709,725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661,173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(23,439)</w:t>
            </w: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(20,921)</w:t>
            </w:r>
          </w:p>
        </w:tc>
        <w:tc>
          <w:tcPr>
            <w:tcW w:w="0" w:type="dxa"/>
            <w:vAlign w:val="bottom"/>
          </w:tcPr>
          <w:p>
            <w:pPr>
              <w:spacing w:after="0"/>
              <w:rPr>
                <w:sz w:val="1"/>
                <w:szCs w:val="1"/>
                <w:color w:val="auto"/>
              </w:rPr>
            </w:pPr>
          </w:p>
        </w:tc>
      </w:tr>
      <w:tr>
        <w:trPr>
          <w:trHeight w:val="155"/>
        </w:trPr>
        <w:tc>
          <w:tcPr>
            <w:tcW w:w="8580" w:type="dxa"/>
            <w:vAlign w:val="bottom"/>
            <w:tcBorders>
              <w:top w:val="single" w:sz="8" w:color="CFF0FC"/>
            </w:tcBorders>
          </w:tcPr>
          <w:p>
            <w:pPr>
              <w:ind w:left="18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2,649,613</w:t>
            </w: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2,642,020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104,544</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125,652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80" w:type="dxa"/>
            <w:vAlign w:val="bottom"/>
          </w:tcPr>
          <w:p>
            <w:pPr>
              <w:ind w:left="180"/>
              <w:spacing w:after="0" w:line="155" w:lineRule="exact"/>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2,754,157</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2,767,672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58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6,012,108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5,769,534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-4362450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-3428365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-2275205</wp:posOffset>
            </wp:positionV>
            <wp:extent cx="939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-2275205</wp:posOffset>
            </wp:positionV>
            <wp:extent cx="939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-1422400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-462280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-248285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5"/>
          </w:tcPr>
          <w:p>
            <w:pPr>
              <w:jc w:val="right"/>
              <w:ind w:right="11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r>
      <w:tr>
        <w:trPr>
          <w:trHeight w:val="183"/>
        </w:trPr>
        <w:tc>
          <w:tcPr>
            <w:tcW w:w="7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5"/>
                <w:szCs w:val="15"/>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1,491,176</w:t>
            </w:r>
          </w:p>
        </w:tc>
        <w:tc>
          <w:tcPr>
            <w:tcW w:w="2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12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1,133,756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1,200,377</w:t>
            </w:r>
          </w:p>
        </w:tc>
        <w:tc>
          <w:tcPr>
            <w:tcW w:w="120" w:type="dxa"/>
            <w:vAlign w:val="bottom"/>
          </w:tcPr>
          <w:p>
            <w:pPr>
              <w:spacing w:after="0"/>
              <w:rPr>
                <w:sz w:val="17"/>
                <w:szCs w:val="17"/>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(687)</w:t>
            </w:r>
          </w:p>
        </w:tc>
      </w:tr>
      <w:tr>
        <w:trPr>
          <w:trHeight w:val="202"/>
        </w:trPr>
        <w:tc>
          <w:tcPr>
            <w:tcW w:w="72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267,902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244,063</w:t>
            </w:r>
          </w:p>
        </w:tc>
        <w:tc>
          <w:tcPr>
            <w:tcW w:w="120" w:type="dxa"/>
            <w:vAlign w:val="bottom"/>
          </w:tcPr>
          <w:p>
            <w:pPr>
              <w:spacing w:after="0"/>
              <w:rPr>
                <w:sz w:val="17"/>
                <w:szCs w:val="17"/>
                <w:color w:val="auto"/>
              </w:rPr>
            </w:pPr>
          </w:p>
        </w:tc>
      </w:tr>
      <w:tr>
        <w:trPr>
          <w:trHeight w:val="196"/>
        </w:trPr>
        <w:tc>
          <w:tcPr>
            <w:tcW w:w="7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95,674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109,233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1,811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2,142</w:t>
            </w:r>
          </w:p>
        </w:tc>
        <w:tc>
          <w:tcPr>
            <w:tcW w:w="120" w:type="dxa"/>
            <w:vAlign w:val="bottom"/>
          </w:tcPr>
          <w:p>
            <w:pPr>
              <w:spacing w:after="0"/>
              <w:rPr>
                <w:sz w:val="17"/>
                <w:szCs w:val="17"/>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(15,998)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(12,246)</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7"/>
                <w:szCs w:val="17"/>
                <w:color w:val="auto"/>
              </w:rPr>
            </w:pPr>
          </w:p>
        </w:tc>
        <w:tc>
          <w:tcPr>
            <w:tcW w:w="1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1,635</w:t>
            </w:r>
          </w:p>
        </w:tc>
        <w:tc>
          <w:tcPr>
            <w:tcW w:w="12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(14,376)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(8,469)</w:t>
            </w:r>
          </w:p>
        </w:tc>
      </w:tr>
      <w:tr>
        <w:trPr>
          <w:trHeight w:val="196"/>
        </w:trPr>
        <w:tc>
          <w:tcPr>
            <w:tcW w:w="7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81,298</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100,764</w:t>
            </w:r>
          </w:p>
        </w:tc>
        <w:tc>
          <w:tcPr>
            <w:tcW w:w="120" w:type="dxa"/>
            <w:vAlign w:val="bottom"/>
            <w:tcBorders>
              <w:top w:val="single" w:sz="8" w:color="CFF0FC"/>
            </w:tcBorders>
          </w:tcPr>
          <w:p>
            <w:pPr>
              <w:spacing w:after="0"/>
              <w:rPr>
                <w:sz w:val="17"/>
                <w:szCs w:val="17"/>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(16,087)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(18,977)</w:t>
            </w:r>
          </w:p>
        </w:tc>
      </w:tr>
      <w:tr>
        <w:trPr>
          <w:trHeight w:val="196"/>
        </w:trPr>
        <w:tc>
          <w:tcPr>
            <w:tcW w:w="7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65,211</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81,787</w:t>
            </w:r>
          </w:p>
        </w:tc>
        <w:tc>
          <w:tcPr>
            <w:tcW w:w="120" w:type="dxa"/>
            <w:vAlign w:val="bottom"/>
            <w:tcBorders>
              <w:top w:val="single" w:sz="8" w:color="CFF0FC"/>
            </w:tcBorders>
          </w:tcPr>
          <w:p>
            <w:pPr>
              <w:spacing w:after="0"/>
              <w:rPr>
                <w:sz w:val="17"/>
                <w:szCs w:val="17"/>
                <w:color w:val="auto"/>
              </w:rPr>
            </w:pPr>
          </w:p>
        </w:tc>
      </w:tr>
      <w:tr>
        <w:trPr>
          <w:trHeight w:val="203"/>
        </w:trPr>
        <w:tc>
          <w:tcPr>
            <w:tcW w:w="7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(12,285)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(15,584)</w:t>
            </w:r>
          </w:p>
        </w:tc>
      </w:tr>
      <w:tr>
        <w:trPr>
          <w:trHeight w:val="196"/>
        </w:trPr>
        <w:tc>
          <w:tcPr>
            <w:tcW w:w="72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52,926</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66,203</w:t>
            </w:r>
          </w:p>
        </w:tc>
        <w:tc>
          <w:tcPr>
            <w:tcW w:w="120" w:type="dxa"/>
            <w:vAlign w:val="bottom"/>
            <w:tcBorders>
              <w:top w:val="single" w:sz="8" w:color="CFF0FC"/>
            </w:tcBorders>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2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Earnings per share:</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240" w:type="dxa"/>
            <w:vAlign w:val="bottom"/>
          </w:tcPr>
          <w:p>
            <w:pPr>
              <w:spacing w:after="0"/>
              <w:rPr>
                <w:sz w:val="17"/>
                <w:szCs w:val="17"/>
                <w:color w:val="auto"/>
              </w:rPr>
            </w:pP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0.62</w:t>
            </w:r>
          </w:p>
        </w:tc>
        <w:tc>
          <w:tcPr>
            <w:tcW w:w="120" w:type="dxa"/>
            <w:vAlign w:val="bottom"/>
          </w:tcPr>
          <w:p>
            <w:pPr>
              <w:spacing w:after="0"/>
              <w:rPr>
                <w:sz w:val="17"/>
                <w:szCs w:val="17"/>
                <w:color w:val="auto"/>
              </w:rPr>
            </w:pPr>
          </w:p>
        </w:tc>
      </w:tr>
      <w:tr>
        <w:trPr>
          <w:trHeight w:val="203"/>
        </w:trPr>
        <w:tc>
          <w:tcPr>
            <w:tcW w:w="7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0.49</w:t>
            </w:r>
          </w:p>
        </w:tc>
        <w:tc>
          <w:tcPr>
            <w:tcW w:w="2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0.60</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-1610995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-1079500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-814070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-548005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-548005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8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March 31, 2026</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65,211</w:t>
            </w:r>
          </w:p>
        </w:tc>
        <w:tc>
          <w:tcPr>
            <w:tcW w:w="3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81,787</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(2,517)</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Pension adjustments, net of tax</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196"/>
        </w:trPr>
        <w:tc>
          <w:tcPr>
            <w:tcW w:w="82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Comprehensive income including noncontrolling interests, net of tax</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62,694</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82,641</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Comprehensive income attributable to noncontrolling interests, net of tax</w:t>
            </w:r>
          </w:p>
        </w:tc>
        <w:tc>
          <w:tcPr>
            <w:tcW w:w="10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(12,285)</w:t>
            </w:r>
          </w:p>
        </w:tc>
        <w:tc>
          <w:tcPr>
            <w:tcW w:w="1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(15,584)</w:t>
            </w:r>
          </w:p>
        </w:tc>
      </w:tr>
      <w:tr>
        <w:trPr>
          <w:trHeight w:val="23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attributable to Parsons Corporation, net of tax</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50,409</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March 31, 2026</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56"/>
        </w:trPr>
        <w:tc>
          <w:tcPr>
            <w:tcW w:w="7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Net income including noncontrolling interests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65,211</w:t>
            </w: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81,787</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35,926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27,403</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Amortization of debt issue costs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Loss (gain) on disposal of property and equipment</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Deferred taxes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Foreign currency transaction gains and losses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(786)</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Equity in losses (earnings) of unconsolidated joint ventures</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(6,156)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Return on investments in unconsolidated joint ventures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7,208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12,963</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11,242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10,979</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Contributions of treasury stock</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19,347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17,764</w:t>
            </w:r>
          </w:p>
        </w:tc>
        <w:tc>
          <w:tcPr>
            <w:tcW w:w="100" w:type="dxa"/>
            <w:vAlign w:val="bottom"/>
          </w:tcPr>
          <w:p>
            <w:pPr>
              <w:spacing w:after="0"/>
              <w:rPr>
                <w:sz w:val="14"/>
                <w:szCs w:val="14"/>
                <w:color w:val="auto"/>
              </w:rPr>
            </w:pPr>
          </w:p>
        </w:tc>
      </w:tr>
      <w:tr>
        <w:trPr>
          <w:trHeight w:val="153"/>
        </w:trPr>
        <w:tc>
          <w:tcPr>
            <w:tcW w:w="7600" w:type="dxa"/>
            <w:vAlign w:val="bottom"/>
            <w:shd w:val="clear" w:color="auto" w:fill="CFF0FC"/>
          </w:tcPr>
          <w:p>
            <w:pPr>
              <w:ind w:left="300"/>
              <w:spacing w:after="0" w:line="153" w:lineRule="exact"/>
              <w:rPr>
                <w:sz w:val="20"/>
                <w:szCs w:val="20"/>
                <w:color w:val="auto"/>
              </w:rPr>
            </w:pPr>
            <w:r>
              <w:rPr>
                <w:rFonts w:ascii="Arial" w:cs="Arial" w:eastAsia="Arial" w:hAnsi="Arial"/>
                <w:sz w:val="14"/>
                <w:szCs w:val="14"/>
                <w:color w:val="auto"/>
              </w:rPr>
              <w:t>Changes in assets and liabilities, net of acquisitions and consolidated</w:t>
            </w: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7600" w:type="dxa"/>
            <w:vAlign w:val="bottom"/>
            <w:shd w:val="clear" w:color="auto" w:fill="CFF0FC"/>
          </w:tcPr>
          <w:p>
            <w:pPr>
              <w:ind w:left="420"/>
              <w:spacing w:after="0"/>
              <w:rPr>
                <w:sz w:val="20"/>
                <w:szCs w:val="20"/>
                <w:color w:val="auto"/>
              </w:rPr>
            </w:pPr>
            <w:r>
              <w:rPr>
                <w:rFonts w:ascii="Arial" w:cs="Arial" w:eastAsia="Arial" w:hAnsi="Arial"/>
                <w:sz w:val="14"/>
                <w:szCs w:val="14"/>
                <w:color w:val="auto"/>
              </w:rPr>
              <w:t>joint ventures: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47,235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(21,015)</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Contract assets</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(94,998)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(78,015)</w:t>
            </w: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(12,552)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(17,171)</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(21,430)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79,659</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(75,250)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(132,892)</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19,247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Other long-term liabilities</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(6,193)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FF0FC"/>
          </w:tcPr>
          <w:p>
            <w:pPr>
              <w:spacing w:after="0"/>
              <w:rPr>
                <w:sz w:val="14"/>
                <w:szCs w:val="14"/>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Pr>
          <w:p>
            <w:pPr>
              <w:spacing w:after="0"/>
              <w:rPr>
                <w:sz w:val="13"/>
                <w:szCs w:val="13"/>
                <w:color w:val="auto"/>
              </w:rPr>
            </w:pPr>
          </w:p>
        </w:tc>
        <w:tc>
          <w:tcPr>
            <w:tcW w:w="1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(3,700)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(11,787)</w:t>
            </w:r>
          </w:p>
        </w:tc>
      </w:tr>
      <w:tr>
        <w:trPr>
          <w:trHeight w:val="155"/>
        </w:trPr>
        <w:tc>
          <w:tcPr>
            <w:tcW w:w="7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(14,921)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(13,473)</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for acquisitions, net of cash acquired</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(333,511)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(31,612)</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Investments in unconsolidated joint ventures</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(23,695)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(16,585)</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Return of investments in unconsolidated joint ventures</w:t>
            </w: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7,540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55"/>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(364,587)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(61,670)</w:t>
            </w:r>
          </w:p>
        </w:tc>
        <w:tc>
          <w:tcPr>
            <w:tcW w:w="100" w:type="dxa"/>
            <w:vAlign w:val="bottom"/>
          </w:tcPr>
          <w:p>
            <w:pPr>
              <w:spacing w:after="0"/>
              <w:rPr>
                <w:sz w:val="13"/>
                <w:szCs w:val="13"/>
                <w:color w:val="auto"/>
              </w:rPr>
            </w:pPr>
          </w:p>
        </w:tc>
      </w:tr>
      <w:tr>
        <w:trPr>
          <w:trHeight w:val="155"/>
        </w:trPr>
        <w:tc>
          <w:tcPr>
            <w:tcW w:w="7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Proceeds from borrowings under credit agreement</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145,900</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Repayments of borrowings under credit agreement</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(76,000)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(145,900)</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Repurchases of convertible notes due 2025</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(28,480)</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Contributions by noncontrolling interests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Distributions to noncontrolling interests</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(33,628)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(42,009)</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common stock</w:t>
            </w:r>
          </w:p>
        </w:tc>
        <w:tc>
          <w:tcPr>
            <w:tcW w:w="2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(34,989)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(24,995)</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Taxes paid on vested stock</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(19,702)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(15,640)</w:t>
            </w:r>
          </w:p>
        </w:tc>
      </w:tr>
      <w:tr>
        <w:trPr>
          <w:trHeight w:val="162"/>
        </w:trPr>
        <w:tc>
          <w:tcPr>
            <w:tcW w:w="76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2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186,487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(110,864)</w:t>
            </w:r>
          </w:p>
        </w:tc>
      </w:tr>
      <w:tr>
        <w:trPr>
          <w:trHeight w:val="20"/>
        </w:trPr>
        <w:tc>
          <w:tcPr>
            <w:tcW w:w="7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Effect of exchange rate changes</w:t>
            </w:r>
          </w:p>
        </w:tc>
        <w:tc>
          <w:tcPr>
            <w:tcW w:w="20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(667)</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518</w:t>
            </w:r>
          </w:p>
        </w:tc>
        <w:tc>
          <w:tcPr>
            <w:tcW w:w="100" w:type="dxa"/>
            <w:vAlign w:val="bottom"/>
            <w:shd w:val="clear" w:color="auto" w:fill="CFF0FC"/>
          </w:tcPr>
          <w:p>
            <w:pPr>
              <w:spacing w:after="0"/>
              <w:rPr>
                <w:sz w:val="13"/>
                <w:szCs w:val="13"/>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Pr>
          <w:p>
            <w:pPr>
              <w:spacing w:after="0"/>
              <w:rPr>
                <w:sz w:val="13"/>
                <w:szCs w:val="13"/>
                <w:color w:val="auto"/>
              </w:rPr>
            </w:pPr>
          </w:p>
        </w:tc>
        <w:tc>
          <w:tcPr>
            <w:tcW w:w="1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(182,467)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(183,803)</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cash equivalents and restricted cash:</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Beginning of year</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466,388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453,548</w:t>
            </w: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283,921</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269,745</w:t>
            </w:r>
          </w:p>
        </w:tc>
        <w:tc>
          <w:tcPr>
            <w:tcW w:w="100" w:type="dxa"/>
            <w:vAlign w:val="bottom"/>
            <w:shd w:val="clear" w:color="auto" w:fill="CFF0FC"/>
          </w:tcPr>
          <w:p>
            <w:pPr>
              <w:spacing w:after="0"/>
              <w:rPr>
                <w:sz w:val="15"/>
                <w:szCs w:val="15"/>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-2357120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-1734820</wp:posOffset>
            </wp:positionV>
            <wp:extent cx="939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-1734820</wp:posOffset>
            </wp:positionV>
            <wp:extent cx="939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-676910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-453390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March 31, 2026 and March 31, 2025</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860" w:type="dxa"/>
            <w:vAlign w:val="bottom"/>
            <w:tcBorders>
              <w:top w:val="single" w:sz="8" w:color="CFF0FC"/>
            </w:tcBorders>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w:t>
            </w: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145,676</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(792,638)</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2,648,730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661,173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(20,921)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2,642,020</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125,652</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2,767,672</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8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31,2025</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52,926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52,926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translation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net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(2,518)</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color w:val="auto"/>
              </w:rPr>
              <w:t>Contributions of treasury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Arial" w:cs="Arial" w:eastAsia="Arial" w:hAnsi="Arial"/>
                <w:sz w:val="14"/>
                <w:szCs w:val="14"/>
                <w:color w:val="auto"/>
              </w:rPr>
              <w:t>stock to ESOP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(33,628)</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(33,628)</w:t>
            </w: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Repurchase of warrants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color w:val="auto"/>
              </w:rPr>
              <w:t>Issuance of 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80"/>
              <w:spacing w:after="0"/>
              <w:rPr>
                <w:sz w:val="20"/>
                <w:szCs w:val="20"/>
                <w:color w:val="auto"/>
              </w:rPr>
            </w:pPr>
            <w:r>
              <w:rPr>
                <w:rFonts w:ascii="Arial" w:cs="Arial" w:eastAsia="Arial" w:hAnsi="Arial"/>
                <w:sz w:val="14"/>
                <w:szCs w:val="14"/>
                <w:color w:val="auto"/>
              </w:rPr>
              <w:t>net of retirement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(4,374)</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(19,071)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(19,071)</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Repurchases of common</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(34,415)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(34,988)</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(34,988)</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2026</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145,678</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(793,002)</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2,610,651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709,725</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(23,439)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2,649,613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104,544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2,754,157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146,655</w:t>
            </w:r>
          </w:p>
        </w:tc>
        <w:tc>
          <w:tcPr>
            <w:tcW w:w="2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(815,282)</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2,684,829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426,781</w:t>
            </w:r>
          </w:p>
        </w:tc>
        <w:tc>
          <w:tcPr>
            <w:tcW w:w="2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(26,594)</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2,416,389</w:t>
            </w:r>
          </w:p>
        </w:tc>
        <w:tc>
          <w:tcPr>
            <w:tcW w:w="2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118,100</w:t>
            </w:r>
          </w:p>
        </w:tc>
        <w:tc>
          <w:tcPr>
            <w:tcW w:w="2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2,534,489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line="151"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66,203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66,203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15,584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80"/>
              <w:spacing w:after="0"/>
              <w:rPr>
                <w:sz w:val="20"/>
                <w:szCs w:val="20"/>
                <w:color w:val="auto"/>
              </w:rPr>
            </w:pPr>
            <w:r>
              <w:rPr>
                <w:rFonts w:ascii="Arial" w:cs="Arial" w:eastAsia="Arial" w:hAnsi="Arial"/>
                <w:sz w:val="14"/>
                <w:szCs w:val="14"/>
                <w:color w:val="auto"/>
              </w:rPr>
              <w:t>gain,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Pension adjustments,</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(42,009)</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(42,009)</w:t>
            </w:r>
          </w:p>
        </w:tc>
        <w:tc>
          <w:tcPr>
            <w:tcW w:w="0" w:type="dxa"/>
            <w:vAlign w:val="bottom"/>
          </w:tcPr>
          <w:p>
            <w:pPr>
              <w:spacing w:after="0"/>
              <w:rPr>
                <w:sz w:val="1"/>
                <w:szCs w:val="1"/>
                <w:color w:val="auto"/>
              </w:rPr>
            </w:pP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color w:val="auto"/>
              </w:rPr>
              <w:t>Issuance of 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80"/>
              <w:spacing w:after="0"/>
              <w:rPr>
                <w:sz w:val="20"/>
                <w:szCs w:val="20"/>
                <w:color w:val="auto"/>
              </w:rPr>
            </w:pPr>
            <w:r>
              <w:rPr>
                <w:rFonts w:ascii="Arial" w:cs="Arial" w:eastAsia="Arial" w:hAnsi="Arial"/>
                <w:sz w:val="14"/>
                <w:szCs w:val="14"/>
                <w:color w:val="auto"/>
              </w:rPr>
              <w:t>net of retirements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(10,750)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(5,359)</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(15,636)</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(15,636)</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Repurchases of common</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(24,571)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(24,995)</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(24,995)</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10,979</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2025</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146,704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(815,282)</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2,660,487</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487,625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(25,740)</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2,453,794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91,938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2,545,732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-3599815</wp:posOffset>
            </wp:positionV>
            <wp:extent cx="768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-3599815</wp:posOffset>
            </wp:positionV>
            <wp:extent cx="768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-3599815</wp:posOffset>
            </wp:positionV>
            <wp:extent cx="774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-3599815</wp:posOffset>
            </wp:positionV>
            <wp:extent cx="6858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-3599815</wp:posOffset>
            </wp:positionV>
            <wp:extent cx="6858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-3792220</wp:posOffset>
            </wp:positionV>
            <wp:extent cx="93980" cy="231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-3599815</wp:posOffset>
            </wp:positionV>
            <wp:extent cx="6858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-1919605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-1902460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-1919605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-1902460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-1919605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-1902460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-1919605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-1902460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-1919605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-1902460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-1919605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-1902460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-1919605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-1902460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80" w:firstLine="644"/>
        <w:spacing w:after="0" w:line="247"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solutions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2025.</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00" w:lineRule="exact"/>
        <w:rPr>
          <w:sz w:val="20"/>
          <w:szCs w:val="20"/>
          <w:color w:val="auto"/>
        </w:rPr>
      </w:pPr>
    </w:p>
    <w:p>
      <w:pPr>
        <w:spacing w:after="0" w:line="39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100" w:firstLine="636"/>
        <w:spacing w:after="0" w:line="242"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and this ASU should be applied prospectively; however, retrospective application is also permitted. The adoption of this ASU will not have a material impact on the Company's consolidated financial statements.</w:t>
      </w:r>
    </w:p>
    <w:p>
      <w:pPr>
        <w:spacing w:after="0" w:line="179"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I</w:t>
      </w:r>
      <w:r>
        <w:rPr>
          <w:rFonts w:ascii="Arial" w:cs="Arial" w:eastAsia="Arial" w:hAnsi="Arial"/>
          <w:sz w:val="18"/>
          <w:szCs w:val="18"/>
          <w:color w:val="202124"/>
        </w:rPr>
        <w:t>n December 2023, the FASB issued ASU No. 2023-09, Income Taxes (Topic 740): Improvements to Income Tax Disclosures (“ASU</w:t>
      </w:r>
      <w:r>
        <w:rPr>
          <w:rFonts w:ascii="Arial" w:cs="Arial" w:eastAsia="Arial" w:hAnsi="Arial"/>
          <w:sz w:val="18"/>
          <w:szCs w:val="18"/>
          <w:color w:val="auto"/>
        </w:rPr>
        <w:t xml:space="preserve"> </w:t>
      </w:r>
      <w:r>
        <w:rPr>
          <w:rFonts w:ascii="Arial" w:cs="Arial" w:eastAsia="Arial" w:hAnsi="Arial"/>
          <w:sz w:val="18"/>
          <w:szCs w:val="18"/>
          <w:color w:val="202124"/>
        </w:rPr>
        <w:t>2023-09”), to improve the transparency of income tax disclosures. ASU 2023-09 requires a public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right="60"/>
        <w:spacing w:after="0" w:line="242" w:lineRule="auto"/>
        <w:rPr>
          <w:sz w:val="20"/>
          <w:szCs w:val="20"/>
          <w:color w:val="auto"/>
        </w:rPr>
      </w:pPr>
      <w:r>
        <w:rPr>
          <w:rFonts w:ascii="Arial" w:cs="Arial" w:eastAsia="Arial" w:hAnsi="Arial"/>
          <w:sz w:val="18"/>
          <w:szCs w:val="18"/>
          <w:color w:val="202124"/>
        </w:rPr>
        <w:t>business entity (“PBE”) to disclose, on an annual basis, specific categories in its income tax rate reconciliation and provide additional information for reconciling items that meet a quantitative threshold. ASU 2023-09 also requires all entities to disclose its income taxes paid, net of refunds received, disaggregated by federal, state and foreign taxes, with further disaggregation required for significant individual jurisdictions. For public business entities, the new standard is effective for annual periods beginning after December 15, 2024. This ASU was adopted in the fourth quarter of 2025, prospectively. The adoption of this ASU only impacted disclosures and did not have a material impact on the Company's consolidated financial statements.</w:t>
      </w:r>
    </w:p>
    <w:p>
      <w:pPr>
        <w:spacing w:after="0" w:line="200" w:lineRule="exact"/>
        <w:rPr>
          <w:sz w:val="20"/>
          <w:szCs w:val="20"/>
          <w:color w:val="auto"/>
        </w:rPr>
      </w:pPr>
    </w:p>
    <w:p>
      <w:pPr>
        <w:spacing w:after="0" w:line="39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202124"/>
        </w:rPr>
        <w:t>Altamira Technologies Corporation</w:t>
      </w:r>
    </w:p>
    <w:p>
      <w:pPr>
        <w:spacing w:after="0" w:line="212" w:lineRule="exact"/>
        <w:rPr>
          <w:sz w:val="20"/>
          <w:szCs w:val="20"/>
          <w:color w:val="auto"/>
        </w:rPr>
      </w:pPr>
    </w:p>
    <w:p>
      <w:pPr>
        <w:ind w:right="140" w:firstLine="644"/>
        <w:spacing w:after="0" w:line="207" w:lineRule="exact"/>
        <w:rPr>
          <w:sz w:val="20"/>
          <w:szCs w:val="20"/>
          <w:color w:val="auto"/>
        </w:rPr>
      </w:pPr>
      <w:r>
        <w:rPr>
          <w:rFonts w:ascii="Arial" w:cs="Arial" w:eastAsia="Arial" w:hAnsi="Arial"/>
          <w:sz w:val="18"/>
          <w:szCs w:val="18"/>
          <w:color w:val="202124"/>
        </w:rPr>
        <w:t xml:space="preserve">On January 14, 2026, the Company acquired a 100% ownership interest </w:t>
      </w:r>
      <w:r>
        <w:rPr>
          <w:rFonts w:ascii="Arial" w:cs="Arial" w:eastAsia="Arial" w:hAnsi="Arial"/>
          <w:sz w:val="18"/>
          <w:szCs w:val="18"/>
          <w:color w:val="000000"/>
        </w:rPr>
        <w:t>in Altamira Technologies Corporation ("ATC"), a privately</w:t>
      </w:r>
      <w:r>
        <w:rPr>
          <w:rFonts w:ascii="Arial" w:cs="Arial" w:eastAsia="Arial" w:hAnsi="Arial"/>
          <w:sz w:val="18"/>
          <w:szCs w:val="18"/>
          <w:color w:val="202124"/>
        </w:rPr>
        <w:t xml:space="preserve"> </w:t>
      </w:r>
      <w:r>
        <w:rPr>
          <w:rFonts w:ascii="Arial" w:cs="Arial" w:eastAsia="Arial" w:hAnsi="Arial"/>
          <w:sz w:val="18"/>
          <w:szCs w:val="18"/>
          <w:color w:val="000000"/>
        </w:rPr>
        <w:t>owned company, for approximately $340 million in cash and up to an additional $45 million in the event an earn out EBITDA target is exceeded. The Company borrowed $330.0 million under the Credit Agreement to fund the acquisition. Headquartered in McLean, Virginia, ATC enhances Parsons’ defense and intelligence portfolio by delivering advanced analytics, signals intelligence (SIGINT), cyber, missile warning, and space capabilities, complementing the Company’s strengths in all</w:t>
      </w:r>
      <w:r>
        <w:rPr>
          <w:rFonts w:ascii="MS PGothic" w:cs="MS PGothic" w:eastAsia="MS PGothic" w:hAnsi="MS PGothic"/>
          <w:sz w:val="18"/>
          <w:szCs w:val="18"/>
          <w:color w:val="000000"/>
        </w:rPr>
        <w:t>‑</w:t>
      </w:r>
      <w:r>
        <w:rPr>
          <w:rFonts w:ascii="Arial" w:cs="Arial" w:eastAsia="Arial" w:hAnsi="Arial"/>
          <w:sz w:val="18"/>
          <w:szCs w:val="18"/>
          <w:color w:val="000000"/>
        </w:rPr>
        <w:t>domain technology integration and Indo</w:t>
      </w:r>
      <w:r>
        <w:rPr>
          <w:rFonts w:ascii="MS PGothic" w:cs="MS PGothic" w:eastAsia="MS PGothic" w:hAnsi="MS PGothic"/>
          <w:sz w:val="18"/>
          <w:szCs w:val="18"/>
          <w:color w:val="000000"/>
        </w:rPr>
        <w:t>‑</w:t>
      </w:r>
      <w:r>
        <w:rPr>
          <w:rFonts w:ascii="Arial" w:cs="Arial" w:eastAsia="Arial" w:hAnsi="Arial"/>
          <w:sz w:val="18"/>
          <w:szCs w:val="18"/>
          <w:color w:val="000000"/>
        </w:rPr>
        <w:t xml:space="preserve"> Pacific operations, and expanding with intelligence community (IC) customers. </w:t>
      </w:r>
      <w:r>
        <w:rPr>
          <w:rFonts w:ascii="Arial" w:cs="Arial" w:eastAsia="Arial" w:hAnsi="Arial"/>
          <w:sz w:val="18"/>
          <w:szCs w:val="18"/>
          <w:color w:val="202124"/>
        </w:rPr>
        <w:t>In connection with this acquisition, the Company recognized $5.0 million of</w:t>
      </w:r>
      <w:r>
        <w:rPr>
          <w:rFonts w:ascii="Arial" w:cs="Arial" w:eastAsia="Arial" w:hAnsi="Arial"/>
          <w:sz w:val="18"/>
          <w:szCs w:val="18"/>
          <w:color w:val="000000"/>
        </w:rPr>
        <w:t xml:space="preserve"> </w:t>
      </w:r>
      <w:r>
        <w:rPr>
          <w:rFonts w:ascii="Arial" w:cs="Arial" w:eastAsia="Arial" w:hAnsi="Arial"/>
          <w:sz w:val="18"/>
          <w:szCs w:val="18"/>
          <w:color w:val="202124"/>
        </w:rPr>
        <w:t>acquisition-related expenses in “Selling, general and administrative expense” in the consolidated statements of income for the three months ended March 31, 2026, including legal fees, consulting fees, and other miscellaneous direct expenses associated with the acquisition.</w:t>
      </w:r>
    </w:p>
    <w:p>
      <w:pPr>
        <w:spacing w:after="0" w:line="180"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202124"/>
        </w:rPr>
        <w:t>The Company agreed to pay the selling shareholders up to an additional $45 million in the event an earn out EBITDA target is exceeded during the fiscal year ended December 31, 2026. In the event that the 2026 EBITDA is less than target, the earn out payment shall be zero. The fair value of the earn out (contingent consideration in the table below) was calculated using a Black-Scholes model. See "Note 16—Fair Value" for further information on how the fair value of contingent consideration is determined.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at closing</w:t>
            </w:r>
          </w:p>
        </w:tc>
        <w:tc>
          <w:tcPr>
            <w:tcW w:w="46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340,395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Fair value of contingent consideration to be achieved</w:t>
            </w:r>
          </w:p>
        </w:tc>
        <w:tc>
          <w:tcPr>
            <w:tcW w:w="4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11,387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Post closing adjustment</w:t>
            </w:r>
          </w:p>
        </w:tc>
        <w:tc>
          <w:tcPr>
            <w:tcW w:w="4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196"/>
        </w:trPr>
        <w:tc>
          <w:tcPr>
            <w:tcW w:w="49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purchase price</w:t>
            </w:r>
          </w:p>
        </w:tc>
        <w:tc>
          <w:tcPr>
            <w:tcW w:w="4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349,548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40" w:type="dxa"/>
            <w:vAlign w:val="bottom"/>
            <w:vMerge w:val="restart"/>
          </w:tcPr>
          <w:p>
            <w:pPr>
              <w:jc w:val="right"/>
              <w:ind w:right="337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9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9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380" w:firstLine="644"/>
        <w:spacing w:after="0" w:line="271" w:lineRule="auto"/>
        <w:rPr>
          <w:sz w:val="20"/>
          <w:szCs w:val="20"/>
          <w:color w:val="auto"/>
        </w:rPr>
      </w:pPr>
      <w:r>
        <w:rPr>
          <w:rFonts w:ascii="Arial" w:cs="Arial" w:eastAsia="Arial" w:hAnsi="Arial"/>
          <w:sz w:val="18"/>
          <w:szCs w:val="18"/>
          <w:color w:val="202124"/>
        </w:rPr>
        <w:t>The following table summarizes the estimated fair values of the assets acquired and liabilities assumed based on the preliminary purchase price allocation as of the date of acquisition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6,918</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20,443</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12,066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20,927</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237,473</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105,800</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(3,886)</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(1,989)</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(7,344)</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taxes payable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(1,073)</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(1,200)</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(18,937)</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 net</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(23,207)</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(912)</w:t>
            </w:r>
          </w:p>
        </w:tc>
      </w:tr>
      <w:tr>
        <w:trPr>
          <w:trHeight w:val="236"/>
        </w:trPr>
        <w:tc>
          <w:tcPr>
            <w:tcW w:w="64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349,548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16,400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161" w:lineRule="exact"/>
        <w:rPr>
          <w:sz w:val="20"/>
          <w:szCs w:val="20"/>
          <w:color w:val="auto"/>
        </w:rPr>
      </w:pPr>
    </w:p>
    <w:p>
      <w:pPr>
        <w:ind w:right="120" w:firstLine="644"/>
        <w:spacing w:after="0" w:line="253" w:lineRule="auto"/>
        <w:rPr>
          <w:sz w:val="20"/>
          <w:szCs w:val="20"/>
          <w:color w:val="auto"/>
        </w:rPr>
      </w:pPr>
      <w:r>
        <w:rPr>
          <w:rFonts w:ascii="Arial" w:cs="Arial" w:eastAsia="Arial" w:hAnsi="Arial"/>
          <w:sz w:val="18"/>
          <w:szCs w:val="18"/>
          <w:color w:val="auto"/>
        </w:rPr>
        <w:t>Amortization expense of $6.0 million related to these intangible assets was recorded for the three months ended March 31, 2026. The entire value of goodwill was assigned to the Federal Solutions reporting unit and represents synergies expected to be realized from this business combination. $2.2 million of goodwill is deductible for tax purposes.</w:t>
      </w:r>
    </w:p>
    <w:p>
      <w:pPr>
        <w:spacing w:after="0" w:line="169"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amount of revenue generated by ATC and included within consolidated revenue is $39.8 million for the three months ended March 31, 2026.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160" w:firstLine="644"/>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ATC acquisition had been consummated as of the beginning of fiscal year 2025 (in thousands)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gridSpan w:val="5"/>
          </w:tcPr>
          <w:p>
            <w:pPr>
              <w:ind w:left="114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8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March 31, 2026</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3"/>
                <w:szCs w:val="13"/>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1,497,153</w:t>
            </w:r>
          </w:p>
        </w:tc>
        <w:tc>
          <w:tcPr>
            <w:tcW w:w="6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1,589,396</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71,799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71,228</w:t>
            </w:r>
          </w:p>
        </w:tc>
        <w:tc>
          <w:tcPr>
            <w:tcW w:w="120" w:type="dxa"/>
            <w:vAlign w:val="bottom"/>
          </w:tcPr>
          <w:p>
            <w:pPr>
              <w:spacing w:after="0"/>
              <w:rPr>
                <w:sz w:val="20"/>
                <w:szCs w:val="20"/>
                <w:color w:val="auto"/>
              </w:rPr>
            </w:pPr>
          </w:p>
        </w:tc>
      </w:tr>
    </w:tbl>
    <w:p>
      <w:pPr>
        <w:spacing w:after="0" w:line="161" w:lineRule="exact"/>
        <w:rPr>
          <w:sz w:val="20"/>
          <w:szCs w:val="20"/>
          <w:color w:val="auto"/>
        </w:rPr>
      </w:pPr>
    </w:p>
    <w:p>
      <w:pPr>
        <w:ind w:right="700" w:firstLine="644"/>
        <w:spacing w:after="0" w:line="271"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right="100"/>
        <w:spacing w:after="0" w:line="247" w:lineRule="auto"/>
        <w:rPr>
          <w:sz w:val="20"/>
          <w:szCs w:val="20"/>
          <w:color w:val="auto"/>
        </w:rPr>
      </w:pPr>
      <w:r>
        <w:rPr>
          <w:rFonts w:ascii="Arial" w:cs="Arial" w:eastAsia="Arial" w:hAnsi="Arial"/>
          <w:sz w:val="18"/>
          <w:szCs w:val="18"/>
          <w:color w:val="auto"/>
        </w:rPr>
        <w:t>intangible assets, the pro forma impact of interest expense on acquired debt,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02124"/>
        </w:rPr>
        <w:t>Applied Sciences Consulting, Inc.</w:t>
      </w:r>
    </w:p>
    <w:p>
      <w:pPr>
        <w:spacing w:after="0" w:line="212" w:lineRule="exact"/>
        <w:rPr>
          <w:sz w:val="20"/>
          <w:szCs w:val="20"/>
          <w:color w:val="auto"/>
        </w:rPr>
      </w:pPr>
    </w:p>
    <w:p>
      <w:pPr>
        <w:ind w:right="140" w:firstLine="644"/>
        <w:spacing w:after="0"/>
        <w:rPr>
          <w:sz w:val="20"/>
          <w:szCs w:val="20"/>
          <w:color w:val="auto"/>
        </w:rPr>
      </w:pPr>
      <w:r>
        <w:rPr>
          <w:rFonts w:ascii="Arial" w:cs="Arial" w:eastAsia="Arial" w:hAnsi="Arial"/>
          <w:sz w:val="18"/>
          <w:szCs w:val="18"/>
          <w:color w:val="202124"/>
        </w:rPr>
        <w:t>On October 1, 2025, the Company acquired a 100% ownership interest in Applied Sciences Consulting, Inc. ("ASC"), a privately owned company, for $28.2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In connection with this acquisition, the Company recognized $0.5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1,210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21,852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4,590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(557)</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(398)</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(511)</w:t>
            </w:r>
          </w:p>
        </w:tc>
      </w:tr>
      <w:tr>
        <w:trPr>
          <w:trHeight w:val="236"/>
        </w:trPr>
        <w:tc>
          <w:tcPr>
            <w:tcW w:w="64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28,227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140" w:type="dxa"/>
            <w:vAlign w:val="bottom"/>
          </w:tcPr>
          <w:p>
            <w:pPr>
              <w:jc w:val="center"/>
              <w:ind w:left="404"/>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1140" w:type="dxa"/>
            <w:vAlign w:val="bottom"/>
          </w:tcPr>
          <w:p>
            <w:pPr>
              <w:jc w:val="center"/>
              <w:ind w:left="384"/>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11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40" w:type="dxa"/>
            <w:vAlign w:val="bottom"/>
            <w:shd w:val="clear" w:color="auto" w:fill="CFF0FC"/>
          </w:tcPr>
          <w:p>
            <w:pPr>
              <w:jc w:val="right"/>
              <w:ind w:right="964"/>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2,460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1,840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Trade name</w:t>
            </w: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Amortization expense of $0.4 million related to these intangible assets was recorded for the three months ended March 31, 2026. The entire value of goodwill was assigned to the Critical Infrastructure reporting unit and represents synergies expected to be realized from this business combination. The entire value of goodwill is deductible for tax purposes.</w:t>
      </w:r>
    </w:p>
    <w:p>
      <w:pPr>
        <w:spacing w:after="0" w:line="61"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amount of revenue generated by ASC and included within consolidated revenue is $2.4 million for the three months ended March 31, 2026.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140" w:firstLine="644"/>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ASC acquisition had been consummated as of the beginning of fiscal year 2024 (in thousands) is as follows:</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00" w:type="dxa"/>
            <w:vAlign w:val="bottom"/>
            <w:gridSpan w:val="2"/>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400" w:type="dxa"/>
            <w:vAlign w:val="bottom"/>
            <w:tcBorders>
              <w:top w:val="single" w:sz="8" w:color="auto"/>
              <w:bottom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17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1,556,243</w:t>
            </w:r>
          </w:p>
        </w:tc>
        <w:tc>
          <w:tcPr>
            <w:tcW w:w="100" w:type="dxa"/>
            <w:vAlign w:val="bottom"/>
            <w:shd w:val="clear" w:color="auto" w:fill="CFF0FC"/>
          </w:tcPr>
          <w:p>
            <w:pPr>
              <w:spacing w:after="0"/>
              <w:rPr>
                <w:sz w:val="17"/>
                <w:szCs w:val="17"/>
                <w:color w:val="auto"/>
              </w:rPr>
            </w:pPr>
          </w:p>
        </w:tc>
      </w:t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82,101</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Chesapeake Technology International, Corp</w:t>
      </w:r>
    </w:p>
    <w:p>
      <w:pPr>
        <w:spacing w:after="0" w:line="212"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202124"/>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In connection with this acquisition, the Company recognized $2.2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4,769</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28,145</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4,256</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1,029</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57,468</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34,820</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3,173</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(17,818)</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(7,471)</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(8,079)</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(5,446)</w:t>
            </w:r>
          </w:p>
        </w:tc>
      </w:tr>
      <w:tr>
        <w:trPr>
          <w:trHeight w:val="202"/>
        </w:trPr>
        <w:tc>
          <w:tcPr>
            <w:tcW w:w="914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(2,167)</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(3,979)</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91,534</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20,690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8,010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29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Amortization expense of $1.4 million related to these intangible assets was recorded for the three months ended March 31, 2026. The entire value of goodwill was assigned to the Federal Solutions reporting unit and represents synergies expected to be realized from this business combination. $8.8 million of goodwill is deductible for tax purposes.</w:t>
      </w:r>
    </w:p>
    <w:p>
      <w:pPr>
        <w:spacing w:after="0" w:line="6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amount of revenue generated by CTI and included within consolidated revenue is $17.7 million for the year ended March 31, 2026.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CTI acquisition had been consummated as of the beginning of fiscal year 2024 (in thousands) is as follows:</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00" w:type="dxa"/>
            <w:vAlign w:val="bottom"/>
            <w:gridSpan w:val="2"/>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5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400" w:type="dxa"/>
            <w:vAlign w:val="bottom"/>
            <w:tcBorders>
              <w:top w:val="single" w:sz="8" w:color="auto"/>
              <w:bottom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17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1,589,802</w:t>
            </w:r>
          </w:p>
        </w:tc>
        <w:tc>
          <w:tcPr>
            <w:tcW w:w="100" w:type="dxa"/>
            <w:vAlign w:val="bottom"/>
            <w:shd w:val="clear" w:color="auto" w:fill="CFF0FC"/>
          </w:tcPr>
          <w:p>
            <w:pPr>
              <w:spacing w:after="0"/>
              <w:rPr>
                <w:sz w:val="17"/>
                <w:szCs w:val="17"/>
                <w:color w:val="auto"/>
              </w:rPr>
            </w:pPr>
          </w:p>
        </w:tc>
      </w:t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81,518</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TRS Group, Inc.</w:t>
      </w:r>
    </w:p>
    <w:p>
      <w:pPr>
        <w:spacing w:after="0" w:line="21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202124"/>
        </w:rPr>
        <w:t>On January 31, 2025, the Company acquired a 100% ownership interest in TRS Group, Inc. ("TRS"), a privately owned company, for $36.6 million from cash on hand (of which $3.8 million will be paid in July 2026). TRS is an environmental solutions firm that specializes in remediation technology. In connection with this acquisition, the Company recognized $0.5 million of acquisition-related expenses in “Selling, general and administrative expense” in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 w:name="page14"/>
    <w:bookmarkEnd w:id="13"/>
    <w:p>
      <w:pPr>
        <w:ind w:right="340"/>
        <w:spacing w:after="0" w:line="271" w:lineRule="auto"/>
        <w:rPr>
          <w:sz w:val="20"/>
          <w:szCs w:val="20"/>
          <w:color w:val="auto"/>
        </w:rPr>
      </w:pPr>
      <w:r>
        <w:rPr>
          <w:rFonts w:ascii="Arial" w:cs="Arial" w:eastAsia="Arial" w:hAnsi="Arial"/>
          <w:sz w:val="18"/>
          <w:szCs w:val="18"/>
          <w:color w:val="202124"/>
        </w:rPr>
        <w:t>consolidated statements of income for the year ended December 31, 2025, including legal fees, consulting fees, and other miscellaneous direct expenses associated with the acquisition.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 xml:space="preserve">The following table summarizes the acquisition date fair value of the purchase consideration transferred (in </w:t>
      </w:r>
      <w:r>
        <w:rPr>
          <w:rFonts w:ascii="Arial" w:cs="Arial" w:eastAsia="Arial" w:hAnsi="Arial"/>
          <w:sz w:val="18"/>
          <w:szCs w:val="18"/>
          <w:color w:val="000000"/>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5,832</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22,972</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(1,095)</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(3,270)</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(4,222)</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36,566</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180" w:type="dxa"/>
            <w:vAlign w:val="bottom"/>
          </w:tcPr>
          <w:p>
            <w:pPr>
              <w:jc w:val="center"/>
              <w:ind w:left="421"/>
              <w:spacing w:after="0"/>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1180" w:type="dxa"/>
            <w:vAlign w:val="bottom"/>
          </w:tcPr>
          <w:p>
            <w:pPr>
              <w:jc w:val="center"/>
              <w:ind w:left="421"/>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118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80" w:type="dxa"/>
            <w:vAlign w:val="bottom"/>
            <w:shd w:val="clear" w:color="auto" w:fill="CFF0FC"/>
          </w:tcPr>
          <w:p>
            <w:pPr>
              <w:jc w:val="right"/>
              <w:ind w:right="1001"/>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Developed technologies</w:t>
            </w:r>
          </w:p>
        </w:tc>
        <w:tc>
          <w:tcPr>
            <w:tcW w:w="11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180" w:type="dxa"/>
            <w:vAlign w:val="bottom"/>
            <w:shd w:val="clear" w:color="auto" w:fill="CFF0FC"/>
          </w:tcPr>
          <w:p>
            <w:pPr>
              <w:jc w:val="right"/>
              <w:ind w:right="1001"/>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 xml:space="preserve">Amortization expense of $0.4 million and $0.2 million related to these intangible assets was recorded for the </w:t>
      </w:r>
      <w:r>
        <w:rPr>
          <w:rFonts w:ascii="Arial" w:cs="Arial" w:eastAsia="Arial" w:hAnsi="Arial"/>
          <w:sz w:val="17"/>
          <w:szCs w:val="17"/>
          <w:color w:val="202124"/>
        </w:rPr>
        <w:t>three months ended</w:t>
      </w:r>
      <w:r>
        <w:rPr>
          <w:rFonts w:ascii="Arial" w:cs="Arial" w:eastAsia="Arial" w:hAnsi="Arial"/>
          <w:sz w:val="17"/>
          <w:szCs w:val="17"/>
          <w:color w:val="auto"/>
        </w:rPr>
        <w:t xml:space="preserve"> </w:t>
      </w:r>
      <w:r>
        <w:rPr>
          <w:rFonts w:ascii="Arial" w:cs="Arial" w:eastAsia="Arial" w:hAnsi="Arial"/>
          <w:sz w:val="17"/>
          <w:szCs w:val="17"/>
          <w:color w:val="202124"/>
        </w:rPr>
        <w:t>March 31, 2026 and March 31, 2025, respectively</w:t>
      </w:r>
      <w:r>
        <w:rPr>
          <w:rFonts w:ascii="Arial" w:cs="Arial" w:eastAsia="Arial" w:hAnsi="Arial"/>
          <w:sz w:val="17"/>
          <w:szCs w:val="17"/>
          <w:color w:val="000000"/>
        </w:rPr>
        <w:t>. The entire value of goodwill was assigned to the Critical Infrastructure reporting unit and</w:t>
      </w:r>
      <w:r>
        <w:rPr>
          <w:rFonts w:ascii="Arial" w:cs="Arial" w:eastAsia="Arial" w:hAnsi="Arial"/>
          <w:sz w:val="17"/>
          <w:szCs w:val="17"/>
          <w:color w:val="202124"/>
        </w:rPr>
        <w:t xml:space="preserve"> </w:t>
      </w:r>
      <w:r>
        <w:rPr>
          <w:rFonts w:ascii="Arial" w:cs="Arial" w:eastAsia="Arial" w:hAnsi="Arial"/>
          <w:sz w:val="17"/>
          <w:szCs w:val="17"/>
          <w:color w:val="000000"/>
        </w:rPr>
        <w:t>represents synergies expected to be realized from this business combination. The entire value of goodwill is deductible for tax purposes.</w:t>
      </w:r>
    </w:p>
    <w:p>
      <w:pPr>
        <w:spacing w:after="0" w:line="15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 xml:space="preserve">The amount of revenue generated by TRS and included within consolidated revenue is $4.1 million for the three months </w:t>
      </w:r>
      <w:r>
        <w:rPr>
          <w:rFonts w:ascii="Arial" w:cs="Arial" w:eastAsia="Arial" w:hAnsi="Arial"/>
          <w:sz w:val="18"/>
          <w:szCs w:val="18"/>
          <w:color w:val="202124"/>
        </w:rPr>
        <w:t>ended March</w:t>
      </w:r>
      <w:r>
        <w:rPr>
          <w:rFonts w:ascii="Arial" w:cs="Arial" w:eastAsia="Arial" w:hAnsi="Arial"/>
          <w:sz w:val="18"/>
          <w:szCs w:val="18"/>
          <w:color w:val="auto"/>
        </w:rPr>
        <w:t xml:space="preserve"> </w:t>
      </w:r>
      <w:r>
        <w:rPr>
          <w:rFonts w:ascii="Arial" w:cs="Arial" w:eastAsia="Arial" w:hAnsi="Arial"/>
          <w:sz w:val="18"/>
          <w:szCs w:val="18"/>
          <w:color w:val="202124"/>
        </w:rPr>
        <w:t>31, 2025</w:t>
      </w:r>
      <w:r>
        <w:rPr>
          <w:rFonts w:ascii="Arial" w:cs="Arial" w:eastAsia="Arial" w:hAnsi="Arial"/>
          <w:sz w:val="18"/>
          <w:szCs w:val="18"/>
          <w:color w:val="000000"/>
        </w:rPr>
        <w:t>. The Company has determined that the presentation of net income from the date of acquisition is impracticable due to the</w:t>
      </w:r>
      <w:r>
        <w:rPr>
          <w:rFonts w:ascii="Arial" w:cs="Arial" w:eastAsia="Arial" w:hAnsi="Arial"/>
          <w:sz w:val="18"/>
          <w:szCs w:val="18"/>
          <w:color w:val="202124"/>
        </w:rPr>
        <w:t xml:space="preserve"> </w:t>
      </w:r>
      <w:r>
        <w:rPr>
          <w:rFonts w:ascii="Arial" w:cs="Arial" w:eastAsia="Arial" w:hAnsi="Arial"/>
          <w:sz w:val="18"/>
          <w:szCs w:val="18"/>
          <w:color w:val="000000"/>
        </w:rPr>
        <w:t>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TRS acquisition had been consummated as of the beginning of fiscal year 2024 (in thousands) is as follows:</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00" w:type="dxa"/>
            <w:vAlign w:val="bottom"/>
            <w:gridSpan w:val="2"/>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400" w:type="dxa"/>
            <w:vAlign w:val="bottom"/>
            <w:tcBorders>
              <w:top w:val="single" w:sz="8" w:color="auto"/>
              <w:bottom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17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1,556,383</w:t>
            </w:r>
          </w:p>
        </w:tc>
        <w:tc>
          <w:tcPr>
            <w:tcW w:w="100" w:type="dxa"/>
            <w:vAlign w:val="bottom"/>
            <w:shd w:val="clear" w:color="auto" w:fill="CFF0FC"/>
          </w:tcPr>
          <w:p>
            <w:pPr>
              <w:spacing w:after="0"/>
              <w:rPr>
                <w:sz w:val="17"/>
                <w:szCs w:val="17"/>
                <w:color w:val="auto"/>
              </w:rPr>
            </w:pPr>
          </w:p>
        </w:tc>
      </w:t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82,047</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340"/>
        <w:spacing w:after="0" w:line="271" w:lineRule="auto"/>
        <w:rPr>
          <w:sz w:val="20"/>
          <w:szCs w:val="20"/>
          <w:color w:val="auto"/>
        </w:rPr>
      </w:pPr>
      <w:r>
        <w:rPr>
          <w:rFonts w:ascii="Arial" w:cs="Arial" w:eastAsia="Arial" w:hAnsi="Arial"/>
          <w:sz w:val="18"/>
          <w:szCs w:val="18"/>
          <w:color w:val="auto"/>
        </w:rPr>
        <w:t>has been prepared for comparative purposes and does not purport to be indicative of what would have occurred had the acquisition been consummated during the periods for which pro forma information is presented.</w:t>
      </w:r>
    </w:p>
    <w:p>
      <w:pPr>
        <w:spacing w:after="0" w:line="356"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March 31, 2026</w:t>
            </w: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5"/>
                <w:szCs w:val="15"/>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470,903</w:t>
            </w:r>
          </w:p>
        </w:tc>
        <w:tc>
          <w:tcPr>
            <w:tcW w:w="7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574,573</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38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372,845</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347,090</w:t>
            </w:r>
          </w:p>
        </w:tc>
        <w:tc>
          <w:tcPr>
            <w:tcW w:w="100" w:type="dxa"/>
            <w:vAlign w:val="bottom"/>
          </w:tcPr>
          <w:p>
            <w:pPr>
              <w:spacing w:after="0"/>
              <w:rPr>
                <w:sz w:val="17"/>
                <w:szCs w:val="17"/>
                <w:color w:val="auto"/>
              </w:rPr>
            </w:pPr>
          </w:p>
        </w:tc>
      </w:tr>
      <w:tr>
        <w:trPr>
          <w:trHeight w:val="203"/>
        </w:trPr>
        <w:tc>
          <w:tcPr>
            <w:tcW w:w="6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38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647,428</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632,697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1,491,176</w:t>
            </w:r>
          </w:p>
        </w:tc>
        <w:tc>
          <w:tcPr>
            <w:tcW w:w="7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1,554,360</w:t>
            </w:r>
          </w:p>
        </w:tc>
        <w:tc>
          <w:tcPr>
            <w:tcW w:w="10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-144780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2026 and December 31, 2025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March 31, 2026</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4"/>
                <w:szCs w:val="14"/>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1,021,848</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915,806</w:t>
            </w:r>
          </w:p>
        </w:tc>
        <w:tc>
          <w:tcPr>
            <w:tcW w:w="100" w:type="dxa"/>
            <w:vAlign w:val="bottom"/>
            <w:shd w:val="clear" w:color="auto" w:fill="CFF0FC"/>
          </w:tcPr>
          <w:p>
            <w:pPr>
              <w:spacing w:after="0"/>
              <w:rPr>
                <w:sz w:val="17"/>
                <w:szCs w:val="17"/>
                <w:color w:val="auto"/>
              </w:rPr>
            </w:pPr>
          </w:p>
        </w:tc>
      </w:tr>
      <w:tr>
        <w:trPr>
          <w:trHeight w:val="202"/>
        </w:trPr>
        <w:tc>
          <w:tcPr>
            <w:tcW w:w="606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359,760</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340,113</w:t>
            </w:r>
          </w:p>
        </w:tc>
        <w:tc>
          <w:tcPr>
            <w:tcW w:w="100" w:type="dxa"/>
            <w:vAlign w:val="bottom"/>
          </w:tcPr>
          <w:p>
            <w:pPr>
              <w:spacing w:after="0"/>
              <w:rPr>
                <w:sz w:val="17"/>
                <w:szCs w:val="17"/>
                <w:color w:val="auto"/>
              </w:rPr>
            </w:pPr>
          </w:p>
        </w:tc>
      </w:tr>
      <w:tr>
        <w:trPr>
          <w:trHeight w:val="21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contract assets (liabilities) (1)</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662,088</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575,693</w:t>
            </w:r>
          </w:p>
        </w:tc>
        <w:tc>
          <w:tcPr>
            <w:tcW w:w="100" w:type="dxa"/>
            <w:vAlign w:val="bottom"/>
            <w:shd w:val="clear" w:color="auto" w:fill="CFF0FC"/>
          </w:tcPr>
          <w:p>
            <w:pPr>
              <w:spacing w:after="0"/>
              <w:rPr>
                <w:sz w:val="18"/>
                <w:szCs w:val="18"/>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660" w:right="40" w:hanging="652"/>
        <w:spacing w:after="0" w:line="24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$120.5 million as of March 31, 2026, of which $60.6 million are not expected to be paid in the next 12 months. Total contract retentions included in net contract assets (liabilities) were $114.6 million as of December 31, 2025. Contract assets at March 31, 2026 and December 31, 2025 include $58.9 million and $58.9 million, respectively, related to net claim recoveries. For the three months ended March 31, 2026 and March 31, 2025, there were no material losses recognized related to the collectability of claims, unapproved change orders, and requests for equitable adjustment.</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During the three months ended March 31, 2026 and March 31, 2025, the Company recognized revenue of $133.2 million and $117.3 million, respectively, that was included in the corresponding contract liability balances at December 31, 2025 and December 31, 2024,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significant write-down of contract assets recognized during the three months ended March 31, 2026 and March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changes in contract assets and contract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2026</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4"/>
                <w:szCs w:val="14"/>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Acquired contract assets</w:t>
            </w:r>
          </w:p>
        </w:tc>
        <w:tc>
          <w:tcPr>
            <w:tcW w:w="1740" w:type="dxa"/>
            <w:vAlign w:val="bottom"/>
            <w:shd w:val="clear" w:color="auto" w:fill="CFF0FC"/>
          </w:tcPr>
          <w:p>
            <w:pPr>
              <w:jc w:val="right"/>
              <w:ind w:right="155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12,066</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6,533</w:t>
            </w:r>
          </w:p>
        </w:tc>
        <w:tc>
          <w:tcPr>
            <w:tcW w:w="100" w:type="dxa"/>
            <w:vAlign w:val="bottom"/>
            <w:shd w:val="clear" w:color="auto" w:fill="CFF0FC"/>
          </w:tcPr>
          <w:p>
            <w:pPr>
              <w:spacing w:after="0"/>
              <w:rPr>
                <w:sz w:val="17"/>
                <w:szCs w:val="17"/>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7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right="200" w:firstLine="644"/>
        <w:spacing w:after="0" w:line="253" w:lineRule="auto"/>
        <w:rPr>
          <w:sz w:val="20"/>
          <w:szCs w:val="20"/>
          <w:color w:val="auto"/>
        </w:rPr>
      </w:pPr>
      <w:r>
        <w:rPr>
          <w:rFonts w:ascii="Arial" w:cs="Arial" w:eastAsia="Arial" w:hAnsi="Arial"/>
          <w:sz w:val="18"/>
          <w:szCs w:val="18"/>
          <w:color w:val="auto"/>
        </w:rPr>
        <w:t>There have been no revisions in estimates, such as changes in estimated claims or incentives, related to performance obligations partially satisfied in previous periods that individually had an impact of $5 million or more on revenue during the three months ended March 31, 2026 and March 31, 2025.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2026 and December 31, 2025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665,606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732,414</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434,855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395,889</w:t>
            </w:r>
          </w:p>
        </w:tc>
        <w:tc>
          <w:tcPr>
            <w:tcW w:w="120" w:type="dxa"/>
            <w:vAlign w:val="bottom"/>
          </w:tcPr>
          <w:p>
            <w:pPr>
              <w:spacing w:after="0"/>
              <w:rPr>
                <w:sz w:val="17"/>
                <w:szCs w:val="17"/>
                <w:color w:val="auto"/>
              </w:rPr>
            </w:pPr>
          </w:p>
        </w:tc>
      </w:tr>
      <w:tr>
        <w:trPr>
          <w:trHeight w:val="196"/>
        </w:trPr>
        <w:tc>
          <w:tcPr>
            <w:tcW w:w="73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1,100,461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1,128,303</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(3,886)</w:t>
            </w:r>
          </w:p>
        </w:tc>
      </w:tr>
      <w:tr>
        <w:trPr>
          <w:trHeight w:val="236"/>
        </w:trPr>
        <w:tc>
          <w:tcPr>
            <w:tcW w:w="730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1,096,575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1,124,417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16% and 19% as of March 31, 2026 and December 31, 2025, respectively.</w:t>
      </w:r>
    </w:p>
    <w:p>
      <w:pPr>
        <w:spacing w:after="0" w:line="174" w:lineRule="exact"/>
        <w:rPr>
          <w:sz w:val="20"/>
          <w:szCs w:val="20"/>
          <w:color w:val="auto"/>
        </w:rPr>
      </w:pPr>
    </w:p>
    <w:p>
      <w:pPr>
        <w:ind w:right="38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636"/>
        <w:spacing w:after="0" w:line="301" w:lineRule="auto"/>
        <w:rPr>
          <w:sz w:val="20"/>
          <w:szCs w:val="20"/>
          <w:color w:val="auto"/>
        </w:rPr>
      </w:pPr>
      <w:r>
        <w:rPr>
          <w:rFonts w:ascii="Arial" w:cs="Arial" w:eastAsia="Arial" w:hAnsi="Arial"/>
          <w:sz w:val="17"/>
          <w:szCs w:val="17"/>
          <w:color w:val="auto"/>
        </w:rPr>
        <w:t>The Company’s remaining unsatisfied performance obligations (“RUPO”) as of March 31, 2026 represent a measure of the total dollar value of work to be performed on contracts awarded and in-progress. The Company had $7.1 billion in RUPO as of March 31, 2026.</w:t>
      </w:r>
    </w:p>
    <w:p>
      <w:pPr>
        <w:spacing w:after="0" w:line="131" w:lineRule="exact"/>
        <w:rPr>
          <w:sz w:val="20"/>
          <w:szCs w:val="20"/>
          <w:color w:val="auto"/>
        </w:rPr>
      </w:pPr>
    </w:p>
    <w:p>
      <w:pPr>
        <w:ind w:right="120" w:firstLine="636"/>
        <w:spacing w:after="0" w:line="301" w:lineRule="auto"/>
        <w:rPr>
          <w:sz w:val="20"/>
          <w:szCs w:val="20"/>
          <w:color w:val="auto"/>
        </w:rPr>
      </w:pPr>
      <w:r>
        <w:rPr>
          <w:rFonts w:ascii="Arial" w:cs="Arial" w:eastAsia="Arial" w:hAnsi="Arial"/>
          <w:sz w:val="17"/>
          <w:szCs w:val="17"/>
          <w:color w:val="auto"/>
        </w:rPr>
        <w:t>RUPO will increase with awards of new contracts and decrease as the Company performs work and recognizes revenue on existing contracts. Projects are included within RUPO at such time the project is awarded and agreement on contract terms has been reached.</w:t>
      </w:r>
    </w:p>
    <w:p>
      <w:pPr>
        <w:spacing w:after="0" w:line="131"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2026 over the following periods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Within One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382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Federal Solutions</w:t>
            </w:r>
          </w:p>
        </w:tc>
        <w:tc>
          <w:tcPr>
            <w:tcW w:w="21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1,534,828</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434,556</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152,666</w:t>
            </w:r>
          </w:p>
        </w:tc>
      </w:tr>
      <w:tr>
        <w:trPr>
          <w:trHeight w:val="203"/>
        </w:trPr>
        <w:tc>
          <w:tcPr>
            <w:tcW w:w="3820" w:type="dxa"/>
            <w:vAlign w:val="bottom"/>
          </w:tcPr>
          <w:p>
            <w:pPr>
              <w:ind w:left="60"/>
              <w:spacing w:after="0" w:line="202" w:lineRule="exact"/>
              <w:rPr>
                <w:sz w:val="20"/>
                <w:szCs w:val="20"/>
                <w:color w:val="auto"/>
              </w:rPr>
            </w:pPr>
            <w:r>
              <w:rPr>
                <w:rFonts w:ascii="Arial" w:cs="Arial" w:eastAsia="Arial" w:hAnsi="Arial"/>
                <w:sz w:val="18"/>
                <w:szCs w:val="18"/>
                <w:color w:val="auto"/>
              </w:rPr>
              <w:t>Critical Infrastructure</w:t>
            </w:r>
          </w:p>
        </w:tc>
        <w:tc>
          <w:tcPr>
            <w:tcW w:w="1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2,624,140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1,326,701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1,009,923</w:t>
            </w:r>
          </w:p>
        </w:tc>
        <w:tc>
          <w:tcPr>
            <w:tcW w:w="100" w:type="dxa"/>
            <w:vAlign w:val="bottom"/>
          </w:tcPr>
          <w:p>
            <w:pPr>
              <w:spacing w:after="0"/>
              <w:rPr>
                <w:sz w:val="17"/>
                <w:szCs w:val="17"/>
                <w:color w:val="auto"/>
              </w:rPr>
            </w:pPr>
          </w:p>
        </w:tc>
      </w:tr>
      <w:tr>
        <w:trPr>
          <w:trHeight w:val="236"/>
        </w:trPr>
        <w:tc>
          <w:tcPr>
            <w:tcW w:w="38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4,158,968</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1,761,257</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1,162,589</w:t>
            </w:r>
          </w:p>
        </w:tc>
      </w:tr>
      <w:tr>
        <w:trPr>
          <w:trHeight w:val="632"/>
        </w:trPr>
        <w:tc>
          <w:tcPr>
            <w:tcW w:w="382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38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-925195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-908050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-908050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6" w:name="page17"/>
    <w:bookmarkEnd w:id="16"/>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ten years, some of which may include options to extend the leases for up to five years, and some of which may include options to terminate the leases after the third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2026 and March 31, 2025 are as follows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4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31, 2026</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3"/>
                <w:szCs w:val="13"/>
                <w:color w:val="auto"/>
              </w:rPr>
            </w:pPr>
          </w:p>
        </w:tc>
      </w:tr>
      <w:tr>
        <w:trPr>
          <w:trHeight w:val="196"/>
        </w:trPr>
        <w:tc>
          <w:tcPr>
            <w:tcW w:w="64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16,533</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16,555</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line="202" w:lineRule="exact"/>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5,270</w:t>
            </w:r>
          </w:p>
        </w:tc>
        <w:tc>
          <w:tcPr>
            <w:tcW w:w="16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3,378</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1,108</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line="202" w:lineRule="exact"/>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6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Sublease income</w:t>
            </w: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(867)</w:t>
            </w:r>
          </w:p>
        </w:tc>
        <w:tc>
          <w:tcPr>
            <w:tcW w:w="3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(924)</w:t>
            </w:r>
          </w:p>
        </w:tc>
      </w:tr>
      <w:tr>
        <w:trPr>
          <w:trHeight w:val="196"/>
        </w:trPr>
        <w:tc>
          <w:tcPr>
            <w:tcW w:w="64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22,184</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20,245</w:t>
            </w:r>
          </w:p>
        </w:tc>
        <w:tc>
          <w:tcPr>
            <w:tcW w:w="120" w:type="dxa"/>
            <w:vAlign w:val="bottom"/>
            <w:tcBorders>
              <w:top w:val="single" w:sz="8" w:color="CFF0FC"/>
            </w:tcBorders>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-162560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-162560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March 31, 2026 and March 31, 2025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for operating leases</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16,132</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17,088</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117</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1,121</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1,073</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12,345</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4,694</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548</w:t>
            </w:r>
          </w:p>
        </w:tc>
      </w:tr>
    </w:tbl>
    <w:p>
      <w:pPr>
        <w:spacing w:after="0" w:line="22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March 31, 2026 and December 31, 2025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151,669</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126,770</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42,760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45,353</w:t>
            </w:r>
          </w:p>
        </w:tc>
        <w:tc>
          <w:tcPr>
            <w:tcW w:w="18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Long-term</w:t>
            </w:r>
          </w:p>
        </w:tc>
        <w:tc>
          <w:tcPr>
            <w:tcW w:w="1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121,309</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94,044</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1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164,069</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139,397</w:t>
            </w:r>
          </w:p>
        </w:tc>
        <w:tc>
          <w:tcPr>
            <w:tcW w:w="1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8,533</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8,990</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4,132</w:t>
            </w:r>
          </w:p>
        </w:tc>
        <w:tc>
          <w:tcPr>
            <w:tcW w:w="2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4,118</w:t>
            </w: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4,780</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4.4 Years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 Years</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-1576705</wp:posOffset>
            </wp:positionV>
            <wp:extent cx="1111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-1576705</wp:posOffset>
            </wp:positionV>
            <wp:extent cx="1117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2026, the Company has no material leases that have not yet commenced.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19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38,610</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3,482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40,662</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3,474</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34,484</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2,130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26,637</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686</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14,087</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75</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31,456</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185,936</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9,847</w:t>
            </w:r>
          </w:p>
        </w:tc>
      </w:tr>
      <w:tr>
        <w:trPr>
          <w:trHeight w:val="202"/>
        </w:trPr>
        <w:tc>
          <w:tcPr>
            <w:tcW w:w="46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(21,867)</w:t>
            </w:r>
          </w:p>
        </w:tc>
        <w:tc>
          <w:tcPr>
            <w:tcW w:w="2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(935)</w:t>
            </w: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164,069</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8,912</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2025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1,861,218</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237,473</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2,098,691</w:t>
            </w:r>
          </w:p>
        </w:tc>
        <w:tc>
          <w:tcPr>
            <w:tcW w:w="10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325,432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(638)</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324,870</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2,186,650</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237,549</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(638)</w:t>
            </w: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2,423,561</w:t>
            </w:r>
          </w:p>
        </w:tc>
        <w:tc>
          <w:tcPr>
            <w:tcW w:w="100" w:type="dxa"/>
            <w:vAlign w:val="bottom"/>
            <w:shd w:val="clear" w:color="auto" w:fill="CFF0FC"/>
          </w:tcPr>
          <w:p>
            <w:pPr>
              <w:spacing w:after="0"/>
              <w:rPr>
                <w:sz w:val="18"/>
                <w:szCs w:val="18"/>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March 31, 2026 and concluded there has not been an impairment.</w:t>
      </w:r>
    </w:p>
    <w:p>
      <w:pPr>
        <w:spacing w:after="0" w:line="2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7"/>
              </w:rPr>
              <w:t>March 31, 2026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December 31, 2025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71"/>
              <w:spacing w:after="0" w:line="111" w:lineRule="exact"/>
              <w:rPr>
                <w:sz w:val="20"/>
                <w:szCs w:val="20"/>
                <w:color w:val="auto"/>
              </w:rPr>
            </w:pPr>
            <w:r>
              <w:rPr>
                <w:rFonts w:ascii="Arial" w:cs="Arial" w:eastAsia="Arial" w:hAnsi="Arial"/>
                <w:sz w:val="12"/>
                <w:szCs w:val="12"/>
                <w:b w:val="1"/>
                <w:bCs w:val="1"/>
                <w:color w:val="auto"/>
              </w:rPr>
              <w:t>Gross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9"/>
                <w:szCs w:val="9"/>
                <w:color w:val="auto"/>
              </w:rPr>
            </w:pPr>
          </w:p>
        </w:tc>
        <w:tc>
          <w:tcPr>
            <w:tcW w:w="76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Gross</w:t>
            </w:r>
          </w:p>
        </w:tc>
        <w:tc>
          <w:tcPr>
            <w:tcW w:w="200" w:type="dxa"/>
            <w:vAlign w:val="bottom"/>
          </w:tcPr>
          <w:p>
            <w:pPr>
              <w:spacing w:after="0"/>
              <w:rPr>
                <w:sz w:val="9"/>
                <w:szCs w:val="9"/>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9"/>
                <w:szCs w:val="9"/>
                <w:color w:val="auto"/>
              </w:rPr>
            </w:pPr>
          </w:p>
        </w:tc>
        <w:tc>
          <w:tcPr>
            <w:tcW w:w="98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Backlog</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170,870</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(95,916)</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74,954</w:t>
            </w:r>
          </w:p>
        </w:tc>
        <w:tc>
          <w:tcPr>
            <w:tcW w:w="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154,470</w:t>
            </w:r>
          </w:p>
        </w:tc>
        <w:tc>
          <w:tcPr>
            <w:tcW w:w="420" w:type="dxa"/>
            <w:vAlign w:val="bottom"/>
            <w:gridSpan w:val="2"/>
            <w:shd w:val="clear" w:color="auto" w:fill="CFF0FC"/>
          </w:tcPr>
          <w:p>
            <w:pPr>
              <w:jc w:val="right"/>
              <w:ind w:right="77"/>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(83,181)</w:t>
            </w:r>
          </w:p>
        </w:tc>
        <w:tc>
          <w:tcPr>
            <w:tcW w:w="1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71,289</w:t>
            </w:r>
          </w:p>
        </w:tc>
        <w:tc>
          <w:tcPr>
            <w:tcW w:w="10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480,030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(173,524)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306,506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395,460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(166,391)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229,069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Developed technology</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(14,111)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14,989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(13,496)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Trade name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4,930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(1,318)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Non-compete agreements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(4,682)</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10,980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(4,293)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In process research and development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4"/>
                <w:szCs w:val="14"/>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intangibles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ind w:lef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3380" w:type="dxa"/>
            <w:vAlign w:val="bottom"/>
          </w:tcPr>
          <w:p>
            <w:pPr>
              <w:ind w:left="60"/>
              <w:spacing w:after="0" w:line="155" w:lineRule="exact"/>
              <w:rPr>
                <w:sz w:val="20"/>
                <w:szCs w:val="20"/>
                <w:color w:val="auto"/>
              </w:rPr>
            </w:pPr>
            <w:r>
              <w:rPr>
                <w:rFonts w:ascii="Arial" w:cs="Arial" w:eastAsia="Arial" w:hAnsi="Arial"/>
                <w:sz w:val="14"/>
                <w:szCs w:val="14"/>
                <w:color w:val="auto"/>
              </w:rPr>
              <w:t>Total intangible assets</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697,410</w:t>
            </w:r>
          </w:p>
        </w:tc>
        <w:tc>
          <w:tcPr>
            <w:tcW w:w="24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(289,551)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407,859</w:t>
            </w: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595,364</w:t>
            </w:r>
          </w:p>
        </w:tc>
        <w:tc>
          <w:tcPr>
            <w:tcW w:w="420" w:type="dxa"/>
            <w:vAlign w:val="bottom"/>
            <w:gridSpan w:val="2"/>
          </w:tcPr>
          <w:p>
            <w:pPr>
              <w:jc w:val="right"/>
              <w:ind w:right="77"/>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(269,484)</w:t>
            </w:r>
          </w:p>
        </w:tc>
        <w:tc>
          <w:tcPr>
            <w:tcW w:w="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325,880</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-119380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-119380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-119380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-119380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-119380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aggregate amortization expense of intangible assets for the three months ended March 31, 2026 and March 31, 2025 was $23.8 million and $16.4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65,748</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66,183</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48,480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32,107</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28,389</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165,152</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406,059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2026 and December 31, 2025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Buildings and leasehold improvements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123,040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118,945</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88,663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88,011</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systems and equipment</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196,401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181,595</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Construction equipment</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15,730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15,739</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2"/>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51,070</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462,898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455,360</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(308,312)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(304,299)</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ind w:left="16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154,586</w:t>
            </w:r>
          </w:p>
        </w:tc>
        <w:tc>
          <w:tcPr>
            <w:tcW w:w="16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151,061</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-427990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900" w:firstLine="636"/>
        <w:spacing w:after="0" w:line="271" w:lineRule="auto"/>
        <w:rPr>
          <w:sz w:val="20"/>
          <w:szCs w:val="20"/>
          <w:color w:val="auto"/>
        </w:rPr>
      </w:pPr>
      <w:r>
        <w:rPr>
          <w:rFonts w:ascii="Arial" w:cs="Arial" w:eastAsia="Arial" w:hAnsi="Arial"/>
          <w:sz w:val="18"/>
          <w:szCs w:val="18"/>
          <w:color w:val="auto"/>
        </w:rPr>
        <w:t>Depreciation expense for the three months ended March 31, 2026 and March 31, 2025 was $10.2 million and $9.1 million, respectively.</w:t>
      </w:r>
    </w:p>
    <w:p>
      <w:pPr>
        <w:spacing w:after="0" w:line="4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2025</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Convertible senior notes due 2029</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Term loan due 2028</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(11,079)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(12,184)</w:t>
            </w:r>
          </w:p>
        </w:tc>
      </w:tr>
      <w:tr>
        <w:trPr>
          <w:trHeight w:val="196"/>
        </w:trPr>
        <w:tc>
          <w:tcPr>
            <w:tcW w:w="6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1,512,921</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1,237,816</w:t>
            </w:r>
          </w:p>
        </w:tc>
        <w:tc>
          <w:tcPr>
            <w:tcW w:w="100" w:type="dxa"/>
            <w:vAlign w:val="bottom"/>
            <w:tcBorders>
              <w:top w:val="single" w:sz="8" w:color="CFF0FC"/>
            </w:tcBorders>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1,512,921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1,237,816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-299720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7"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In June 2025, the Company terminated its $350 million Delayed Draw Term Loan due 2025 and its $650 million Revolving Credit Facility due 2026 and replaced these credit facilities with a $450 million Term Loan due 2028 and a $750 million Revolving Credit Facility due 2030. Proceeds from the Term Loan were used to pay off the outstanding balance of the Delayed Draw Term Loan.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Loan</w:t>
      </w:r>
    </w:p>
    <w:p>
      <w:pPr>
        <w:spacing w:after="0" w:line="212"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In June 2025, the Company entered into a $450 million unsecured Term Loan with an increase option of up to $150 million. Proceeds of the Term Loan Agreement may be used (a) to pay off in full, or partially pay off, the Company’s existing Convertible Senior Notes, (b) to prepay revolving loans outstanding under the Revolving Credit Agreement (as defined below), or (c) for working capital, capital expenditures and other lawful corporate purposes. The Company incurred $0.9 million of debt issuance costs in connection with the Term Loan. These costs are presented as a direct deduction from long-term debt on the face of the balance sheet. Interest expense related to the Term Loan for the three months ended March 31, 2026 was $5.5 million. Included in this amount was amortization of debt fees of $0.1 million. The amortization of debt issuance costs and interest expense is recorded in “Interest expense” on the consolidated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340"/>
        <w:spacing w:after="0" w:line="271" w:lineRule="auto"/>
        <w:rPr>
          <w:sz w:val="20"/>
          <w:szCs w:val="20"/>
          <w:color w:val="auto"/>
        </w:rPr>
      </w:pPr>
      <w:r>
        <w:rPr>
          <w:rFonts w:ascii="Arial" w:cs="Arial" w:eastAsia="Arial" w:hAnsi="Arial"/>
          <w:sz w:val="18"/>
          <w:szCs w:val="18"/>
          <w:color w:val="auto"/>
        </w:rPr>
        <w:t>of income. As of March 31, 2026 and December 31, 2025, the net carrying value of the Term Loan was $449.4 million and $449.3 million, respectively.</w:t>
      </w:r>
    </w:p>
    <w:p>
      <w:pPr>
        <w:spacing w:after="0" w:line="154"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The Term Loan has a three-year maturity and permits the Company to borrow in U.S. dollars. The Term Loan does not require any amortization payments by the Company. Depending on the Company’s consolidated leverage ratio (or debt rating after such time as the Company has such rating), borrowings under the Term Loan Agreement will bear interest at either an adjusted Term SOFR benchmark rate plus a margin between 0.875% and 1.500% or a base rate plus a margin of between 0% and 0.500% and will initially bear interest at the middle of this range. Amounts outstanding under the Term Loan Agreement may be prepaid at the option of the Company without premium or penalty, subject to customary breakage fees in connection with the prepayment of benchmark rate loans. The interest rate was 4.8% for all periods presented.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Delayed Draw Term Loan (Terminated June 2025)</w:t>
      </w:r>
    </w:p>
    <w:p>
      <w:pPr>
        <w:spacing w:after="0" w:line="212"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 $150 million (the “2022 Delayed Draw Term Loan”). Proceeds of the 2022 Delayed Draw Term Loan Agreement may be used (a) to pay off in full, or partially pay off, the Company’s existing Senior Notes, (b) to prepay revolving loans outstanding under the Revolving Credit Agreement (as defined below), or (c) for working capital, capital expenditures and other lawful corporate purposes. The Company incurred $0.9 million of debt issuance costs in connection with the delayed draw term loan. These costs are presented as a direct deduction from long-term debt on the face of the balance sheet. Interest expense related to the Delayed Draw Term Loan for the three months ended March 31, 2025 was $4.9 million. Included in this amount was amortization of debt fees of $0.1 million. The amortization of debt issuance costs and interest expense is recorded in “Interest expense” on the consolidated statements of income.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Convertible Senior Notes du</w:t>
      </w:r>
      <w:r>
        <w:rPr>
          <w:rFonts w:ascii="Arial" w:cs="Arial" w:eastAsia="Arial" w:hAnsi="Arial"/>
          <w:sz w:val="18"/>
          <w:szCs w:val="18"/>
          <w:b w:val="1"/>
          <w:bCs w:val="1"/>
          <w:i w:val="1"/>
          <w:iCs w:val="1"/>
          <w:color w:val="auto"/>
        </w:rPr>
        <w:t>e 2025</w:t>
      </w:r>
    </w:p>
    <w:p>
      <w:pPr>
        <w:spacing w:after="0" w:line="104"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accrued interest at a rate of 0.25% per annum, payable semi-annually on February 15 and August 15 of each year beginning on February 15, 2021. The Convertible Senior Notes due 2025 matured August 15, 2025.</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interest expense of $0.1 million for the three months ended March 31, 2025.</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 of each year beginning on September 1, 2024, and will mature on March 1, 2029, unless earlier repurchased, redeemed or converted.</w:t>
      </w:r>
    </w:p>
    <w:p>
      <w:pPr>
        <w:spacing w:after="0" w:line="176"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ind w:left="1400" w:right="2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2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The Company recognized interest expense with respect to the Convertible Senior Notes Due 2029 of $6.3 million and $6.3 million for the three months ended March 31, 2026 and March 31, 2025, respectively. Included in these amounts were amortization of debt fees of $1.0 million for all periods presented. As of March 31, 2026 and December 31, 2025, the net carrying value of the Convertible Senior Notes Due 2029 were $789.5 million and $788.5 million, respectively.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1" w:name="page22"/>
    <w:bookmarkEnd w:id="21"/>
    <w:p>
      <w:pPr>
        <w:ind w:right="44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 due 2030</w:t>
      </w:r>
    </w:p>
    <w:p>
      <w:pPr>
        <w:spacing w:after="0" w:line="210"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In June 2025, the Company entered into a $750 million unsecured revolving credit facility (the “Credit Agreement”). The Company incurred $1.7 million of costs in connection with this Credit Agreement. The 2025 Credit Agreement replaced an existing Credit Agreement dated as of June 25, 2021. Under the new agreement, the Company’s revolving credit facility was increased from $650 million to $750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2025 Facility. The borrowings under the Credit Agreement bear interest at either the Term SOFR rate plus a margin between 1.0% and 1.625% or a base rate (as defined in the Credit Agreement) plus a margin of between 0% and 0.625%. The rates on March 31, 2026 and December 31, 2025 were 4.9% and 5.0%, respectively. Letters of credit commitments outstanding under this agreement aggregated to $41.8 million at March 31, 2026 which reduced borrowing limits available to the Company.</w:t>
      </w:r>
    </w:p>
    <w:p>
      <w:pPr>
        <w:spacing w:after="0" w:line="183" w:lineRule="exact"/>
        <w:rPr>
          <w:sz w:val="20"/>
          <w:szCs w:val="20"/>
          <w:color w:val="auto"/>
        </w:rPr>
      </w:pPr>
    </w:p>
    <w:p>
      <w:pPr>
        <w:ind w:right="40" w:firstLine="644"/>
        <w:spacing w:after="0" w:line="245" w:lineRule="auto"/>
        <w:rPr>
          <w:sz w:val="20"/>
          <w:szCs w:val="20"/>
          <w:color w:val="auto"/>
        </w:rPr>
      </w:pPr>
      <w:r>
        <w:rPr>
          <w:rFonts w:ascii="Arial" w:cs="Arial" w:eastAsia="Arial" w:hAnsi="Arial"/>
          <w:sz w:val="18"/>
          <w:szCs w:val="18"/>
          <w:color w:val="auto"/>
        </w:rPr>
        <w:t>Interest expenses related to the Credit Agreements (due 2030 and due 2026) were $3.8 million and $0.3 million for the three months ended March 31, 2026 and March 31, 2025. Included in these amounts were amortization of</w:t>
      </w:r>
    </w:p>
    <w:p>
      <w:pPr>
        <w:ind w:right="200"/>
        <w:spacing w:after="0" w:line="250" w:lineRule="auto"/>
        <w:rPr>
          <w:sz w:val="20"/>
          <w:szCs w:val="20"/>
          <w:color w:val="auto"/>
        </w:rPr>
      </w:pPr>
      <w:r>
        <w:rPr>
          <w:rFonts w:ascii="Arial" w:cs="Arial" w:eastAsia="Arial" w:hAnsi="Arial"/>
          <w:sz w:val="18"/>
          <w:szCs w:val="18"/>
          <w:color w:val="auto"/>
        </w:rPr>
        <w:t>debt fees of $0.1 million for all periods presented. The net carrying value of the Credit Agreement was $274.0 million as of March 31, 2026 and there was no amount outstanding as of December 31, 2025.</w:t>
      </w:r>
    </w:p>
    <w:p>
      <w:pPr>
        <w:spacing w:after="0" w:line="172"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March 31, 2026.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$336.1 million and $356.2 million at March 31, 2026 and December 31, 2025, respectively.</w:t>
      </w:r>
    </w:p>
    <w:p>
      <w:pPr>
        <w:spacing w:after="0" w:line="27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380" w:firstLine="644"/>
        <w:spacing w:after="0" w:line="247" w:lineRule="auto"/>
        <w:rPr>
          <w:sz w:val="20"/>
          <w:szCs w:val="20"/>
          <w:color w:val="auto"/>
        </w:rPr>
      </w:pPr>
      <w:r>
        <w:rPr>
          <w:rFonts w:ascii="Arial" w:cs="Arial" w:eastAsia="Arial" w:hAnsi="Arial"/>
          <w:sz w:val="18"/>
          <w:szCs w:val="18"/>
          <w:color w:val="auto"/>
        </w:rPr>
        <w:t>The Company’s effective tax rate was 19.8% and 18.8% for the three months ended March 31, 2026 and March 31, 2025, respectively. The increase in the effective tax rate was due primarily to decreases in the tax benefits related to foreign-derived deduction eligible income (FDDEI) and in the windfall equity-based compensation deductions partially offset by a change in jurisdictional mix of earnings.</w:t>
      </w:r>
    </w:p>
    <w:p>
      <w:pPr>
        <w:spacing w:after="0" w:line="93" w:lineRule="exact"/>
        <w:rPr>
          <w:sz w:val="20"/>
          <w:szCs w:val="20"/>
          <w:color w:val="auto"/>
        </w:rPr>
      </w:pPr>
    </w:p>
    <w:p>
      <w:pPr>
        <w:ind w:right="300" w:firstLine="644"/>
        <w:spacing w:after="0" w:line="247" w:lineRule="auto"/>
        <w:rPr>
          <w:sz w:val="20"/>
          <w:szCs w:val="20"/>
          <w:color w:val="auto"/>
        </w:rPr>
      </w:pPr>
      <w:r>
        <w:rPr>
          <w:rFonts w:ascii="Arial" w:cs="Arial" w:eastAsia="Arial" w:hAnsi="Arial"/>
          <w:sz w:val="18"/>
          <w:szCs w:val="18"/>
          <w:color w:val="auto"/>
        </w:rPr>
        <w:t>The difference between the effective tax rate and the statutory U.S. Federal income tax rate of 21% for the three months ended March 31, 2026 primarily relates to a discrete windfall tax benefit from equity-based compensation and the tax benefits related to untaxed income attributed to noncontrolling interests and earnings from lower tax jurisdictions, partially offset by state income taxes and foreign withholding taxes.</w:t>
      </w:r>
    </w:p>
    <w:p>
      <w:pPr>
        <w:spacing w:after="0" w:line="106" w:lineRule="exact"/>
        <w:rPr>
          <w:sz w:val="20"/>
          <w:szCs w:val="20"/>
          <w:color w:val="auto"/>
        </w:rPr>
      </w:pPr>
    </w:p>
    <w:p>
      <w:pPr>
        <w:ind w:right="40" w:firstLine="644"/>
        <w:spacing w:after="0" w:line="242" w:lineRule="auto"/>
        <w:rPr>
          <w:sz w:val="20"/>
          <w:szCs w:val="20"/>
          <w:color w:val="auto"/>
        </w:rPr>
      </w:pPr>
      <w:r>
        <w:rPr>
          <w:rFonts w:ascii="Arial" w:cs="Arial" w:eastAsia="Arial" w:hAnsi="Arial"/>
          <w:sz w:val="18"/>
          <w:szCs w:val="18"/>
          <w:color w:val="auto"/>
        </w:rPr>
        <w:t>As of March 31, 2026, the Company’s deferred tax assets were subject to a valuation allowance of $49.5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11"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As of March 31, 2026 and December 31, 2025, the liability for income taxes associated with uncertain tax positions was $33.6 million and $32.4 million, respectively.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ind w:right="240" w:firstLine="644"/>
        <w:spacing w:after="0" w:line="271"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w:t>
      </w:r>
    </w:p>
    <w:p>
      <w:pPr>
        <w:spacing w:after="0" w:line="86"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Different non-US tax jurisdictions continue to enact legislation to adopt components of the Organization for Economic Co-operation and Development (OECD) Base Erosion and Profit Shifting (BEPS) Pillar Two Model Rules. In January 2026, the OECD issued further administrative guidance introducing a side-by-side framework under Pillar Two, largely exempting U.S.-headquartered companies from the application of Pillar Two, however, Pillar Two compliance and qualified domestic minimum top-up taxes (QDMTT) remain and will continue to apply. The OECD and implementing countries are expected to continue to make further revisions to their legislation and release additional guidance intended to adopt this side-by-side framework into law in each of the member countries. The Company has evaluated the impact of the enacted legislation to date and has determined there is no material impact to the Company’s income tax provision. We are continuing to evaluate the potential impact on future periods of the Pillar Two Framework, pending enactment of legislation by individual countries.</w:t>
      </w:r>
    </w:p>
    <w:p>
      <w:pPr>
        <w:spacing w:after="0" w:line="14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In March 2025, the court granted Parsons’ motion for summary judgment. The Relator has appealed this decision. Oral argument is currently scheduled to occur before the appellate court during the week of May 4, 2026.</w:t>
      </w:r>
    </w:p>
    <w:p>
      <w:pPr>
        <w:spacing w:after="0" w:line="183"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 The appellate briefs have been filed and both parties have requested oral argument. A date for oral argument has not been set: however, we anticipate that oral argument will occur in 2026.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firstLine="644"/>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2023 have been closed, and years thereafter remain open.</w:t>
      </w:r>
    </w:p>
    <w:p>
      <w:pPr>
        <w:spacing w:after="0" w:line="180"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30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2026 and December 31, 2025, total shares of the</w:t>
      </w:r>
    </w:p>
    <w:p>
      <w:pPr>
        <w:spacing w:after="0" w:line="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Company’s common stock outstanding were 106,969,344 and 106,968,082, respectively, of which 50,046,241 and 50,864,117, respectively, were held by the ESOP.</w:t>
      </w:r>
    </w:p>
    <w:p>
      <w:pPr>
        <w:spacing w:after="0" w:line="149" w:lineRule="exact"/>
        <w:rPr>
          <w:sz w:val="20"/>
          <w:szCs w:val="20"/>
          <w:color w:val="auto"/>
        </w:rPr>
      </w:pPr>
    </w:p>
    <w:p>
      <w:pPr>
        <w:ind w:right="38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140" w:firstLine="644"/>
        <w:spacing w:after="0" w:line="262" w:lineRule="auto"/>
        <w:rPr>
          <w:sz w:val="20"/>
          <w:szCs w:val="20"/>
          <w:color w:val="auto"/>
        </w:rPr>
      </w:pPr>
      <w:r>
        <w:rPr>
          <w:rFonts w:ascii="Arial" w:cs="Arial" w:eastAsia="Arial" w:hAnsi="Arial"/>
          <w:sz w:val="18"/>
          <w:szCs w:val="18"/>
          <w:color w:val="auto"/>
        </w:rPr>
        <w:t>Total ESOP contribution expense was $19.3 million and $17.8 million for the three months ended March 31, 2026 and March 31, 2025, respectively. The expense is recorded in “Direct costs of contracts” and “Selling, general and administrative expense” in the consolidated statements of income. The fiscal 2026 ESOP contribution has not yet been made. The amount is currently included in accrued liabilities.</w:t>
      </w:r>
    </w:p>
    <w:p>
      <w:pPr>
        <w:spacing w:after="0" w:line="2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14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$163.1 million and $184.4 million at March 31, 2026 and December 31, 2025, respectively.</w:t>
      </w:r>
    </w:p>
    <w:p>
      <w:pPr>
        <w:spacing w:after="0" w:line="139" w:lineRule="exact"/>
        <w:rPr>
          <w:sz w:val="20"/>
          <w:szCs w:val="20"/>
          <w:color w:val="auto"/>
        </w:rPr>
      </w:pPr>
    </w:p>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4"/>
                <w:szCs w:val="14"/>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468,867</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542,877</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7"/>
                <w:szCs w:val="17"/>
                <w:color w:val="auto"/>
              </w:rPr>
            </w:pP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7,207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7,961</w:t>
            </w: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476,074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550,838</w:t>
            </w:r>
          </w:p>
        </w:tc>
      </w:tr>
      <w:tr>
        <w:trPr>
          <w:trHeight w:val="20"/>
        </w:trPr>
        <w:tc>
          <w:tcPr>
            <w:tcW w:w="6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263,851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301,891</w:t>
            </w: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3,222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3,417</w:t>
            </w:r>
          </w:p>
        </w:tc>
      </w:tr>
      <w:tr>
        <w:trPr>
          <w:trHeight w:val="20"/>
        </w:trPr>
        <w:tc>
          <w:tcPr>
            <w:tcW w:w="6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267,073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305,308</w:t>
            </w: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209,001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245,530</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-573405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-573405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-299720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60" w:type="dxa"/>
            <w:vAlign w:val="bottom"/>
            <w:gridSpan w:val="6"/>
          </w:tcPr>
          <w:p>
            <w:pPr>
              <w:ind w:left="112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5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March 31, 2026</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3"/>
                <w:szCs w:val="13"/>
                <w:color w:val="auto"/>
              </w:rPr>
            </w:pP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7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176,989</w:t>
            </w:r>
          </w:p>
        </w:tc>
        <w:tc>
          <w:tcPr>
            <w:tcW w:w="58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196,358</w:t>
            </w:r>
          </w:p>
        </w:tc>
        <w:tc>
          <w:tcPr>
            <w:tcW w:w="12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152,302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164,954</w:t>
            </w:r>
          </w:p>
        </w:tc>
        <w:tc>
          <w:tcPr>
            <w:tcW w:w="12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24,687</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31,404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9"/>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12,285</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15,584</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-176530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-159385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8"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2026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2025</w:t>
            </w:r>
          </w:p>
        </w:tc>
        <w:tc>
          <w:tcPr>
            <w:tcW w:w="680" w:type="dxa"/>
            <w:vAlign w:val="bottom"/>
            <w:gridSpan w:val="2"/>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1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1,444,215</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1,549,367</w:t>
            </w: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430,998</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439,496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1,875,213</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1,988,863</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953,170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1,046,970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1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477,343</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469,833</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1,430,513</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1,516,803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1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444,700</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472,060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9"/>
              </w:rPr>
              <w:t>Investments in and advances to unconsolidated joint ventures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162,296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148,640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34"/>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80" w:type="dxa"/>
            <w:vAlign w:val="bottom"/>
          </w:tcPr>
          <w:p>
            <w:pPr>
              <w:jc w:val="right"/>
              <w:ind w:right="970"/>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-1610995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-1610995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-1345565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-1345565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-1071245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-1071245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-1053465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March 31, 2026</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3"/>
                <w:szCs w:val="13"/>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295,003</w:t>
            </w:r>
          </w:p>
        </w:tc>
        <w:tc>
          <w:tcPr>
            <w:tcW w:w="480" w:type="dxa"/>
            <w:vAlign w:val="bottom"/>
            <w:gridSpan w:val="3"/>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524,556</w:t>
            </w:r>
          </w:p>
        </w:tc>
        <w:tc>
          <w:tcPr>
            <w:tcW w:w="12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276,896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520,876</w:t>
            </w:r>
          </w:p>
        </w:tc>
        <w:tc>
          <w:tcPr>
            <w:tcW w:w="120" w:type="dxa"/>
            <w:vAlign w:val="bottom"/>
          </w:tcPr>
          <w:p>
            <w:pPr>
              <w:spacing w:after="0"/>
              <w:rPr>
                <w:sz w:val="17"/>
                <w:szCs w:val="17"/>
                <w:color w:val="auto"/>
              </w:rPr>
            </w:pPr>
          </w:p>
        </w:tc>
      </w:tr>
      <w:tr>
        <w:trPr>
          <w:trHeight w:val="21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18,107</w:t>
            </w:r>
          </w:p>
        </w:tc>
        <w:tc>
          <w:tcPr>
            <w:tcW w:w="480" w:type="dxa"/>
            <w:vAlign w:val="bottom"/>
            <w:gridSpan w:val="3"/>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3,680</w:t>
            </w:r>
          </w:p>
        </w:tc>
        <w:tc>
          <w:tcPr>
            <w:tcW w:w="120" w:type="dxa"/>
            <w:vAlign w:val="bottom"/>
            <w:shd w:val="clear" w:color="auto" w:fill="CFF0FC"/>
          </w:tcPr>
          <w:p>
            <w:pPr>
              <w:spacing w:after="0"/>
              <w:rPr>
                <w:sz w:val="18"/>
                <w:szCs w:val="18"/>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510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6,156</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-176530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-159385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-176530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The Company had net contributions to its unconsolidated joint ventures of $8.9 million and $3.6 million for the three months ended March 31, 2026 and March 31, 2025, respectively.</w:t>
      </w: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jc w:val="both"/>
        <w:ind w:right="80" w:firstLine="636"/>
        <w:spacing w:after="0" w:line="253"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March 31, 2026 and March 31, 2025 were $49.6 million and $45.5 million, respectively.</w:t>
      </w:r>
    </w:p>
    <w:p>
      <w:pPr>
        <w:spacing w:after="0" w:line="61"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For the three months ended March 31, 2026 and March 31, 2025, the Company incurred reimbursable costs of $32.3 million and $33.8 million, respectively.</w:t>
      </w:r>
    </w:p>
    <w:p>
      <w:pPr>
        <w:spacing w:after="0" w:line="46"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45,681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45,116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7"/>
                <w:szCs w:val="17"/>
                <w:color w:val="auto"/>
              </w:rPr>
            </w:pP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34,879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29,283</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6,755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7,297</w:t>
            </w: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2026 and December 31, 2025,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Fair value is determined by using one or more of the following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00" w:hanging="248"/>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6" w:name="page27"/>
    <w:bookmarkEnd w:id="26"/>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measured at fair value on a quarterly basis are as follows: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March 31,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96"/>
        </w:trPr>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Contingent consideration</w:t>
            </w:r>
          </w:p>
        </w:tc>
        <w:tc>
          <w:tcPr>
            <w:tcW w:w="16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20" w:type="dxa"/>
            <w:vAlign w:val="bottom"/>
          </w:tcPr>
          <w:p>
            <w:pPr>
              <w:ind w:left="80"/>
              <w:spacing w:after="0" w:line="202" w:lineRule="exact"/>
              <w:rPr>
                <w:sz w:val="20"/>
                <w:szCs w:val="20"/>
                <w:color w:val="auto"/>
              </w:rPr>
            </w:pPr>
            <w:r>
              <w:rPr>
                <w:rFonts w:ascii="Arial" w:cs="Arial" w:eastAsia="Arial" w:hAnsi="Arial"/>
                <w:sz w:val="18"/>
                <w:szCs w:val="18"/>
                <w:color w:val="auto"/>
              </w:rPr>
              <w:t>Earnout liability</w:t>
            </w:r>
          </w:p>
        </w:tc>
        <w:tc>
          <w:tcPr>
            <w:tcW w:w="1680" w:type="dxa"/>
            <w:vAlign w:val="bottom"/>
          </w:tcPr>
          <w:p>
            <w:pPr>
              <w:spacing w:after="0"/>
              <w:rPr>
                <w:sz w:val="17"/>
                <w:szCs w:val="17"/>
                <w:color w:val="auto"/>
              </w:rPr>
            </w:pPr>
          </w:p>
        </w:tc>
        <w:tc>
          <w:tcPr>
            <w:tcW w:w="1020" w:type="dxa"/>
            <w:vAlign w:val="bottom"/>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11,387</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11,387</w:t>
            </w:r>
          </w:p>
        </w:tc>
        <w:tc>
          <w:tcPr>
            <w:tcW w:w="10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liabilities at fair value</w:t>
            </w:r>
          </w:p>
        </w:tc>
        <w:tc>
          <w:tcPr>
            <w:tcW w:w="16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28"/>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11,387</w:t>
            </w:r>
          </w:p>
        </w:tc>
        <w:tc>
          <w:tcPr>
            <w:tcW w:w="4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11,387</w:t>
            </w:r>
          </w:p>
        </w:tc>
        <w:tc>
          <w:tcPr>
            <w:tcW w:w="100" w:type="dxa"/>
            <w:vAlign w:val="bottom"/>
            <w:shd w:val="clear" w:color="auto" w:fill="CFF0FC"/>
          </w:tcPr>
          <w:p>
            <w:pPr>
              <w:spacing w:after="0"/>
              <w:rPr>
                <w:sz w:val="18"/>
                <w:szCs w:val="18"/>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firstLine="644"/>
        <w:spacing w:after="0" w:line="271"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2 inputs,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4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4"/>
                <w:szCs w:val="14"/>
                <w:color w:val="auto"/>
              </w:rPr>
            </w:pPr>
          </w:p>
        </w:tc>
        <w:tc>
          <w:tcPr>
            <w:tcW w:w="266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2025</w:t>
            </w:r>
          </w:p>
        </w:tc>
      </w:tr>
      <w:tr>
        <w:trPr>
          <w:trHeight w:val="17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6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5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Convertible senior notes due 2029</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784,320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800,000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825,680</w:t>
            </w:r>
          </w:p>
        </w:tc>
        <w:tc>
          <w:tcPr>
            <w:tcW w:w="1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Term loan due 2028</w:t>
            </w:r>
          </w:p>
        </w:tc>
        <w:tc>
          <w:tcPr>
            <w:tcW w:w="2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Revolving credit facility</w:t>
            </w:r>
          </w:p>
        </w:tc>
        <w:tc>
          <w:tcPr>
            <w:tcW w:w="15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274,000</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274,000</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1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1,524,000</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1,508,320</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1,250,000</w:t>
            </w:r>
          </w:p>
        </w:tc>
        <w:tc>
          <w:tcPr>
            <w:tcW w:w="14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   1,275,680</w:t>
            </w:r>
          </w:p>
        </w:tc>
        <w:tc>
          <w:tcPr>
            <w:tcW w:w="12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ind w:left="1540" w:right="520" w:hanging="514"/>
        <w:spacing w:after="0" w:line="27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shares have been included in the denominator of diluted EPS, as the principal amount of convertible debt will be settled in cash with any excess conversion value settled in cash or shares of common stock.</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months ended March 31, 2026 and March 31, 2025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60" w:type="dxa"/>
            <w:vAlign w:val="bottom"/>
            <w:gridSpan w:val="5"/>
          </w:tcPr>
          <w:p>
            <w:pPr>
              <w:ind w:left="102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71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March 31, 2026</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3"/>
                <w:szCs w:val="13"/>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 for Basic and Diluted EPS: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Parsons Corporation - basic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52,926</w:t>
            </w:r>
          </w:p>
        </w:tc>
        <w:tc>
          <w:tcPr>
            <w:tcW w:w="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66,203</w:t>
            </w:r>
          </w:p>
        </w:tc>
        <w:tc>
          <w:tcPr>
            <w:tcW w:w="12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Convertible senior notes if-converted method interest adjustment</w:t>
            </w: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52,926</w:t>
            </w:r>
          </w:p>
        </w:tc>
        <w:tc>
          <w:tcPr>
            <w:tcW w:w="5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66,257</w:t>
            </w:r>
          </w:p>
        </w:tc>
        <w:tc>
          <w:tcPr>
            <w:tcW w:w="12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Basic weighted average number of shares outstanding</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107,182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106,831</w:t>
            </w:r>
          </w:p>
        </w:tc>
        <w:tc>
          <w:tcPr>
            <w:tcW w:w="12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120" w:type="dxa"/>
            <w:vAlign w:val="bottom"/>
          </w:tcPr>
          <w:p>
            <w:pPr>
              <w:spacing w:after="0"/>
              <w:rPr>
                <w:sz w:val="17"/>
                <w:szCs w:val="17"/>
                <w:color w:val="auto"/>
              </w:rPr>
            </w:pPr>
          </w:p>
        </w:tc>
      </w:tr>
      <w:tr>
        <w:trPr>
          <w:trHeight w:val="203"/>
        </w:trPr>
        <w:tc>
          <w:tcPr>
            <w:tcW w:w="7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Dilutive effect of warrants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w:t>
            </w:r>
          </w:p>
        </w:tc>
        <w:tc>
          <w:tcPr>
            <w:tcW w:w="12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Dilutive effect of convertible senior notes due 2025</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2,118</w:t>
            </w:r>
          </w:p>
        </w:tc>
        <w:tc>
          <w:tcPr>
            <w:tcW w:w="120" w:type="dxa"/>
            <w:vAlign w:val="bottom"/>
          </w:tcPr>
          <w:p>
            <w:pPr>
              <w:spacing w:after="0"/>
              <w:rPr>
                <w:sz w:val="17"/>
                <w:szCs w:val="17"/>
                <w:color w:val="auto"/>
              </w:rPr>
            </w:pPr>
          </w:p>
        </w:tc>
      </w:tr>
      <w:tr>
        <w:trPr>
          <w:trHeight w:val="236"/>
        </w:trPr>
        <w:tc>
          <w:tcPr>
            <w:tcW w:w="71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108,392</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111,026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0.62</w:t>
            </w:r>
          </w:p>
        </w:tc>
        <w:tc>
          <w:tcPr>
            <w:tcW w:w="120" w:type="dxa"/>
            <w:vAlign w:val="bottom"/>
          </w:tcPr>
          <w:p>
            <w:pPr>
              <w:spacing w:after="0"/>
              <w:rPr>
                <w:sz w:val="17"/>
                <w:szCs w:val="17"/>
                <w:color w:val="auto"/>
              </w:rPr>
            </w:pPr>
          </w:p>
        </w:tc>
      </w:tr>
      <w:tr>
        <w:trPr>
          <w:trHeight w:val="203"/>
        </w:trPr>
        <w:tc>
          <w:tcPr>
            <w:tcW w:w="7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0.49</w:t>
            </w:r>
          </w:p>
        </w:tc>
        <w:tc>
          <w:tcPr>
            <w:tcW w:w="5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0.60</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-1791335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-1791335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-574040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-556895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right="320" w:firstLine="644"/>
        <w:spacing w:after="0" w:line="271"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March 31, 2026 and March 31, 2025 were 18,583 and 12,733,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 The Board further amended this authorization in March 2025 to increase and reset the repurchase capacity to $250 million. Repurchases made by the Company during the first quarter of 2025 were deducted from the reset capacity.</w:t>
      </w:r>
    </w:p>
    <w:p>
      <w:pPr>
        <w:spacing w:after="0" w:line="77"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460" w:firstLine="644"/>
        <w:spacing w:after="0" w:line="271" w:lineRule="auto"/>
        <w:rPr>
          <w:sz w:val="20"/>
          <w:szCs w:val="20"/>
          <w:color w:val="auto"/>
        </w:rPr>
      </w:pPr>
      <w:r>
        <w:rPr>
          <w:rFonts w:ascii="Arial" w:cs="Arial" w:eastAsia="Arial" w:hAnsi="Arial"/>
          <w:sz w:val="18"/>
          <w:szCs w:val="18"/>
          <w:color w:val="auto"/>
        </w:rPr>
        <w:t>As of March 31, 2026, the Company has spent $239.7 million (which includes commissions paid of $79 thousand) repurchasing 4,119,224 shares of Common Stock at an average price of $58.19 per share.</w:t>
      </w:r>
    </w:p>
    <w:p>
      <w:pPr>
        <w:spacing w:after="0" w:line="46"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83"/>
        </w:trPr>
        <w:tc>
          <w:tcPr>
            <w:tcW w:w="4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97"/>
              <w:spacing w:after="0"/>
              <w:rPr>
                <w:sz w:val="20"/>
                <w:szCs w:val="20"/>
                <w:color w:val="auto"/>
              </w:rPr>
            </w:pPr>
            <w:r>
              <w:rPr>
                <w:rFonts w:ascii="Arial" w:cs="Arial" w:eastAsia="Arial" w:hAnsi="Arial"/>
                <w:sz w:val="14"/>
                <w:szCs w:val="14"/>
                <w:b w:val="1"/>
                <w:bCs w:val="1"/>
                <w:color w:val="auto"/>
              </w:rPr>
              <w:t>March 31, 2026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2025</w:t>
            </w: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shares repurchased</w:t>
            </w:r>
          </w:p>
        </w:tc>
        <w:tc>
          <w:tcPr>
            <w:tcW w:w="19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583,375</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423,980</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Total shares retired</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583,375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423,980</w:t>
            </w:r>
          </w:p>
        </w:tc>
        <w:tc>
          <w:tcPr>
            <w:tcW w:w="100" w:type="dxa"/>
            <w:vAlign w:val="bottom"/>
          </w:tcPr>
          <w:p>
            <w:pPr>
              <w:spacing w:after="0"/>
              <w:rPr>
                <w:sz w:val="17"/>
                <w:szCs w:val="17"/>
                <w:color w:val="auto"/>
              </w:rPr>
            </w:pPr>
          </w:p>
        </w:tc>
      </w:tr>
      <w:tr>
        <w:trPr>
          <w:trHeight w:val="202"/>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price paid per share (1)</w:t>
            </w:r>
          </w:p>
        </w:tc>
        <w:tc>
          <w:tcPr>
            <w:tcW w:w="2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59.99</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58.95</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ind w:left="900" w:hanging="248"/>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commissions in the calculation of average price per share</w:t>
      </w:r>
    </w:p>
    <w:p>
      <w:pPr>
        <w:spacing w:after="0" w:line="21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4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 operations, missile defense, and military facility modernization, logistics support, hazardous material remediation and engineering services.</w:t>
      </w:r>
    </w:p>
    <w:p>
      <w:pPr>
        <w:spacing w:after="0" w:line="17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spacing w:after="0" w:line="17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185" w:lineRule="exact"/>
        <w:rPr>
          <w:sz w:val="20"/>
          <w:szCs w:val="20"/>
          <w:color w:val="auto"/>
        </w:rPr>
      </w:pPr>
    </w:p>
    <w:p>
      <w:pPr>
        <w:jc w:val="both"/>
        <w:ind w:right="120" w:firstLine="644"/>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29" w:name="page30"/>
    <w:bookmarkEnd w:id="29"/>
    <w:p>
      <w:pPr>
        <w:ind w:firstLine="644"/>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period presented, along with a reconciliation of segment adjusted EBITDA attributable to Parsons Corporation to net income attributable to Parsons Corporation for the periods presented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758,348</w:t>
            </w: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732,828</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1,491,176</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(585,415)</w:t>
            </w:r>
          </w:p>
        </w:tc>
        <w:tc>
          <w:tcPr>
            <w:tcW w:w="30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(548,341)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(1,133,756)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(46,342)</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(47,458)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(93,800)</w:t>
            </w:r>
          </w:p>
        </w:tc>
      </w:tr>
      <w:tr>
        <w:trPr>
          <w:trHeight w:val="202"/>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4,364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6,156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(56,830)</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(74,492)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(131,322)</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71,553</w:t>
            </w: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66,901</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138,454</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12,475</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(35,926)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(14,187)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(16,087)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(9,454)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(8,439)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(1,625)</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65,211</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(12,285)</w:t>
            </w:r>
          </w:p>
        </w:tc>
      </w:tr>
      <w:tr>
        <w:trPr>
          <w:trHeight w:val="19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52,926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551"/>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842,557</w:t>
            </w: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711,803</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(661,912)</w:t>
            </w:r>
          </w:p>
        </w:tc>
        <w:tc>
          <w:tcPr>
            <w:tcW w:w="30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(538,465)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(1,200,377)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(45,409)</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(46,127)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(91,536)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(992)</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(58,712)</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(69,329)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(128,041)</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75,532</w:t>
            </w: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58,187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133,719</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15,057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(27,403)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(10,104)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(18,977)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(7,103)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(3,701)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81,787</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(15,584)</w:t>
            </w:r>
          </w:p>
        </w:tc>
      </w:tr>
      <w:tr>
        <w:trPr>
          <w:trHeight w:val="19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-5648325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-5648325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-5648325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-2613660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-2613660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3" w:lineRule="exact"/>
        <w:rPr>
          <w:rFonts w:ascii="Arial" w:cs="Arial" w:eastAsia="Arial" w:hAnsi="Arial"/>
          <w:sz w:val="18"/>
          <w:szCs w:val="18"/>
          <w:color w:val="auto"/>
        </w:rPr>
      </w:pPr>
    </w:p>
    <w:p>
      <w:pPr>
        <w:ind w:left="660" w:right="30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2" w:lineRule="exact"/>
        <w:rPr>
          <w:rFonts w:ascii="Arial" w:cs="Arial" w:eastAsia="Arial" w:hAnsi="Arial"/>
          <w:sz w:val="18"/>
          <w:szCs w:val="18"/>
          <w:color w:val="auto"/>
        </w:rPr>
      </w:pP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Bad debt expense</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Sublease income</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Foreign currency gain/loss, and</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ind w:left="660" w:right="8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6"/>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76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2026</w:t>
            </w: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 America</w:t>
            </w:r>
          </w:p>
        </w:tc>
        <w:tc>
          <w:tcPr>
            <w:tcW w:w="200" w:type="dxa"/>
            <w:vAlign w:val="bottom"/>
            <w:tcBorders>
              <w:left w:val="single" w:sz="8" w:color="CFF0FC"/>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1,212,584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1,284,232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Middle East</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272,242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265,083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 of World</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6,350</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left w:val="single" w:sz="8" w:color="CFF0FC"/>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1,491,176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1,554,360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68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 America</w:t>
            </w:r>
          </w:p>
        </w:tc>
        <w:tc>
          <w:tcPr>
            <w:tcW w:w="200" w:type="dxa"/>
            <w:vAlign w:val="bottom"/>
            <w:tcBorders>
              <w:lef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140,868</w:t>
            </w:r>
          </w:p>
        </w:tc>
        <w:tc>
          <w:tcPr>
            <w:tcW w:w="180" w:type="dxa"/>
            <w:vAlign w:val="bottom"/>
            <w:tcBorders>
              <w:lef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137,894</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Middle East</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13,718</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00" w:type="dxa"/>
            <w:vAlign w:val="bottom"/>
            <w:tcBorders>
              <w:lef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154,586</w:t>
            </w:r>
          </w:p>
        </w:tc>
        <w:tc>
          <w:tcPr>
            <w:tcW w:w="22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151,061</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-1259840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76" w:lineRule="auto"/>
        <w:rPr>
          <w:sz w:val="20"/>
          <w:szCs w:val="20"/>
          <w:color w:val="auto"/>
        </w:rPr>
      </w:pPr>
      <w:r>
        <w:rPr>
          <w:rFonts w:ascii="Arial" w:cs="Arial" w:eastAsia="Arial" w:hAnsi="Arial"/>
          <w:sz w:val="18"/>
          <w:szCs w:val="18"/>
          <w:color w:val="auto"/>
        </w:rPr>
        <w:t>North America includes revenue in the United States for the three months ended March 31, 2026 and March 31, 2025 of $1.1 billion and $1.2 billion, respectively. North America property and equipment, net includes $133.6 million and $130.5 million of property and equipment, net in the United States at March 31, 2026 and December 31, 2025, respectively.</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48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8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March 31, 2026</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Defense and Intelligence</w:t>
            </w:r>
          </w:p>
        </w:tc>
        <w:tc>
          <w:tcPr>
            <w:tcW w:w="3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503,747</w:t>
            </w:r>
          </w:p>
        </w:tc>
        <w:tc>
          <w:tcPr>
            <w:tcW w:w="4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443,323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400"/>
              <w:spacing w:after="0" w:line="202" w:lineRule="exact"/>
              <w:rPr>
                <w:sz w:val="20"/>
                <w:szCs w:val="20"/>
                <w:color w:val="auto"/>
              </w:rPr>
            </w:pPr>
            <w:r>
              <w:rPr>
                <w:rFonts w:ascii="Arial" w:cs="Arial" w:eastAsia="Arial" w:hAnsi="Arial"/>
                <w:sz w:val="18"/>
                <w:szCs w:val="18"/>
                <w:color w:val="auto"/>
              </w:rPr>
              <w:t>Engineered Systems</w:t>
            </w:r>
          </w:p>
        </w:tc>
        <w:tc>
          <w:tcPr>
            <w:tcW w:w="2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254,601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Federal Solutions revenues</w:t>
            </w:r>
          </w:p>
        </w:tc>
        <w:tc>
          <w:tcPr>
            <w:tcW w:w="28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758,348</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842,557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400"/>
              <w:spacing w:after="0" w:line="196" w:lineRule="exact"/>
              <w:rPr>
                <w:sz w:val="20"/>
                <w:szCs w:val="20"/>
                <w:color w:val="auto"/>
              </w:rPr>
            </w:pPr>
            <w:r>
              <w:rPr>
                <w:rFonts w:ascii="Arial" w:cs="Arial" w:eastAsia="Arial" w:hAnsi="Arial"/>
                <w:sz w:val="18"/>
                <w:szCs w:val="18"/>
                <w:color w:val="auto"/>
              </w:rPr>
              <w:t>Infrastructure – North America</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458,412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444,908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28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274,416</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266,895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00"/>
              <w:spacing w:after="0" w:line="196" w:lineRule="exact"/>
              <w:rPr>
                <w:sz w:val="20"/>
                <w:szCs w:val="20"/>
                <w:color w:val="auto"/>
              </w:rPr>
            </w:pPr>
            <w:r>
              <w:rPr>
                <w:rFonts w:ascii="Arial" w:cs="Arial" w:eastAsia="Arial" w:hAnsi="Arial"/>
                <w:sz w:val="18"/>
                <w:szCs w:val="18"/>
                <w:color w:val="auto"/>
              </w:rPr>
              <w:t>Critical Infrastructure revenues</w:t>
            </w:r>
          </w:p>
        </w:tc>
        <w:tc>
          <w:tcPr>
            <w:tcW w:w="2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732,828</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30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1,491,176</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48"/>
        </w:trPr>
        <w:tc>
          <w:tcPr>
            <w:tcW w:w="4820" w:type="dxa"/>
            <w:vAlign w:val="bottom"/>
            <w:tcBorders>
              <w:top w:val="single" w:sz="8" w:color="CFF0FC"/>
            </w:tcBorders>
          </w:tcPr>
          <w:p>
            <w:pPr>
              <w:spacing w:after="0"/>
              <w:rPr>
                <w:sz w:val="24"/>
                <w:szCs w:val="24"/>
                <w:color w:val="auto"/>
              </w:rPr>
            </w:pPr>
          </w:p>
        </w:tc>
        <w:tc>
          <w:tcPr>
            <w:tcW w:w="2860" w:type="dxa"/>
            <w:vAlign w:val="bottom"/>
            <w:tcBorders>
              <w:top w:val="single" w:sz="8" w:color="CFF0FC"/>
            </w:tcBorders>
          </w:tcPr>
          <w:p>
            <w:pPr>
              <w:jc w:val="right"/>
              <w:ind w:right="1870"/>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8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-1602105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-1336675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-1062355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-1045210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1" w:name="page32"/>
    <w:bookmarkEnd w:id="31"/>
    <w:p>
      <w:pPr>
        <w:ind w:left="640" w:right="7819" w:hanging="632"/>
        <w:spacing w:after="0" w:line="485" w:lineRule="auto"/>
        <w:tabs>
          <w:tab w:leader="none" w:pos="647"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2025.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2025.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 and electronic warfare, space and missile defense, critical infrastructure protection, transportation, water, environment and urban development.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is an advanced technology provider to the U.S. government. Our Critical Infrastructure business provides integrated design and engineering services for complex physical and digital infrastructure around the globe.</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3" w:name="page34"/>
    <w:bookmarkEnd w:id="33"/>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85725"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5"/>
                <w:szCs w:val="15"/>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Awards (year to date)</w:t>
            </w:r>
          </w:p>
        </w:tc>
        <w:tc>
          <w:tcPr>
            <w:tcW w:w="25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2,058,409</w:t>
            </w:r>
          </w:p>
        </w:tc>
        <w:tc>
          <w:tcPr>
            <w:tcW w:w="42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1,766,506</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Backlog (1)</w:t>
            </w:r>
          </w:p>
        </w:tc>
        <w:tc>
          <w:tcPr>
            <w:tcW w:w="2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9,305,926</w:t>
            </w:r>
          </w:p>
        </w:tc>
        <w:tc>
          <w:tcPr>
            <w:tcW w:w="4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9,071,226</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Book-to-Bill (year to date)</w:t>
            </w:r>
          </w:p>
        </w:tc>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left="1260" w:right="140" w:hanging="653"/>
        <w:spacing w:after="0" w:line="275" w:lineRule="auto"/>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Difference between our backlog of $9.3 billion and our remaining unsatisfied performance obligations, or RUPO, of $7.1 billion, each as of March 31, 2026, is due to (i) unissued task orders and unexercised option years, to the extent their issuance or exercise is probable, as well as (ii) contract awards, to the extent we believe contract execution and funding is probable.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6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1,031,334</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744,709</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2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1,027,075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1,021,797</w:t>
            </w:r>
          </w:p>
        </w:tc>
        <w:tc>
          <w:tcPr>
            <w:tcW w:w="10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26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2,058,409</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1,766,506</w:t>
            </w:r>
          </w:p>
        </w:tc>
        <w:tc>
          <w:tcPr>
            <w:tcW w:w="100" w:type="dxa"/>
            <w:vAlign w:val="bottom"/>
            <w:shd w:val="clear" w:color="auto" w:fill="CFF0FC"/>
          </w:tcPr>
          <w:p>
            <w:pPr>
              <w:spacing w:after="0"/>
              <w:rPr>
                <w:sz w:val="18"/>
                <w:szCs w:val="18"/>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40" w:lineRule="exact"/>
        <w:rPr>
          <w:sz w:val="20"/>
          <w:szCs w:val="20"/>
          <w:color w:val="auto"/>
        </w:rPr>
      </w:pPr>
    </w:p>
    <w:p>
      <w:pPr>
        <w:ind w:right="280" w:firstLine="636"/>
        <w:spacing w:after="0" w:line="244" w:lineRule="auto"/>
        <w:rPr>
          <w:sz w:val="20"/>
          <w:szCs w:val="20"/>
          <w:color w:val="auto"/>
        </w:rPr>
      </w:pPr>
      <w:r>
        <w:rPr>
          <w:rFonts w:ascii="Arial" w:cs="Arial" w:eastAsia="Arial" w:hAnsi="Arial"/>
          <w:sz w:val="18"/>
          <w:szCs w:val="18"/>
          <w:color w:val="auto"/>
        </w:rPr>
        <w:t>The increase in awards for the three months ended March 31, 2026 in our Critical Infrastructure segment when compared to the corresponding period last year was primarily driven by an overall increase in awards in the current year period. The increase in awards for the three months ended March 31, 2026 in our Federal Solutions segment when compared to the corresponding period last year was primarily driven by significant awards. The comparable period included a delay in the timing of awards of a number of contracts being pursued.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62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900" w:right="120" w:hanging="263"/>
        <w:spacing w:after="0" w:line="246"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7"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150495</wp:posOffset>
            </wp:positionV>
            <wp:extent cx="8509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090"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5"/>
                <w:szCs w:val="15"/>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Funded</w:t>
            </w:r>
          </w:p>
        </w:tc>
        <w:tc>
          <w:tcPr>
            <w:tcW w:w="2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1,862,047</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1,770,655</w:t>
            </w:r>
          </w:p>
        </w:tc>
      </w:tr>
      <w:tr>
        <w:trPr>
          <w:trHeight w:val="203"/>
        </w:trPr>
        <w:tc>
          <w:tcPr>
            <w:tcW w:w="44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Unfunded</w:t>
            </w:r>
          </w:p>
        </w:tc>
        <w:tc>
          <w:tcPr>
            <w:tcW w:w="2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2,616,068</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2,799,723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Federal Solutions</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4,478,115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4,570,378</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Critical Infrastructure:</w:t>
            </w:r>
          </w:p>
        </w:tc>
        <w:tc>
          <w:tcPr>
            <w:tcW w:w="23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Funded</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4,787,648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4,451,234</w:t>
            </w:r>
          </w:p>
        </w:tc>
      </w:tr>
      <w:tr>
        <w:trPr>
          <w:trHeight w:val="203"/>
        </w:trPr>
        <w:tc>
          <w:tcPr>
            <w:tcW w:w="44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Unfunded</w:t>
            </w:r>
          </w:p>
        </w:tc>
        <w:tc>
          <w:tcPr>
            <w:tcW w:w="2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40,163</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49,614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2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4,827,811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4,500,848</w:t>
            </w:r>
          </w:p>
        </w:tc>
        <w:tc>
          <w:tcPr>
            <w:tcW w:w="100" w:type="dxa"/>
            <w:vAlign w:val="bottom"/>
          </w:tcPr>
          <w:p>
            <w:pPr>
              <w:spacing w:after="0"/>
              <w:rPr>
                <w:sz w:val="17"/>
                <w:szCs w:val="17"/>
                <w:color w:val="auto"/>
              </w:rPr>
            </w:pPr>
          </w:p>
        </w:tc>
      </w:tr>
      <w:tr>
        <w:trPr>
          <w:trHeight w:val="21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Backlog (1)</w:t>
            </w:r>
          </w:p>
        </w:tc>
        <w:tc>
          <w:tcPr>
            <w:tcW w:w="25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9,305,926</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9,071,226</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-831215</wp:posOffset>
            </wp:positionV>
            <wp:extent cx="59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-831215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-299720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9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jc w:val="both"/>
        <w:ind w:left="1260" w:right="160" w:hanging="653"/>
        <w:spacing w:after="0" w:line="250"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6"/>
          <w:szCs w:val="16"/>
          <w:color w:val="auto"/>
        </w:rPr>
        <w:t>Difference between our backlog of $9.3 billion and our RUPO of $7.1 billion, each as of March 31, 2026, is due to (i) unissued task orders and unexercised option years, to the extent their issuance or exercise is probable, as well as (ii) contract awards, to the extent we believe contract execution and funding is probable.</w:t>
      </w:r>
    </w:p>
    <w:p>
      <w:pPr>
        <w:spacing w:after="0" w:line="179"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60" w:firstLine="636"/>
        <w:spacing w:after="0" w:line="242" w:lineRule="auto"/>
        <w:rPr>
          <w:sz w:val="20"/>
          <w:szCs w:val="20"/>
          <w:color w:val="auto"/>
        </w:rPr>
      </w:pPr>
      <w:r>
        <w:rPr>
          <w:rFonts w:ascii="Arial" w:cs="Arial" w:eastAsia="Arial" w:hAnsi="Arial"/>
          <w:sz w:val="18"/>
          <w:szCs w:val="18"/>
          <w:color w:val="auto"/>
        </w:rPr>
        <w:t>We expect to recognize $4.2 billion of our funded backlog at March 31, 2026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lower-than-expected revenue” in the Company’s Form 10-K for the year ended December 31, 2025.</w:t>
      </w:r>
    </w:p>
    <w:p>
      <w:pPr>
        <w:spacing w:after="0" w:line="179"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The increase in backlog in the Critical Infrastructure segment was primarily from ordinary course fluctuations in our business and an overall increase in awards. The decrease in Federal Solutions backlog was primarily related to a reduction in work on our confidential contract as a result of the Department of State reorganization issued May 29, 2025, partially offset by an overall increase in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8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March 31, 2026</w:t>
            </w:r>
          </w:p>
        </w:tc>
        <w:tc>
          <w:tcPr>
            <w:tcW w:w="220" w:type="dxa"/>
            <w:vAlign w:val="bottom"/>
            <w:tcBorders>
              <w:top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31, 2025</w:t>
            </w:r>
          </w:p>
        </w:tc>
        <w:tc>
          <w:tcPr>
            <w:tcW w:w="660" w:type="dxa"/>
            <w:vAlign w:val="bottom"/>
            <w:gridSpan w:val="2"/>
          </w:tcPr>
          <w:p>
            <w:pPr>
              <w:spacing w:after="0"/>
              <w:rPr>
                <w:sz w:val="13"/>
                <w:szCs w:val="13"/>
                <w:color w:val="auto"/>
              </w:rPr>
            </w:pPr>
          </w:p>
        </w:tc>
      </w:tr>
      <w:tr>
        <w:trPr>
          <w:trHeight w:val="196"/>
        </w:trPr>
        <w:tc>
          <w:tcPr>
            <w:tcW w:w="580" w:type="dxa"/>
            <w:vAlign w:val="bottom"/>
          </w:tcPr>
          <w:p>
            <w:pPr>
              <w:spacing w:after="0"/>
              <w:rPr>
                <w:sz w:val="17"/>
                <w:szCs w:val="17"/>
                <w:color w:val="auto"/>
              </w:rPr>
            </w:pPr>
          </w:p>
        </w:tc>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48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4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4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52"/>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60" w:type="dxa"/>
            <w:vAlign w:val="bottom"/>
          </w:tcPr>
          <w:p>
            <w:pPr>
              <w:jc w:val="right"/>
              <w:ind w:right="1430"/>
              <w:spacing w:after="0"/>
              <w:rPr>
                <w:sz w:val="20"/>
                <w:szCs w:val="20"/>
                <w:color w:val="auto"/>
              </w:rPr>
            </w:pPr>
            <w:r>
              <w:rPr>
                <w:rFonts w:ascii="Arial" w:cs="Arial" w:eastAsia="Arial" w:hAnsi="Arial"/>
                <w:sz w:val="18"/>
                <w:szCs w:val="18"/>
                <w:color w:val="auto"/>
              </w:rPr>
              <w:t>33</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War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Altamira Technologies Corporation.</w:t>
      </w:r>
    </w:p>
    <w:p>
      <w:pPr>
        <w:spacing w:after="0" w:line="102" w:lineRule="exact"/>
        <w:rPr>
          <w:sz w:val="20"/>
          <w:szCs w:val="20"/>
          <w:color w:val="auto"/>
        </w:rPr>
      </w:pPr>
    </w:p>
    <w:p>
      <w:pPr>
        <w:ind w:right="240" w:firstLine="636"/>
        <w:spacing w:after="0" w:line="207" w:lineRule="exact"/>
        <w:rPr>
          <w:sz w:val="20"/>
          <w:szCs w:val="20"/>
          <w:color w:val="auto"/>
        </w:rPr>
      </w:pPr>
      <w:r>
        <w:rPr>
          <w:rFonts w:ascii="Arial" w:cs="Arial" w:eastAsia="Arial" w:hAnsi="Arial"/>
          <w:sz w:val="18"/>
          <w:szCs w:val="18"/>
          <w:color w:val="auto"/>
        </w:rPr>
        <w:t>On January 14, 2026, the Company acquired a 100% ownership interest in Altamira Technologies Corporation ("ATC"), a privately owned company, for approximately $340 million in cash and up to an additional $ 45 million in the event an earn out EBITDA target is exceeded. The Company borrowed $330.0 million under the Credit Agreement to fund the acquisition. Headquartered in McLean, Virginia, ATC enhances Parsons’ defense and intelligence portfolio by delivering advanced analytics, signals intelligence (SIGINT), cyber, missile warning, and space capabilities, complementing the company’s strengths in all</w:t>
      </w:r>
      <w:r>
        <w:rPr>
          <w:rFonts w:ascii="MS PGothic" w:cs="MS PGothic" w:eastAsia="MS PGothic" w:hAnsi="MS PGothic"/>
          <w:sz w:val="18"/>
          <w:szCs w:val="18"/>
          <w:color w:val="auto"/>
        </w:rPr>
        <w:t>‑</w:t>
      </w:r>
      <w:r>
        <w:rPr>
          <w:rFonts w:ascii="Arial" w:cs="Arial" w:eastAsia="Arial" w:hAnsi="Arial"/>
          <w:sz w:val="18"/>
          <w:szCs w:val="18"/>
          <w:color w:val="auto"/>
        </w:rPr>
        <w:t>domain technology integration and Indo</w:t>
      </w:r>
      <w:r>
        <w:rPr>
          <w:rFonts w:ascii="MS PGothic" w:cs="MS PGothic" w:eastAsia="MS PGothic" w:hAnsi="MS PGothic"/>
          <w:sz w:val="18"/>
          <w:szCs w:val="18"/>
          <w:color w:val="auto"/>
        </w:rPr>
        <w:t>‑</w:t>
      </w:r>
      <w:r>
        <w:rPr>
          <w:rFonts w:ascii="Arial" w:cs="Arial" w:eastAsia="Arial" w:hAnsi="Arial"/>
          <w:sz w:val="18"/>
          <w:szCs w:val="18"/>
          <w:color w:val="auto"/>
        </w:rPr>
        <w:t>Pacific operations, and expanding with intelligence community (IC) customers. The financial results of ATC have been included in our consolidated results of operations from March 31, 2026 onward.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Applied Sciences Consulting, Inc.</w:t>
      </w:r>
    </w:p>
    <w:p>
      <w:pPr>
        <w:spacing w:after="0" w:line="102"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On October 1, 2025, the Company acquired a 100% ownership interest in Applied Sciences Consulting, Inc. ("ASC"), a privately owned company, for $28.2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The financial results of ASC have been included in our consolidated results of operations from December 31, 2025 onward.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Chesapeake Technology International, Corp</w:t>
      </w:r>
    </w:p>
    <w:p>
      <w:pPr>
        <w:spacing w:after="0" w:line="102" w:lineRule="exact"/>
        <w:rPr>
          <w:sz w:val="20"/>
          <w:szCs w:val="20"/>
          <w:color w:val="auto"/>
        </w:rPr>
      </w:pPr>
    </w:p>
    <w:p>
      <w:pPr>
        <w:ind w:right="280" w:firstLine="636"/>
        <w:spacing w:after="0" w:line="244" w:lineRule="auto"/>
        <w:rPr>
          <w:sz w:val="20"/>
          <w:szCs w:val="20"/>
          <w:color w:val="auto"/>
        </w:rPr>
      </w:pPr>
      <w:r>
        <w:rPr>
          <w:rFonts w:ascii="Arial" w:cs="Arial" w:eastAsia="Arial" w:hAnsi="Arial"/>
          <w:sz w:val="18"/>
          <w:szCs w:val="18"/>
          <w:color w:val="auto"/>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The financial results of CTI have been included in our consolidated results of operations from June 30, 2025 onward.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TRS Group, Inc.</w:t>
      </w:r>
    </w:p>
    <w:p>
      <w:pPr>
        <w:spacing w:after="0" w:line="102"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On January 31, 2025, the Company acquired a 100% ownership interest in TRS Group, Inc. ("TRS") a privately owned company, for $36.6 million. TRS is an environmental solutions firm that specializes in remediation technology. The acquisition of TRS significantly enhances Parsons’ environmental remediation capabilities. The financial results of TRS have been included in our consolidated results of operations from January 31, 2025 onward.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240" w:hanging="374"/>
        <w:spacing w:after="0" w:line="270" w:lineRule="auto"/>
        <w:tabs>
          <w:tab w:leader="none" w:pos="14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7" w:name="page38"/>
    <w:bookmarkEnd w:id="37"/>
    <w:p>
      <w:pPr>
        <w:ind w:left="1400" w:right="300"/>
        <w:spacing w:after="0" w:line="271" w:lineRule="auto"/>
        <w:rPr>
          <w:sz w:val="20"/>
          <w:szCs w:val="20"/>
          <w:color w:val="auto"/>
        </w:rPr>
      </w:pPr>
      <w:r>
        <w:rPr>
          <w:rFonts w:ascii="Arial" w:cs="Arial" w:eastAsia="Arial" w:hAnsi="Arial"/>
          <w:sz w:val="18"/>
          <w:szCs w:val="18"/>
          <w:color w:val="auto"/>
        </w:rPr>
        <w:t>safety and cost-effectiveness. In addition, costs are generally subject to review by clients and regulatory audit agencies, and such reviews could result in costs being disputed as non-reimbursable under the terms of the contract.</w:t>
      </w:r>
    </w:p>
    <w:p>
      <w:pPr>
        <w:spacing w:after="0" w:line="46" w:lineRule="exact"/>
        <w:rPr>
          <w:sz w:val="20"/>
          <w:szCs w:val="20"/>
          <w:color w:val="auto"/>
        </w:rPr>
      </w:pPr>
    </w:p>
    <w:p>
      <w:pPr>
        <w:jc w:val="both"/>
        <w:ind w:left="1400" w:right="380" w:hanging="374"/>
        <w:spacing w:after="0" w:line="252"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2025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4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660" w:type="dxa"/>
            <w:vAlign w:val="bottom"/>
          </w:tcPr>
          <w:p>
            <w:pPr>
              <w:spacing w:after="0"/>
              <w:rPr>
                <w:sz w:val="13"/>
                <w:szCs w:val="13"/>
                <w:color w:val="auto"/>
              </w:rPr>
            </w:pPr>
          </w:p>
        </w:tc>
        <w:tc>
          <w:tcPr>
            <w:tcW w:w="15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3"/>
                <w:szCs w:val="13"/>
                <w:color w:val="auto"/>
              </w:rPr>
            </w:pPr>
          </w:p>
        </w:tc>
        <w:tc>
          <w:tcPr>
            <w:tcW w:w="1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March 31, 2025</w:t>
            </w:r>
          </w:p>
        </w:tc>
      </w:tr>
      <w:tr>
        <w:trPr>
          <w:trHeight w:val="196"/>
        </w:trPr>
        <w:tc>
          <w:tcPr>
            <w:tcW w:w="6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5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31.6%</w:t>
            </w:r>
          </w:p>
        </w:tc>
        <w:tc>
          <w:tcPr>
            <w:tcW w:w="186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rPr>
              <w:t>37.0%</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7"/>
              </w:rPr>
              <w:t>25.0%</w:t>
            </w:r>
          </w:p>
        </w:tc>
        <w:tc>
          <w:tcPr>
            <w:tcW w:w="18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rPr>
              <w:t>22.3%</w:t>
            </w: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5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43.4%</w:t>
            </w:r>
          </w:p>
        </w:tc>
        <w:tc>
          <w:tcPr>
            <w:tcW w:w="186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rPr>
              <w:t>40.7%</w:t>
            </w:r>
          </w:p>
        </w:tc>
      </w:tr>
    </w:tbl>
    <w:p>
      <w:pPr>
        <w:spacing w:after="0" w:line="224"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72" w:lineRule="exact"/>
        <w:rPr>
          <w:sz w:val="20"/>
          <w:szCs w:val="20"/>
          <w:color w:val="auto"/>
        </w:rPr>
      </w:pPr>
    </w:p>
    <w:p>
      <w:pPr>
        <w:ind w:firstLine="636"/>
        <w:spacing w:after="0" w:line="301" w:lineRule="auto"/>
        <w:rPr>
          <w:sz w:val="20"/>
          <w:szCs w:val="20"/>
          <w:color w:val="auto"/>
        </w:rPr>
      </w:pPr>
      <w:r>
        <w:rPr>
          <w:rFonts w:ascii="Arial" w:cs="Arial" w:eastAsia="Arial" w:hAnsi="Arial"/>
          <w:sz w:val="17"/>
          <w:szCs w:val="17"/>
          <w:color w:val="auto"/>
        </w:rPr>
        <w:t>The significant change in the contract mix for the three months ended March 31, 2026 compared to the corresponding periods last year primarily relates to decreased business volume from a fixed price contract from a confidential contract in our Federal Solutions segment.</w:t>
      </w:r>
    </w:p>
    <w:p>
      <w:pPr>
        <w:spacing w:after="0" w:line="131"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March 31, 2026 and March 31, 2025 of $49.6 million and $45.5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2026 and March 31, 2025 was $19.3 million and $17.8 million, respectively and is recorded in “Direct cost of contracts” and “Selling, general and administrative expenses.”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8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6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right="680" w:firstLine="636"/>
        <w:spacing w:after="0" w:line="271" w:lineRule="auto"/>
        <w:rPr>
          <w:sz w:val="20"/>
          <w:szCs w:val="20"/>
          <w:color w:val="auto"/>
        </w:rPr>
      </w:pPr>
      <w:r>
        <w:rPr>
          <w:rFonts w:ascii="Arial" w:cs="Arial" w:eastAsia="Arial" w:hAnsi="Arial"/>
          <w:sz w:val="18"/>
          <w:szCs w:val="18"/>
          <w:color w:val="auto"/>
        </w:rPr>
        <w:t>Interest expense consists of interest expense incurred under our Convertible Senior Notes, Term Loan, and Revolving Credit Agreement.</w:t>
      </w:r>
    </w:p>
    <w:p>
      <w:pPr>
        <w:spacing w:after="0" w:line="154" w:lineRule="exact"/>
        <w:rPr>
          <w:sz w:val="20"/>
          <w:szCs w:val="20"/>
          <w:color w:val="auto"/>
        </w:rPr>
      </w:pPr>
    </w:p>
    <w:p>
      <w:pPr>
        <w:ind w:right="66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2026 and March 31, 2025.</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400" w:type="dxa"/>
            <w:vAlign w:val="bottom"/>
            <w:vMerge w:val="continue"/>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March 31, 2026</w:t>
            </w: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(1)</w:t>
            </w:r>
          </w:p>
        </w:tc>
        <w:tc>
          <w:tcPr>
            <w:tcW w:w="2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150,929</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148,776</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Net Income Margin (2)</w:t>
            </w: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7"/>
                <w:szCs w:val="17"/>
                <w:color w:val="auto"/>
              </w:rPr>
            </w:pPr>
          </w:p>
        </w:tc>
        <w:tc>
          <w:tcPr>
            <w:tcW w:w="1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(3)</w:t>
            </w:r>
          </w:p>
        </w:tc>
        <w:tc>
          <w:tcPr>
            <w:tcW w:w="2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508"/>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reconciliation of net income attributable to Parsons Corporation to Adjusted EBITDA is set forth below (in thousands).</w:t>
      </w:r>
    </w:p>
    <w:p>
      <w:pPr>
        <w:spacing w:after="0" w:line="21" w:lineRule="exact"/>
        <w:rPr>
          <w:rFonts w:ascii="Arial" w:cs="Arial" w:eastAsia="Arial" w:hAnsi="Arial"/>
          <w:sz w:val="16"/>
          <w:szCs w:val="16"/>
          <w:color w:val="auto"/>
        </w:rPr>
      </w:pPr>
    </w:p>
    <w:p>
      <w:pPr>
        <w:ind w:left="1040" w:hanging="508"/>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Income Margin is calculated as net income including noncontrolling interest divided by revenue in the applicable period.</w:t>
      </w:r>
    </w:p>
    <w:p>
      <w:pPr>
        <w:spacing w:after="0" w:line="5" w:lineRule="exact"/>
        <w:rPr>
          <w:rFonts w:ascii="Arial" w:cs="Arial" w:eastAsia="Arial" w:hAnsi="Arial"/>
          <w:sz w:val="16"/>
          <w:szCs w:val="16"/>
          <w:color w:val="auto"/>
        </w:rPr>
      </w:pPr>
    </w:p>
    <w:p>
      <w:pPr>
        <w:ind w:left="1040" w:hanging="508"/>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Margin is calculated as Adjusted EBITDA divided by revenue in the applicable period.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7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March 31, 2026</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7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52,926</w:t>
            </w:r>
          </w:p>
        </w:tc>
        <w:tc>
          <w:tcPr>
            <w:tcW w:w="5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14,187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10,104</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16,087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18,977</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35,926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27,403</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12,285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15,584</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9,454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7,103</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Transaction-related costs (a)</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3,701</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Other (b)</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(299)</w:t>
            </w:r>
          </w:p>
        </w:tc>
      </w:tr>
      <w:tr>
        <w:trPr>
          <w:trHeight w:val="236"/>
        </w:trPr>
        <w:tc>
          <w:tcPr>
            <w:tcW w:w="74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150,929</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148,776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60" w:right="220" w:hanging="652"/>
        <w:spacing w:after="0" w:line="25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6"/>
          <w:szCs w:val="16"/>
          <w:color w:val="auto"/>
        </w:rPr>
      </w:pPr>
    </w:p>
    <w:p>
      <w:pPr>
        <w:ind w:left="660" w:right="120" w:hanging="652"/>
        <w:spacing w:after="0" w:line="26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 combination of gain/loss related to sale of fixed assets, software implementation costs, and other individually insignificant items that are non-recurring in nature.</w:t>
      </w:r>
    </w:p>
    <w:p>
      <w:pPr>
        <w:spacing w:after="0" w:line="167"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40"/>
        <w:spacing w:after="0" w:line="238" w:lineRule="auto"/>
        <w:rPr>
          <w:sz w:val="20"/>
          <w:szCs w:val="20"/>
          <w:color w:val="auto"/>
        </w:rPr>
      </w:pPr>
      <w:r>
        <w:rPr>
          <w:rFonts w:ascii="Arial" w:cs="Arial" w:eastAsia="Arial" w:hAnsi="Arial"/>
          <w:sz w:val="18"/>
          <w:szCs w:val="18"/>
          <w:color w:val="auto"/>
        </w:rPr>
        <w:t>or any other performance measure derived in accordance with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3"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532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3"/>
                <w:szCs w:val="13"/>
                <w:color w:val="auto"/>
              </w:rPr>
            </w:pPr>
          </w:p>
        </w:tc>
        <w:tc>
          <w:tcPr>
            <w:tcW w:w="12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Dollar</w:t>
            </w:r>
          </w:p>
        </w:tc>
        <w:tc>
          <w:tcPr>
            <w:tcW w:w="100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r>
      <w:tr>
        <w:trPr>
          <w:trHeight w:val="177"/>
        </w:trPr>
        <w:tc>
          <w:tcPr>
            <w:tcW w:w="532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3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22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71,553</w:t>
            </w:r>
          </w:p>
        </w:tc>
        <w:tc>
          <w:tcPr>
            <w:tcW w:w="5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r>
      <w:tr>
        <w:trPr>
          <w:trHeight w:val="184"/>
        </w:trPr>
        <w:tc>
          <w:tcPr>
            <w:tcW w:w="5320" w:type="dxa"/>
            <w:vAlign w:val="bottom"/>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320" w:type="dxa"/>
            <w:vAlign w:val="bottom"/>
          </w:tcPr>
          <w:p>
            <w:pPr>
              <w:spacing w:after="0"/>
              <w:rPr>
                <w:sz w:val="20"/>
                <w:szCs w:val="20"/>
                <w:color w:val="auto"/>
              </w:rPr>
            </w:pPr>
            <w:r>
              <w:rPr>
                <w:rFonts w:ascii="Arial" w:cs="Arial" w:eastAsia="Arial" w:hAnsi="Arial"/>
                <w:sz w:val="18"/>
                <w:szCs w:val="18"/>
                <w:color w:val="auto"/>
              </w:rPr>
              <w:t>Corporation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12,475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15,057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(2,582)</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(17.1)%</w:t>
            </w:r>
          </w:p>
        </w:tc>
      </w:tr>
      <w:tr>
        <w:trPr>
          <w:trHeight w:val="20"/>
        </w:trPr>
        <w:tc>
          <w:tcPr>
            <w:tcW w:w="5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320" w:type="dxa"/>
            <w:vAlign w:val="bottom"/>
          </w:tcPr>
          <w:p>
            <w:pPr>
              <w:spacing w:after="0" w:line="182" w:lineRule="exact"/>
              <w:rPr>
                <w:sz w:val="20"/>
                <w:szCs w:val="20"/>
                <w:color w:val="auto"/>
              </w:rPr>
            </w:pPr>
            <w:r>
              <w:rPr>
                <w:rFonts w:ascii="Arial" w:cs="Arial" w:eastAsia="Arial" w:hAnsi="Arial"/>
                <w:sz w:val="18"/>
                <w:szCs w:val="18"/>
                <w:color w:val="auto"/>
              </w:rPr>
              <w:t>Total Adjusted EBITDA</w:t>
            </w:r>
          </w:p>
        </w:tc>
        <w:tc>
          <w:tcPr>
            <w:tcW w:w="300" w:type="dxa"/>
            <w:vAlign w:val="bottom"/>
          </w:tcPr>
          <w:p>
            <w:pPr>
              <w:jc w:val="right"/>
              <w:ind w:right="116"/>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150,929</w:t>
            </w:r>
          </w:p>
        </w:tc>
        <w:tc>
          <w:tcPr>
            <w:tcW w:w="580" w:type="dxa"/>
            <w:vAlign w:val="bottom"/>
            <w:gridSpan w:val="2"/>
          </w:tcPr>
          <w:p>
            <w:pPr>
              <w:jc w:val="right"/>
              <w:ind w:right="168"/>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148,776</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2,153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1.4%</w:t>
            </w:r>
          </w:p>
        </w:tc>
      </w:tr>
      <w:tr>
        <w:trPr>
          <w:trHeight w:val="20"/>
        </w:trPr>
        <w:tc>
          <w:tcPr>
            <w:tcW w:w="5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-162560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760" w:firstLine="644"/>
        <w:spacing w:after="0" w:line="271" w:lineRule="auto"/>
        <w:rPr>
          <w:sz w:val="20"/>
          <w:szCs w:val="20"/>
          <w:color w:val="auto"/>
        </w:rPr>
      </w:pPr>
      <w:r>
        <w:rPr>
          <w:rFonts w:ascii="Arial" w:cs="Arial" w:eastAsia="Arial" w:hAnsi="Arial"/>
          <w:sz w:val="18"/>
          <w:szCs w:val="18"/>
          <w:color w:val="auto"/>
        </w:rPr>
        <w:t>The following table sets forth our results of operations for the three months ended March 31, 2026 and March 31, 2025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Pr>
          <w:p>
            <w:pPr>
              <w:spacing w:after="0"/>
              <w:rPr>
                <w:sz w:val="15"/>
                <w:szCs w:val="15"/>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March 31, 2025</w:t>
            </w:r>
          </w:p>
        </w:tc>
        <w:tc>
          <w:tcPr>
            <w:tcW w:w="7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Direct costs of contracts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14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6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6.4%</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64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640" w:type="dxa"/>
            <w:vAlign w:val="bottom"/>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6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5.5%</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80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4.4%</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gridSpan w:val="3"/>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2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Variance</w:t>
            </w: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20" w:type="dxa"/>
            <w:vAlign w:val="bottom"/>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5"/>
              <w:spacing w:after="0" w:line="155" w:lineRule="exact"/>
              <w:rPr>
                <w:sz w:val="20"/>
                <w:szCs w:val="20"/>
                <w:color w:val="auto"/>
              </w:rPr>
            </w:pPr>
            <w:r>
              <w:rPr>
                <w:rFonts w:ascii="Arial" w:cs="Arial" w:eastAsia="Arial" w:hAnsi="Arial"/>
                <w:sz w:val="14"/>
                <w:szCs w:val="14"/>
                <w:b w:val="1"/>
                <w:bCs w:val="1"/>
                <w:color w:val="auto"/>
              </w:rPr>
              <w:t>March 31, 2026</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March 31, 2025</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Dollar</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1,491,176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1,554,360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(63,184)</w:t>
            </w:r>
          </w:p>
        </w:tc>
        <w:tc>
          <w:tcPr>
            <w:tcW w:w="360" w:type="dxa"/>
            <w:vAlign w:val="bottom"/>
            <w:shd w:val="clear" w:color="auto" w:fill="CFF0FC"/>
          </w:tcPr>
          <w:p>
            <w:pPr>
              <w:spacing w:after="0"/>
              <w:rPr>
                <w:sz w:val="17"/>
                <w:szCs w:val="17"/>
                <w:color w:val="auto"/>
              </w:rPr>
            </w:pPr>
          </w:p>
        </w:tc>
        <w:tc>
          <w:tcPr>
            <w:tcW w:w="1420" w:type="dxa"/>
            <w:vAlign w:val="bottom"/>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-2167890</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-2167890</wp:posOffset>
            </wp:positionV>
            <wp:extent cx="1117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-1645285</wp:posOffset>
            </wp:positionV>
            <wp:extent cx="1111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-1645285</wp:posOffset>
            </wp:positionV>
            <wp:extent cx="1117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-839470</wp:posOffset>
            </wp:positionV>
            <wp:extent cx="111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-822325</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-839470</wp:posOffset>
            </wp:positionV>
            <wp:extent cx="1117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-822325</wp:posOffset>
            </wp:positionV>
            <wp:extent cx="111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4"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Revenue decreased $63.2 million for the three months ended March 31, 2026 when compared to the corresponding period last year, due to a decrease in revenue in our Federal Solutions segment of $84.2 million, offset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320"/>
        <w:spacing w:after="0" w:line="271" w:lineRule="auto"/>
        <w:rPr>
          <w:sz w:val="20"/>
          <w:szCs w:val="20"/>
          <w:color w:val="auto"/>
        </w:rPr>
      </w:pPr>
      <w:r>
        <w:rPr>
          <w:rFonts w:ascii="Arial" w:cs="Arial" w:eastAsia="Arial" w:hAnsi="Arial"/>
          <w:sz w:val="18"/>
          <w:szCs w:val="18"/>
          <w:color w:val="auto"/>
        </w:rPr>
        <w:t>an increase in revenue in our Critical Infrastructure Segment of $21.0 million. See “Segment Results” below for a further discussion of the changes in the Company's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March 31, 2026</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March 31, 2025</w:t>
            </w:r>
          </w:p>
        </w:tc>
        <w:tc>
          <w:tcPr>
            <w:tcW w:w="30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10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1,133,756</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1,200,377</w:t>
            </w:r>
          </w:p>
        </w:tc>
        <w:tc>
          <w:tcPr>
            <w:tcW w:w="1320" w:type="dxa"/>
            <w:vAlign w:val="bottom"/>
            <w:gridSpan w:val="2"/>
            <w:shd w:val="clear" w:color="auto" w:fill="CFF0FC"/>
          </w:tcPr>
          <w:p>
            <w:pPr>
              <w:jc w:val="right"/>
              <w:ind w:right="84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(66,621)</w:t>
            </w:r>
          </w:p>
        </w:tc>
        <w:tc>
          <w:tcPr>
            <w:tcW w:w="4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80" w:firstLine="644"/>
        <w:spacing w:after="0" w:line="244" w:lineRule="auto"/>
        <w:rPr>
          <w:sz w:val="20"/>
          <w:szCs w:val="20"/>
          <w:color w:val="auto"/>
        </w:rPr>
      </w:pPr>
      <w:r>
        <w:rPr>
          <w:rFonts w:ascii="Arial" w:cs="Arial" w:eastAsia="Arial" w:hAnsi="Arial"/>
          <w:sz w:val="18"/>
          <w:szCs w:val="18"/>
          <w:color w:val="auto"/>
        </w:rPr>
        <w:t>Direct cost of contracts decreased $ 66.6 million for the three months ended March 31, 2026 when compared to the corresponding period last year, primarily due to a decrease of $76.5 million in our Federal Solutions segment offset by an increase of $9.9 million in our Critical Infrastructure segment. The decrease in direct costs of contracts in the Federal Solutions segment is primarily related to reduced volume from our confidential contract, See “Segment Results” below for a further discussion. The increase in direct costs of contracts in the Critical Infrastructure segment is primarily related to increased volume from new and existing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(losses) of unconsolidated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2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top w:val="single" w:sz="8" w:color="auto"/>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March 31, 2026</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4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8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6,156</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(687)</w:t>
            </w:r>
          </w:p>
        </w:tc>
        <w:tc>
          <w:tcPr>
            <w:tcW w:w="900" w:type="dxa"/>
            <w:vAlign w:val="bottom"/>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6,843</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Equity in earnings of unconsolidated joint ventures improved by $6.8 million for the three months ended March 31, 2026 compared to the corresponding period last year. The Company is winding down its participation in construction joint ventures.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March 31, 2026</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267,902</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244,063</w:t>
            </w:r>
          </w:p>
        </w:tc>
        <w:tc>
          <w:tcPr>
            <w:tcW w:w="4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23,839</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60" w:firstLine="636"/>
        <w:spacing w:after="0" w:line="253" w:lineRule="auto"/>
        <w:rPr>
          <w:sz w:val="20"/>
          <w:szCs w:val="20"/>
          <w:color w:val="auto"/>
        </w:rPr>
      </w:pPr>
      <w:r>
        <w:rPr>
          <w:rFonts w:ascii="Arial" w:cs="Arial" w:eastAsia="Arial" w:hAnsi="Arial"/>
          <w:sz w:val="18"/>
          <w:szCs w:val="18"/>
          <w:color w:val="auto"/>
        </w:rPr>
        <w:t>As a percentage of revenue, our SG&amp;A increased by 2.3% to 18.0% for the three months ended March 31, 2026 compared to 15.7% for the corresponding period last year. The increase in SG&amp;A was primarily due to higher transaction costs and intangible asset amortization associated with the Company's acquisitions compared to the corresponding period last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Pr>
          <w:p>
            <w:pPr>
              <w:spacing w:after="0"/>
              <w:rPr>
                <w:sz w:val="14"/>
                <w:szCs w:val="14"/>
                <w:color w:val="auto"/>
              </w:rPr>
            </w:pPr>
          </w:p>
        </w:tc>
        <w:tc>
          <w:tcPr>
            <w:tcW w:w="354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March 31, 2026</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2,142</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88"/>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(331)</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(15,998)</w:t>
            </w:r>
          </w:p>
        </w:tc>
        <w:tc>
          <w:tcPr>
            <w:tcW w:w="200" w:type="dxa"/>
            <w:vAlign w:val="bottom"/>
          </w:tcPr>
          <w:p>
            <w:pPr>
              <w:spacing w:after="0"/>
              <w:rPr>
                <w:sz w:val="17"/>
                <w:szCs w:val="17"/>
                <w:color w:val="auto"/>
              </w:rPr>
            </w:pP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(12,246)</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(3,752)</w:t>
            </w:r>
          </w:p>
        </w:tc>
        <w:tc>
          <w:tcPr>
            <w:tcW w:w="38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(189)</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(1,824)</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(14,376)</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(8,469)</w:t>
            </w:r>
          </w:p>
        </w:tc>
        <w:tc>
          <w:tcPr>
            <w:tcW w:w="1180" w:type="dxa"/>
            <w:vAlign w:val="bottom"/>
            <w:gridSpan w:val="2"/>
          </w:tcPr>
          <w:p>
            <w:pPr>
              <w:jc w:val="right"/>
              <w:ind w:right="888"/>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(5,907)</w:t>
            </w:r>
          </w:p>
        </w:tc>
        <w:tc>
          <w:tcPr>
            <w:tcW w:w="380" w:type="dxa"/>
            <w:vAlign w:val="bottom"/>
          </w:tcPr>
          <w:p>
            <w:pPr>
              <w:spacing w:after="0"/>
              <w:rPr>
                <w:sz w:val="17"/>
                <w:szCs w:val="17"/>
                <w:color w:val="auto"/>
              </w:rPr>
            </w:pP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-161925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-161925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-161925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-161925</wp:posOffset>
            </wp:positionV>
            <wp:extent cx="1543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Interest expense for the three months ended March 31, 2026 and March 31, 2025 is primarily due to debt related to our Convertible Senior Notes, Term Loan, and Revolving Credit Facility.</w:t>
      </w:r>
    </w:p>
    <w:p>
      <w:pPr>
        <w:spacing w:after="0" w:line="154"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and sublease income.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Income tax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gridSpan w:val="6"/>
          </w:tcPr>
          <w:p>
            <w:pPr>
              <w:ind w:lef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March 31, 2026</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Dollar</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7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000"/>
              <w:spacing w:after="0" w:line="196" w:lineRule="exact"/>
              <w:rPr>
                <w:sz w:val="20"/>
                <w:szCs w:val="20"/>
                <w:color w:val="auto"/>
              </w:rPr>
            </w:pPr>
            <w:r>
              <w:rPr>
                <w:rFonts w:ascii="Arial" w:cs="Arial" w:eastAsia="Arial" w:hAnsi="Arial"/>
                <w:sz w:val="18"/>
                <w:szCs w:val="18"/>
                <w:color w:val="auto"/>
              </w:rPr>
              <w:t>16,087</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18,977</w:t>
            </w:r>
          </w:p>
        </w:tc>
        <w:tc>
          <w:tcPr>
            <w:tcW w:w="1360" w:type="dxa"/>
            <w:vAlign w:val="bottom"/>
            <w:gridSpan w:val="2"/>
            <w:shd w:val="clear" w:color="auto" w:fill="CFF0FC"/>
          </w:tcPr>
          <w:p>
            <w:pPr>
              <w:jc w:val="right"/>
              <w:ind w:right="1048"/>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(2,890)</w:t>
            </w:r>
          </w:p>
        </w:tc>
        <w:tc>
          <w:tcPr>
            <w:tcW w:w="4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The Company’s effective tax rate was 19.8% and 18.8% and income tax expense was $16.0 million and $19.0 million for the three months ended March 31, 2026 and March 31, 2025, respectively. The decrease in tax expense for the three months ended March 31, 2026 compared to the three months ended March 31, 2025 was due primarily to the tax impact of a decrease in pre-tax income, and a change in the jurisdictional mix of earnings, partially offset by decreases in tax benefits from the foreign-derived deduction eligible income (FDDEI) and windfall equity-based compensation deductions.</w:t>
      </w: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60" w:type="dxa"/>
            <w:vAlign w:val="bottom"/>
          </w:tcPr>
          <w:p>
            <w:pPr>
              <w:spacing w:after="0"/>
              <w:rPr>
                <w:sz w:val="14"/>
                <w:szCs w:val="14"/>
                <w:color w:val="auto"/>
              </w:rPr>
            </w:pPr>
          </w:p>
        </w:tc>
        <w:tc>
          <w:tcPr>
            <w:tcW w:w="3580" w:type="dxa"/>
            <w:vAlign w:val="bottom"/>
            <w:gridSpan w:val="5"/>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740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March 31, 2026</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 Adjusted EBITDA attributable to Parsons Corporation</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71,553</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75,532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spacing w:after="0" w:line="202" w:lineRule="exact"/>
              <w:rPr>
                <w:sz w:val="20"/>
                <w:szCs w:val="20"/>
                <w:color w:val="auto"/>
              </w:rPr>
            </w:pPr>
            <w:r>
              <w:rPr>
                <w:rFonts w:ascii="Arial" w:cs="Arial" w:eastAsia="Arial" w:hAnsi="Arial"/>
                <w:sz w:val="18"/>
                <w:szCs w:val="18"/>
                <w:color w:val="auto"/>
              </w:rPr>
              <w:t>Critical Infrastructure Adjusted EBITDA attributable to Parsons Corporation</w:t>
            </w:r>
          </w:p>
        </w:tc>
        <w:tc>
          <w:tcPr>
            <w:tcW w:w="2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66,901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58,187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2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12,475</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ind w:left="200"/>
              <w:spacing w:after="0" w:line="196" w:lineRule="exact"/>
              <w:rPr>
                <w:sz w:val="20"/>
                <w:szCs w:val="20"/>
                <w:color w:val="auto"/>
              </w:rPr>
            </w:pPr>
            <w:r>
              <w:rPr>
                <w:rFonts w:ascii="Arial" w:cs="Arial" w:eastAsia="Arial" w:hAnsi="Arial"/>
                <w:sz w:val="18"/>
                <w:szCs w:val="18"/>
                <w:color w:val="auto"/>
              </w:rPr>
              <w:t>Total Adjusted EBITDA</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150,929</w:t>
            </w:r>
          </w:p>
        </w:tc>
        <w:tc>
          <w:tcPr>
            <w:tcW w:w="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148,776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758,348</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842,557</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(84,209)</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9"/>
        </w:trPr>
        <w:tc>
          <w:tcPr>
            <w:tcW w:w="484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71,553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75,532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(3,979)</w:t>
            </w:r>
          </w:p>
        </w:tc>
        <w:tc>
          <w:tcPr>
            <w:tcW w:w="3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20" w:firstLine="644"/>
        <w:spacing w:after="0" w:line="253" w:lineRule="auto"/>
        <w:rPr>
          <w:sz w:val="20"/>
          <w:szCs w:val="20"/>
          <w:color w:val="auto"/>
        </w:rPr>
      </w:pPr>
      <w:r>
        <w:rPr>
          <w:rFonts w:ascii="Arial" w:cs="Arial" w:eastAsia="Arial" w:hAnsi="Arial"/>
          <w:sz w:val="18"/>
          <w:szCs w:val="18"/>
          <w:color w:val="auto"/>
        </w:rPr>
        <w:t>The decrease in Federal Solutions revenue for the three months ended March 31, 2026 compared to the corresponding period last year was primarily driven by our confidential contract operating at a reduced volume as a result of the Department of State reorganization issued May 29, 2025. This decrease was offset by growth on existing contracts and the ramp-up of new task orders.</w:t>
      </w:r>
    </w:p>
    <w:p>
      <w:pPr>
        <w:spacing w:after="0" w:line="169" w:lineRule="exact"/>
        <w:rPr>
          <w:sz w:val="20"/>
          <w:szCs w:val="20"/>
          <w:color w:val="auto"/>
        </w:rPr>
      </w:pPr>
    </w:p>
    <w:p>
      <w:pPr>
        <w:ind w:right="40" w:firstLine="644"/>
        <w:spacing w:after="0" w:line="271"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months ended March 31, 2026 compared to the corresponding period last year was primarily due to the factors impacting revenue discussed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732,828</w:t>
            </w:r>
          </w:p>
        </w:tc>
        <w:tc>
          <w:tcPr>
            <w:tcW w:w="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711,803</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21,025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66,901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58,187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616"/>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457"/>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2" w:name="page43"/>
    <w:bookmarkEnd w:id="42"/>
    <w:p>
      <w:pPr>
        <w:ind w:right="2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March 31, 2026 compared to the corresponding period last year was primarily related to organic growth of 2% and $ 5.6 million from business acquisitions. Organic growth was primarily due to an increase in business volume from existing contracts and ramping up of recent awards.</w:t>
      </w:r>
    </w:p>
    <w:p>
      <w:pPr>
        <w:spacing w:after="0" w:line="169" w:lineRule="exact"/>
        <w:rPr>
          <w:sz w:val="20"/>
          <w:szCs w:val="20"/>
          <w:color w:val="auto"/>
        </w:rPr>
      </w:pPr>
    </w:p>
    <w:p>
      <w:pPr>
        <w:jc w:val="both"/>
        <w:ind w:right="300" w:firstLine="644"/>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March 31, 2026 compared to the corresponding period last year was primarily related to the revenue impacts discussed above and recent business acquisitions. These increases in Adjusted EBITDA, were partially offset by an increase in SG&amp;A.</w:t>
      </w:r>
    </w:p>
    <w:p>
      <w:pPr>
        <w:spacing w:after="0" w:line="27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Term Loan and periodic borrowings under our Revolving Credit Facility.</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180" w:firstLine="636"/>
        <w:spacing w:after="0" w:line="244" w:lineRule="auto"/>
        <w:rPr>
          <w:sz w:val="20"/>
          <w:szCs w:val="20"/>
          <w:color w:val="auto"/>
        </w:rPr>
      </w:pPr>
      <w:r>
        <w:rPr>
          <w:rFonts w:ascii="Arial" w:cs="Arial" w:eastAsia="Arial" w:hAnsi="Arial"/>
          <w:sz w:val="18"/>
          <w:szCs w:val="18"/>
          <w:color w:val="auto"/>
        </w:rPr>
        <w:t>As of March 31, 2026,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20" w:firstLine="644"/>
        <w:spacing w:after="0" w:line="239"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improve working capital. Net DSO was 72 days at March 31, 2026 a 14 day increase from March 31, 2025. Impacting the change in DSO was lower volume from our confidential contract and delayed collections in the Middle East. Our working capital (current assets less current liabilities) was $1.1 billion at March 31, 2026 and $1.2 billion at December 31, 2025.</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cash and cash equivalents decreased by $182.5 million to $283.9 million at March 31, 2026 from $466.4 million at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5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March 31, 2026</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r>
      <w:tr>
        <w:trPr>
          <w:trHeight w:val="19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(3,700)</w:t>
            </w:r>
          </w:p>
        </w:tc>
        <w:tc>
          <w:tcPr>
            <w:tcW w:w="2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(11,787)</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(364,587)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(61,670)</w:t>
            </w: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186,487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(110,864)</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1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(182,467)</w:t>
            </w:r>
          </w:p>
        </w:tc>
        <w:tc>
          <w:tcPr>
            <w:tcW w:w="2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(183,803)</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20" w:firstLine="636"/>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80" w:firstLine="636"/>
        <w:spacing w:after="0" w:line="244" w:lineRule="auto"/>
        <w:rPr>
          <w:sz w:val="20"/>
          <w:szCs w:val="20"/>
          <w:color w:val="auto"/>
        </w:rPr>
      </w:pPr>
      <w:r>
        <w:rPr>
          <w:rFonts w:ascii="Arial" w:cs="Arial" w:eastAsia="Arial" w:hAnsi="Arial"/>
          <w:sz w:val="18"/>
          <w:szCs w:val="18"/>
          <w:color w:val="auto"/>
        </w:rPr>
        <w:t>Net cash used in operating activities decreased $8.1 million for the three months ended March 31, 2026 compared to the three months ended March 31, 2025. The primary drivers of the decrease in cash flows used in operating activities was a $28.5 million change in cashflows from our working capital accounts (primarily from accounts receivable, prepaid expenses and other assets, contract liabilities, and accrued expenses and other current liabilities, offset by changes in contract assets and accounts payable) offset by a change in net income after adjusting for non-cash items of $13.9 million and other long-term liabilities of $7.1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Net cash used in investing activities increased $302.9 million for the three months ended March 31, 2026, when compared to the three months ended March 31, 2025. This change was primarily driven by a $301.9 million increase in payments for acquisitions, net of cash acquired, and a $7.1 million increase in investments in unconsolidated joint ventures, offset by a $7.5 million increase in return of investments in unconsolidated joint ventures.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580" w:firstLine="636"/>
        <w:spacing w:after="0" w:line="271" w:lineRule="auto"/>
        <w:rPr>
          <w:sz w:val="20"/>
          <w:szCs w:val="20"/>
          <w:color w:val="auto"/>
        </w:rPr>
      </w:pPr>
      <w:r>
        <w:rPr>
          <w:rFonts w:ascii="Arial" w:cs="Arial" w:eastAsia="Arial" w:hAnsi="Arial"/>
          <w:sz w:val="18"/>
          <w:szCs w:val="18"/>
          <w:color w:val="auto"/>
        </w:rPr>
        <w:t>Net cash (used in) provided by financing activities is primarily associated with proceeds from debt, the repayment thereof, and distributions to noncontrolling interests.</w:t>
      </w:r>
    </w:p>
    <w:p>
      <w:pPr>
        <w:spacing w:after="0" w:line="15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Net cash (used in) provided by financing activities increased $297.4 million for the three months ended March 31, 2026 compared to the three months ended March 31, 2025. The change in cash flows (used in) provided by financing activities is primarily driven by net proceeds of $274.0 million from our Revolving Credit Facility. Also impacting net cash (used in) provided by financing activities were a $8.4 million change in distributions to noncontrolling interest offset by a $10.0 million of repurchase of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to $336.1 million as of March 31, 2026. Letters of credit outstanding under the Credit Agreement total $41.8 million as of March 31, 2026.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As of March 31, 2026,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the Company’s Revolving Credit Facility and Term Loan.</w:t>
      </w:r>
    </w:p>
    <w:p>
      <w:pPr>
        <w:spacing w:after="0" w:line="10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As of March 31, 2026, there was $274.0 million outstanding under the Revolving Credit Facility. Borrowings under the Credit Facility effective June 2025 bear interest at either the Term SOFR rate plus a margin between 1.0% and 1.625% or a base rate (as defined in the Credit Agreement) plus a margin of between 0% and 0.625%. The rates on March 31, 2026 and December 31, 2025 were 4.9% and 5.0%, respectively.</w:t>
      </w:r>
    </w:p>
    <w:p>
      <w:pPr>
        <w:spacing w:after="0" w:line="66" w:lineRule="exact"/>
        <w:rPr>
          <w:sz w:val="20"/>
          <w:szCs w:val="20"/>
          <w:color w:val="auto"/>
        </w:rPr>
      </w:pPr>
    </w:p>
    <w:p>
      <w:pPr>
        <w:ind w:right="140" w:firstLine="636"/>
        <w:spacing w:after="0" w:line="247" w:lineRule="auto"/>
        <w:rPr>
          <w:sz w:val="20"/>
          <w:szCs w:val="20"/>
          <w:color w:val="auto"/>
        </w:rPr>
      </w:pPr>
      <w:r>
        <w:rPr>
          <w:rFonts w:ascii="Arial" w:cs="Arial" w:eastAsia="Arial" w:hAnsi="Arial"/>
          <w:sz w:val="18"/>
          <w:szCs w:val="18"/>
          <w:color w:val="auto"/>
        </w:rPr>
        <w:t>As of March 31, 2026, there was $450.0 million outstanding under the Term Loan. Borrowings under the Term Loan Agreement effective June 2025 will bear interest at either an adjusted Term SOFR benchmark rate plus a margin between 0.875% and 1.500% or a base rate plus a margin of between 0% and 0.500% and will initially bear interest at the middle of this range. The interest rate was 4.8% for all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Our management carried out, as of March 31, 2026,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2026,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During the first quarter of 2026,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1"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Repurchases made by the Company during the first quarter of 2025 were deducted from the reset capacity.</w:t>
      </w:r>
    </w:p>
    <w:p>
      <w:pPr>
        <w:spacing w:after="0" w:line="68"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460" w:firstLine="644"/>
        <w:spacing w:after="0" w:line="271" w:lineRule="auto"/>
        <w:rPr>
          <w:sz w:val="20"/>
          <w:szCs w:val="20"/>
          <w:color w:val="auto"/>
        </w:rPr>
      </w:pPr>
      <w:r>
        <w:rPr>
          <w:rFonts w:ascii="Arial" w:cs="Arial" w:eastAsia="Arial" w:hAnsi="Arial"/>
          <w:sz w:val="18"/>
          <w:szCs w:val="18"/>
          <w:color w:val="auto"/>
        </w:rPr>
        <w:t>As of March 31, 2026, the Company has spent $ 239.7 million (which includes commissions paid of $79 thousand) repurchasing 4,119,224 shares of Common Stock at an average price of $58.19 per share.</w:t>
      </w:r>
    </w:p>
    <w:p>
      <w:pPr>
        <w:spacing w:after="0" w:line="46"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repurchases of equity securities for the three months ended March 31, 2026.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0"/>
                <w:szCs w:val="1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6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plans programs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January 1 to 30, 2026</w:t>
            </w:r>
          </w:p>
        </w:tc>
        <w:tc>
          <w:tcPr>
            <w:tcW w:w="25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125,006,260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February 1 to 28, 2026</w:t>
            </w:r>
          </w:p>
        </w:tc>
        <w:tc>
          <w:tcPr>
            <w:tcW w:w="2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230,501</w:t>
            </w: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65.07</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230,501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110,007,876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March 1 to 31, 2026</w:t>
            </w:r>
          </w:p>
        </w:tc>
        <w:tc>
          <w:tcPr>
            <w:tcW w:w="256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352,874</w:t>
            </w:r>
          </w:p>
        </w:tc>
        <w:tc>
          <w:tcPr>
            <w:tcW w:w="640" w:type="dxa"/>
            <w:vAlign w:val="bottom"/>
            <w:tcBorders>
              <w:bottom w:val="single" w:sz="8" w:color="CFF0FC"/>
            </w:tcBorders>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56.68</w:t>
            </w:r>
          </w:p>
        </w:tc>
        <w:tc>
          <w:tcPr>
            <w:tcW w:w="24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352,874</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90,007,983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7"/>
                <w:szCs w:val="17"/>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583,375</w:t>
            </w:r>
          </w:p>
        </w:tc>
        <w:tc>
          <w:tcPr>
            <w:tcW w:w="640" w:type="dxa"/>
            <w:vAlign w:val="bottom"/>
            <w:gridSpan w:val="2"/>
          </w:tcPr>
          <w:p>
            <w:pPr>
              <w:jc w:val="right"/>
              <w:ind w:right="188"/>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59.99</w:t>
            </w:r>
          </w:p>
        </w:tc>
        <w:tc>
          <w:tcPr>
            <w:tcW w:w="1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583,375</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90,007,983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-162560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commissions in the calculation of average price per share.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During the three months ended March 31, 2026, none of our directors or officers adopted, modified or terminated any Rule 10b5-1 trading arrangement (as defined in Item 408(a) of Regulation S-K) or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10"/>
          </w:tcPr>
          <w:p>
            <w:pPr>
              <w:ind w:left="244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Change in Control Severance Agreement, dated April 7, 2026, by and between Parsons Corporation and Soo Lagasse.</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4"/>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5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7"/>
          </w:tcPr>
          <w:p>
            <w:pPr>
              <w:spacing w:after="0"/>
              <w:rPr>
                <w:sz w:val="15"/>
                <w:szCs w:val="15"/>
                <w:color w:val="auto"/>
              </w:rPr>
            </w:pPr>
          </w:p>
        </w:tc>
        <w:tc>
          <w:tcPr>
            <w:tcW w:w="580" w:type="dxa"/>
            <w:vAlign w:val="bottom"/>
            <w:gridSpan w:val="3"/>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60" w:type="dxa"/>
            <w:vAlign w:val="bottom"/>
            <w:tcBorders>
              <w:top w:val="single" w:sz="8" w:color="0000FF"/>
            </w:tcBorders>
            <w:gridSpan w:val="6"/>
          </w:tcPr>
          <w:p>
            <w:pPr>
              <w:spacing w:after="0"/>
              <w:rPr>
                <w:sz w:val="15"/>
                <w:szCs w:val="15"/>
                <w:color w:val="auto"/>
              </w:rPr>
            </w:pPr>
          </w:p>
        </w:tc>
        <w:tc>
          <w:tcPr>
            <w:tcW w:w="640" w:type="dxa"/>
            <w:vAlign w:val="bottom"/>
            <w:gridSpan w:val="4"/>
          </w:tcPr>
          <w:p>
            <w:pPr>
              <w:spacing w:after="0"/>
              <w:rPr>
                <w:sz w:val="15"/>
                <w:szCs w:val="15"/>
                <w:color w:val="auto"/>
              </w:rPr>
            </w:pPr>
          </w:p>
        </w:tc>
      </w:tr>
    </w:tbl>
    <w:p>
      <w:pPr>
        <w:spacing w:after="0" w:line="116" w:lineRule="exact"/>
        <w:rPr>
          <w:sz w:val="20"/>
          <w:szCs w:val="20"/>
          <w:color w:val="auto"/>
        </w:rPr>
      </w:pPr>
    </w:p>
    <w:p>
      <w:pPr>
        <w:ind w:left="940" w:right="20" w:hanging="932"/>
        <w:spacing w:after="0" w:line="247"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March 31, 2026,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79" w:lineRule="exact"/>
        <w:rPr>
          <w:sz w:val="20"/>
          <w:szCs w:val="20"/>
          <w:color w:val="auto"/>
        </w:rPr>
      </w:pPr>
    </w:p>
    <w:p>
      <w:pPr>
        <w:ind w:left="940" w:right="80" w:hanging="932"/>
        <w:spacing w:after="0" w:line="271"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 w:lineRule="exact"/>
        <w:rPr>
          <w:sz w:val="20"/>
          <w:szCs w:val="20"/>
          <w:color w:val="auto"/>
        </w:rPr>
      </w:pPr>
    </w:p>
    <w:p>
      <w:pPr>
        <w:ind w:left="5520" w:right="5300" w:hanging="5512"/>
        <w:spacing w:after="0" w:line="501" w:lineRule="auto"/>
        <w:tabs>
          <w:tab w:leader="none" w:pos="1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April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PARSONS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AGREEMENT</w:t>
      </w:r>
    </w:p>
    <w:p>
      <w:pPr>
        <w:spacing w:after="0" w:line="40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THIS CHANGE IN CONTROL SEVERANCE AGREEMENT </w:t>
      </w:r>
      <w:r>
        <w:rPr>
          <w:rFonts w:ascii="Arial" w:cs="Arial" w:eastAsia="Arial" w:hAnsi="Arial"/>
          <w:sz w:val="22"/>
          <w:szCs w:val="22"/>
          <w:color w:val="auto"/>
        </w:rPr>
        <w:t>(this “Agreement”) is made and entered into on</w:t>
      </w:r>
      <w:r>
        <w:rPr>
          <w:rFonts w:ascii="Arial" w:cs="Arial" w:eastAsia="Arial" w:hAnsi="Arial"/>
          <w:sz w:val="22"/>
          <w:szCs w:val="22"/>
          <w:b w:val="1"/>
          <w:bCs w:val="1"/>
          <w:color w:val="auto"/>
        </w:rPr>
        <w:t xml:space="preserve"> </w:t>
      </w:r>
      <w:r>
        <w:rPr>
          <w:rFonts w:ascii="Arial" w:cs="Arial" w:eastAsia="Arial" w:hAnsi="Arial"/>
          <w:sz w:val="22"/>
          <w:szCs w:val="22"/>
          <w:color w:val="auto"/>
        </w:rPr>
        <w:t>this 7 day of April, 2026 (the “Effective Date”), by and between Parsons Corporation, a Delaware corporation (hereinafter referred to as the “Company”) and Soo Lagasse (“Executive”).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The Compensation Committee of the Board of Directors of Parsons Corporation (the “Committee”) and the Board of Directors have approved the Company’s entering into this Agreement with Executive. Executive is a key executive of the Company.</w:t>
      </w:r>
    </w:p>
    <w:p>
      <w:pPr>
        <w:spacing w:after="0" w:line="6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Should the possibility of a Change in Control (as defined below) arise, the Committee believes it imperative that the Company should be able to rely upon Executive to continue in Executive’s position, and that the Company should be able to receive and rely upon Executive’s advice, if requested, as to the best interests of the Company and its shareholders without concern that Executive might be distracted by the personal uncertainties and risks created by the possibility of a Change in Control.</w:t>
      </w:r>
    </w:p>
    <w:p>
      <w:pPr>
        <w:spacing w:after="0" w:line="6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Should the possibility of a Change in Control arise, in addition to Executive’s regular duties,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6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to assure the Company that it will have the continued dedication of Executive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availability of Executive’s advice and counsel notwithstanding the possibility, threat, or occurrence of a Change in Control, and to induce Executive to remain in the employ of the Company in the face of these circumstances and for other good and valuable consideration, the receipt and adequacy of which are hereby acknowledged, the Company and Executive agree as follows: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DEFINITIONS</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Whenever used in this Agreement, the following terms shall have the meanings set forth below unless the context clearly indicates to the contrary:</w:t>
      </w:r>
    </w:p>
    <w:p>
      <w:pPr>
        <w:ind w:left="1500" w:hanging="743"/>
        <w:spacing w:after="0"/>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“Base Salary” means the salary of record paid to Executive by the Company as annual salary (whether or not deferred), but excludes amounts received under incentive or other bonus plans.</w:t>
      </w:r>
    </w:p>
    <w:p>
      <w:pPr>
        <w:spacing w:after="0" w:line="176" w:lineRule="exact"/>
        <w:rPr>
          <w:rFonts w:ascii="Arial" w:cs="Arial" w:eastAsia="Arial" w:hAnsi="Arial"/>
          <w:sz w:val="22"/>
          <w:szCs w:val="22"/>
          <w:color w:val="auto"/>
        </w:rPr>
      </w:pPr>
    </w:p>
    <w:p>
      <w:pPr>
        <w:ind w:left="1500" w:hanging="743"/>
        <w:spacing w:after="0" w:line="259" w:lineRule="auto"/>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“Beneficial Owner” shall have the meaning ascribed to such term in Rule 13d-3 of the General Rules and Regulations under the Exchange Act.</w:t>
      </w:r>
    </w:p>
    <w:p>
      <w:pPr>
        <w:spacing w:after="0" w:line="156" w:lineRule="exact"/>
        <w:rPr>
          <w:rFonts w:ascii="Arial" w:cs="Arial" w:eastAsia="Arial" w:hAnsi="Arial"/>
          <w:sz w:val="22"/>
          <w:szCs w:val="22"/>
          <w:color w:val="auto"/>
        </w:rPr>
      </w:pPr>
    </w:p>
    <w:p>
      <w:pPr>
        <w:ind w:left="1500" w:hanging="743"/>
        <w:spacing w:after="0"/>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“Cause” means the occurrence of any one or more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8890</wp:posOffset>
            </wp:positionV>
            <wp:extent cx="1234440" cy="2571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3" w:lineRule="exact"/>
        <w:rPr>
          <w:sz w:val="20"/>
          <w:szCs w:val="20"/>
          <w:color w:val="auto"/>
        </w:rPr>
      </w:pPr>
    </w:p>
    <w:p>
      <w:pPr>
        <w:ind w:left="1503" w:hanging="755"/>
        <w:spacing w:after="0"/>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Executive’s commission of an act of fraud or embezzlement upon the Company.</w:t>
      </w:r>
    </w:p>
    <w:p>
      <w:pPr>
        <w:spacing w:after="0" w:line="206" w:lineRule="exact"/>
        <w:rPr>
          <w:rFonts w:ascii="Arial" w:cs="Arial" w:eastAsia="Arial" w:hAnsi="Arial"/>
          <w:sz w:val="22"/>
          <w:szCs w:val="22"/>
          <w:color w:val="auto"/>
        </w:rPr>
      </w:pPr>
    </w:p>
    <w:p>
      <w:pPr>
        <w:ind w:left="1503" w:hanging="755"/>
        <w:spacing w:after="0" w:line="259" w:lineRule="auto"/>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Executive’s conviction of or pleading guilty or nolo contendere to a felony involving fraud, dishonesty, or moral turpitude.</w:t>
      </w:r>
    </w:p>
    <w:p>
      <w:pPr>
        <w:spacing w:after="0" w:line="156" w:lineRule="exact"/>
        <w:rPr>
          <w:rFonts w:ascii="Arial" w:cs="Arial" w:eastAsia="Arial" w:hAnsi="Arial"/>
          <w:sz w:val="22"/>
          <w:szCs w:val="22"/>
          <w:color w:val="auto"/>
        </w:rPr>
      </w:pPr>
    </w:p>
    <w:p>
      <w:pPr>
        <w:jc w:val="both"/>
        <w:ind w:left="1503" w:hanging="755"/>
        <w:spacing w:after="0" w:line="245" w:lineRule="auto"/>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Executive’s willful and continued failure to substantially perform material duties which is not remedied in a reasonable period of time after written demand for substantial performance is delivered by the Board.</w:t>
      </w:r>
    </w:p>
    <w:p>
      <w:pPr>
        <w:spacing w:after="0" w:line="170" w:lineRule="exact"/>
        <w:rPr>
          <w:rFonts w:ascii="Arial" w:cs="Arial" w:eastAsia="Arial" w:hAnsi="Arial"/>
          <w:sz w:val="22"/>
          <w:szCs w:val="22"/>
          <w:color w:val="auto"/>
        </w:rPr>
      </w:pPr>
    </w:p>
    <w:p>
      <w:pPr>
        <w:ind w:left="1503" w:hanging="755"/>
        <w:spacing w:after="0"/>
        <w:tabs>
          <w:tab w:leader="none" w:pos="1503"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Executive’s material violation of the Company’s Code of Conduct.</w:t>
      </w:r>
    </w:p>
    <w:p>
      <w:pPr>
        <w:spacing w:after="0" w:line="206" w:lineRule="exact"/>
        <w:rPr>
          <w:rFonts w:ascii="Arial" w:cs="Arial" w:eastAsia="Arial" w:hAnsi="Arial"/>
          <w:sz w:val="22"/>
          <w:szCs w:val="22"/>
          <w:color w:val="auto"/>
        </w:rPr>
      </w:pPr>
    </w:p>
    <w:p>
      <w:pPr>
        <w:ind w:left="743" w:hanging="743"/>
        <w:spacing w:after="0" w:line="283" w:lineRule="auto"/>
        <w:tabs>
          <w:tab w:leader="none" w:pos="743" w:val="left"/>
        </w:tabs>
        <w:numPr>
          <w:ilvl w:val="0"/>
          <w:numId w:val="41"/>
        </w:numPr>
        <w:rPr>
          <w:rFonts w:ascii="Arial" w:cs="Arial" w:eastAsia="Arial" w:hAnsi="Arial"/>
          <w:sz w:val="21"/>
          <w:szCs w:val="21"/>
          <w:color w:val="auto"/>
        </w:rPr>
      </w:pPr>
      <w:r>
        <w:rPr>
          <w:rFonts w:ascii="Arial" w:cs="Arial" w:eastAsia="Arial" w:hAnsi="Arial"/>
          <w:sz w:val="21"/>
          <w:szCs w:val="21"/>
          <w:color w:val="auto"/>
        </w:rPr>
        <w:t>“Change in Control” shall mean and include each of the following, and shall be deemed to have occurred as of the first day that any one or more of the following conditions shall have been satisfied:</w:t>
      </w:r>
    </w:p>
    <w:p>
      <w:pPr>
        <w:spacing w:after="0" w:line="132" w:lineRule="exact"/>
        <w:rPr>
          <w:rFonts w:ascii="Arial" w:cs="Arial" w:eastAsia="Arial" w:hAnsi="Arial"/>
          <w:sz w:val="21"/>
          <w:szCs w:val="21"/>
          <w:color w:val="auto"/>
        </w:rPr>
      </w:pPr>
    </w:p>
    <w:p>
      <w:pPr>
        <w:jc w:val="both"/>
        <w:ind w:left="1503" w:hanging="755"/>
        <w:spacing w:after="0" w:line="244" w:lineRule="auto"/>
        <w:tabs>
          <w:tab w:leader="none" w:pos="1503"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83" w:lineRule="exact"/>
        <w:rPr>
          <w:rFonts w:ascii="Arial" w:cs="Arial" w:eastAsia="Arial" w:hAnsi="Arial"/>
          <w:sz w:val="21"/>
          <w:szCs w:val="21"/>
          <w:color w:val="auto"/>
        </w:rPr>
      </w:pPr>
    </w:p>
    <w:p>
      <w:pPr>
        <w:ind w:left="1503" w:hanging="755"/>
        <w:spacing w:after="0"/>
        <w:tabs>
          <w:tab w:leader="none" w:pos="150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incumbent directors cease for any reason to constitute a majority of the Board; or</w:t>
      </w:r>
    </w:p>
    <w:p>
      <w:pPr>
        <w:spacing w:after="0" w:line="206" w:lineRule="exact"/>
        <w:rPr>
          <w:rFonts w:ascii="Arial" w:cs="Arial" w:eastAsia="Arial" w:hAnsi="Arial"/>
          <w:sz w:val="22"/>
          <w:szCs w:val="22"/>
          <w:color w:val="auto"/>
        </w:rPr>
      </w:pPr>
    </w:p>
    <w:p>
      <w:pPr>
        <w:jc w:val="both"/>
        <w:ind w:left="1503" w:hanging="755"/>
        <w:spacing w:after="0" w:line="238" w:lineRule="auto"/>
        <w:tabs>
          <w:tab w:leader="none" w:pos="150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76" w:lineRule="exact"/>
        <w:rPr>
          <w:rFonts w:ascii="Arial" w:cs="Arial" w:eastAsia="Arial" w:hAnsi="Arial"/>
          <w:sz w:val="22"/>
          <w:szCs w:val="22"/>
          <w:color w:val="auto"/>
        </w:rPr>
      </w:pPr>
    </w:p>
    <w:p>
      <w:pPr>
        <w:jc w:val="both"/>
        <w:ind w:left="2163" w:hanging="666"/>
        <w:spacing w:after="0" w:line="236" w:lineRule="auto"/>
        <w:tabs>
          <w:tab w:leader="none" w:pos="2163" w:val="left"/>
        </w:tabs>
        <w:numPr>
          <w:ilvl w:val="2"/>
          <w:numId w:val="41"/>
        </w:numPr>
        <w:rPr>
          <w:rFonts w:ascii="Arial" w:cs="Arial" w:eastAsia="Arial" w:hAnsi="Arial"/>
          <w:sz w:val="22"/>
          <w:szCs w:val="22"/>
          <w:color w:val="auto"/>
        </w:rPr>
      </w:pPr>
      <w:r>
        <w:rPr>
          <w:rFonts w:ascii="Arial" w:cs="Arial" w:eastAsia="Arial" w:hAnsi="Arial"/>
          <w:sz w:val="22"/>
          <w:szCs w:val="22"/>
          <w:color w:val="081931"/>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693420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68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8890</wp:posOffset>
            </wp:positionV>
            <wp:extent cx="1234440" cy="2571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3" w:lineRule="exact"/>
        <w:rPr>
          <w:sz w:val="20"/>
          <w:szCs w:val="20"/>
          <w:color w:val="auto"/>
        </w:rPr>
      </w:pPr>
    </w:p>
    <w:p>
      <w:pPr>
        <w:jc w:val="both"/>
        <w:ind w:left="2163"/>
        <w:spacing w:after="0" w:line="245" w:lineRule="auto"/>
        <w:rPr>
          <w:sz w:val="20"/>
          <w:szCs w:val="20"/>
          <w:color w:val="auto"/>
        </w:rPr>
      </w:pPr>
      <w:r>
        <w:rPr>
          <w:rFonts w:ascii="Arial" w:cs="Arial" w:eastAsia="Arial" w:hAnsi="Arial"/>
          <w:sz w:val="22"/>
          <w:szCs w:val="22"/>
          <w:color w:val="081931"/>
        </w:rPr>
        <w:t>“Successor Entity”)) directly or indirectly, at least a majority of the combined voting power of the Successor Entity’s outstanding voting securities immediately after the transaction, and</w:t>
      </w:r>
    </w:p>
    <w:p>
      <w:pPr>
        <w:spacing w:after="0" w:line="62" w:lineRule="exact"/>
        <w:rPr>
          <w:sz w:val="20"/>
          <w:szCs w:val="20"/>
          <w:color w:val="auto"/>
        </w:rPr>
      </w:pPr>
    </w:p>
    <w:p>
      <w:pPr>
        <w:jc w:val="both"/>
        <w:ind w:left="2163" w:hanging="666"/>
        <w:spacing w:after="0" w:line="236" w:lineRule="auto"/>
        <w:tabs>
          <w:tab w:leader="none" w:pos="2163" w:val="left"/>
        </w:tabs>
        <w:numPr>
          <w:ilvl w:val="1"/>
          <w:numId w:val="42"/>
        </w:numPr>
        <w:rPr>
          <w:rFonts w:ascii="Arial" w:cs="Arial" w:eastAsia="Arial" w:hAnsi="Arial"/>
          <w:sz w:val="22"/>
          <w:szCs w:val="22"/>
          <w:color w:val="auto"/>
        </w:rPr>
      </w:pPr>
      <w:r>
        <w:rPr>
          <w:rFonts w:ascii="Arial" w:cs="Arial" w:eastAsia="Arial" w:hAnsi="Arial"/>
          <w:sz w:val="22"/>
          <w:szCs w:val="22"/>
          <w:color w:val="081931"/>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73" w:lineRule="exact"/>
        <w:rPr>
          <w:rFonts w:ascii="Arial" w:cs="Arial" w:eastAsia="Arial" w:hAnsi="Arial"/>
          <w:sz w:val="22"/>
          <w:szCs w:val="22"/>
          <w:color w:val="auto"/>
        </w:rPr>
      </w:pPr>
    </w:p>
    <w:p>
      <w:pPr>
        <w:jc w:val="both"/>
        <w:ind w:left="2163" w:hanging="666"/>
        <w:spacing w:after="0"/>
        <w:tabs>
          <w:tab w:leader="none" w:pos="2163" w:val="left"/>
        </w:tabs>
        <w:numPr>
          <w:ilvl w:val="1"/>
          <w:numId w:val="42"/>
        </w:numPr>
        <w:rPr>
          <w:rFonts w:ascii="Arial" w:cs="Arial" w:eastAsia="Arial" w:hAnsi="Arial"/>
          <w:sz w:val="22"/>
          <w:szCs w:val="22"/>
          <w:color w:val="auto"/>
        </w:rPr>
      </w:pPr>
      <w:r>
        <w:rPr>
          <w:rFonts w:ascii="Arial" w:cs="Arial" w:eastAsia="Arial" w:hAnsi="Arial"/>
          <w:sz w:val="22"/>
          <w:szCs w:val="22"/>
          <w:color w:val="081931"/>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68" w:lineRule="exact"/>
        <w:rPr>
          <w:rFonts w:ascii="Arial" w:cs="Arial" w:eastAsia="Arial" w:hAnsi="Arial"/>
          <w:sz w:val="22"/>
          <w:szCs w:val="22"/>
          <w:color w:val="auto"/>
        </w:rPr>
      </w:pPr>
    </w:p>
    <w:p>
      <w:pPr>
        <w:ind w:left="1503" w:hanging="755"/>
        <w:spacing w:after="0" w:line="259" w:lineRule="auto"/>
        <w:tabs>
          <w:tab w:leader="none" w:pos="1503" w:val="left"/>
        </w:tabs>
        <w:numPr>
          <w:ilvl w:val="0"/>
          <w:numId w:val="43"/>
        </w:numPr>
        <w:rPr>
          <w:rFonts w:ascii="Arial" w:cs="Arial" w:eastAsia="Arial" w:hAnsi="Arial"/>
          <w:sz w:val="22"/>
          <w:szCs w:val="22"/>
          <w:color w:val="auto"/>
        </w:rPr>
      </w:pPr>
      <w:r>
        <w:rPr>
          <w:rFonts w:ascii="Arial" w:cs="Arial" w:eastAsia="Arial" w:hAnsi="Arial"/>
          <w:sz w:val="22"/>
          <w:szCs w:val="22"/>
          <w:color w:val="081931"/>
        </w:rPr>
        <w:t>The date which is 10 business days prior to the completion of a liquidation or dissolution of the Company.</w:t>
      </w:r>
    </w:p>
    <w:p>
      <w:pPr>
        <w:spacing w:after="0" w:line="48" w:lineRule="exact"/>
        <w:rPr>
          <w:sz w:val="20"/>
          <w:szCs w:val="20"/>
          <w:color w:val="auto"/>
        </w:rPr>
      </w:pPr>
    </w:p>
    <w:p>
      <w:pPr>
        <w:jc w:val="both"/>
        <w:ind w:left="743"/>
        <w:spacing w:after="0" w:line="236"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76" w:lineRule="exact"/>
        <w:rPr>
          <w:sz w:val="20"/>
          <w:szCs w:val="20"/>
          <w:color w:val="auto"/>
        </w:rPr>
      </w:pPr>
    </w:p>
    <w:p>
      <w:pPr>
        <w:jc w:val="both"/>
        <w:ind w:left="743"/>
        <w:spacing w:after="0" w:line="238" w:lineRule="auto"/>
        <w:rPr>
          <w:sz w:val="20"/>
          <w:szCs w:val="20"/>
          <w:color w:val="auto"/>
        </w:rPr>
      </w:pPr>
      <w:r>
        <w:rPr>
          <w:rFonts w:ascii="Arial" w:cs="Arial" w:eastAsia="Arial" w:hAnsi="Arial"/>
          <w:sz w:val="22"/>
          <w:szCs w:val="22"/>
          <w:color w:val="auto"/>
        </w:rPr>
        <w:t>For sake of clarity, a Change in Control will not occur by reason of the Parsons Employee Stock Ownership Plan (the “ESOP”) owning less than fifty percent of (50%)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204" w:lineRule="exact"/>
        <w:rPr>
          <w:sz w:val="20"/>
          <w:szCs w:val="20"/>
          <w:color w:val="auto"/>
        </w:rPr>
      </w:pPr>
    </w:p>
    <w:p>
      <w:pPr>
        <w:jc w:val="both"/>
        <w:ind w:left="743"/>
        <w:spacing w:after="0" w:line="236" w:lineRule="auto"/>
        <w:rPr>
          <w:sz w:val="20"/>
          <w:szCs w:val="20"/>
          <w:color w:val="auto"/>
        </w:rPr>
      </w:pPr>
      <w:r>
        <w:rPr>
          <w:rFonts w:ascii="Arial" w:cs="Arial" w:eastAsia="Arial" w:hAnsi="Arial"/>
          <w:sz w:val="22"/>
          <w:szCs w:val="22"/>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2" w:lineRule="exact"/>
        <w:rPr>
          <w:sz w:val="20"/>
          <w:szCs w:val="20"/>
          <w:color w:val="auto"/>
        </w:rPr>
      </w:pPr>
    </w:p>
    <w:p>
      <w:pPr>
        <w:ind w:left="743" w:hanging="743"/>
        <w:spacing w:after="0"/>
        <w:tabs>
          <w:tab w:leader="none" w:pos="743" w:val="left"/>
        </w:tabs>
        <w:numPr>
          <w:ilvl w:val="0"/>
          <w:numId w:val="44"/>
        </w:numPr>
        <w:rPr>
          <w:rFonts w:ascii="Arial" w:cs="Arial" w:eastAsia="Arial" w:hAnsi="Arial"/>
          <w:sz w:val="22"/>
          <w:szCs w:val="22"/>
          <w:color w:val="auto"/>
        </w:rPr>
      </w:pPr>
      <w:r>
        <w:rPr>
          <w:rFonts w:ascii="Arial" w:cs="Arial" w:eastAsia="Arial" w:hAnsi="Arial"/>
          <w:sz w:val="22"/>
          <w:szCs w:val="22"/>
          <w:color w:val="auto"/>
        </w:rPr>
        <w:t>“Code” means the United States Internal Revenue Code of 1986, as amended.</w:t>
      </w:r>
    </w:p>
    <w:p>
      <w:pPr>
        <w:spacing w:after="0" w:line="206" w:lineRule="exact"/>
        <w:rPr>
          <w:rFonts w:ascii="Arial" w:cs="Arial" w:eastAsia="Arial" w:hAnsi="Arial"/>
          <w:sz w:val="22"/>
          <w:szCs w:val="22"/>
          <w:color w:val="auto"/>
        </w:rPr>
      </w:pPr>
    </w:p>
    <w:p>
      <w:pPr>
        <w:ind w:left="743" w:hanging="743"/>
        <w:spacing w:after="0" w:line="259" w:lineRule="auto"/>
        <w:tabs>
          <w:tab w:leader="none" w:pos="743" w:val="left"/>
        </w:tabs>
        <w:numPr>
          <w:ilvl w:val="0"/>
          <w:numId w:val="44"/>
        </w:numPr>
        <w:rPr>
          <w:rFonts w:ascii="Arial" w:cs="Arial" w:eastAsia="Arial" w:hAnsi="Arial"/>
          <w:sz w:val="22"/>
          <w:szCs w:val="22"/>
          <w:color w:val="auto"/>
        </w:rPr>
      </w:pPr>
      <w:r>
        <w:rPr>
          <w:rFonts w:ascii="Arial" w:cs="Arial" w:eastAsia="Arial" w:hAnsi="Arial"/>
          <w:sz w:val="22"/>
          <w:szCs w:val="22"/>
          <w:color w:val="auto"/>
        </w:rPr>
        <w:t>“Company” means Parsons Corporation, a Delaware corporation, any successor thereto or acquirer thereof.</w:t>
      </w:r>
    </w:p>
    <w:p>
      <w:pPr>
        <w:spacing w:after="0" w:line="156" w:lineRule="exact"/>
        <w:rPr>
          <w:rFonts w:ascii="Arial" w:cs="Arial" w:eastAsia="Arial" w:hAnsi="Arial"/>
          <w:sz w:val="22"/>
          <w:szCs w:val="22"/>
          <w:color w:val="auto"/>
        </w:rPr>
      </w:pPr>
    </w:p>
    <w:p>
      <w:pPr>
        <w:ind w:left="743" w:right="20" w:hanging="743"/>
        <w:spacing w:after="0" w:line="259" w:lineRule="auto"/>
        <w:tabs>
          <w:tab w:leader="none" w:pos="743" w:val="left"/>
        </w:tabs>
        <w:numPr>
          <w:ilvl w:val="0"/>
          <w:numId w:val="44"/>
        </w:numPr>
        <w:rPr>
          <w:rFonts w:ascii="Arial" w:cs="Arial" w:eastAsia="Arial" w:hAnsi="Arial"/>
          <w:sz w:val="22"/>
          <w:szCs w:val="22"/>
          <w:color w:val="auto"/>
        </w:rPr>
      </w:pPr>
      <w:r>
        <w:rPr>
          <w:rFonts w:ascii="Arial" w:cs="Arial" w:eastAsia="Arial" w:hAnsi="Arial"/>
          <w:sz w:val="22"/>
          <w:szCs w:val="22"/>
          <w:color w:val="auto"/>
        </w:rPr>
        <w:t>“Disability” means, for all purposes of this Agreement, the incapacity of Executive, due to injury, illness, disease, or bodily or mental infirmity, to engage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746125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68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8890</wp:posOffset>
            </wp:positionV>
            <wp:extent cx="1234440" cy="2571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3" w:lineRule="exact"/>
        <w:rPr>
          <w:sz w:val="20"/>
          <w:szCs w:val="20"/>
          <w:color w:val="auto"/>
        </w:rPr>
      </w:pPr>
    </w:p>
    <w:p>
      <w:pPr>
        <w:jc w:val="both"/>
        <w:ind w:left="743"/>
        <w:spacing w:after="0"/>
        <w:rPr>
          <w:sz w:val="20"/>
          <w:szCs w:val="20"/>
          <w:color w:val="auto"/>
        </w:rPr>
      </w:pPr>
      <w:r>
        <w:rPr>
          <w:rFonts w:ascii="Arial" w:cs="Arial" w:eastAsia="Arial" w:hAnsi="Arial"/>
          <w:sz w:val="22"/>
          <w:szCs w:val="22"/>
          <w:color w:val="auto"/>
        </w:rPr>
        <w:t>performance of substantially all of the usual duties of Executive’s employment by the Company, such Disability to be determined by the Board upon receipt and in reliance on competent medical advice from one or more individuals, selected or approved by the Board, who are qualified to give such professional medical advice.</w:t>
      </w:r>
    </w:p>
    <w:p>
      <w:pPr>
        <w:spacing w:after="0" w:line="392" w:lineRule="exact"/>
        <w:rPr>
          <w:sz w:val="20"/>
          <w:szCs w:val="20"/>
          <w:color w:val="auto"/>
        </w:rPr>
      </w:pPr>
    </w:p>
    <w:p>
      <w:pPr>
        <w:ind w:left="743" w:hanging="743"/>
        <w:spacing w:after="0"/>
        <w:tabs>
          <w:tab w:leader="none" w:pos="743" w:val="left"/>
        </w:tabs>
        <w:numPr>
          <w:ilvl w:val="0"/>
          <w:numId w:val="45"/>
        </w:numPr>
        <w:rPr>
          <w:rFonts w:ascii="Arial" w:cs="Arial" w:eastAsia="Arial" w:hAnsi="Arial"/>
          <w:sz w:val="22"/>
          <w:szCs w:val="22"/>
          <w:color w:val="auto"/>
        </w:rPr>
      </w:pPr>
      <w:r>
        <w:rPr>
          <w:rFonts w:ascii="Arial" w:cs="Arial" w:eastAsia="Arial" w:hAnsi="Arial"/>
          <w:sz w:val="22"/>
          <w:szCs w:val="22"/>
          <w:color w:val="auto"/>
        </w:rPr>
        <w:t>“Exchange Act” means the United States Securities Exchange Act of 1934, as amended.</w:t>
      </w:r>
    </w:p>
    <w:p>
      <w:pPr>
        <w:spacing w:after="0" w:line="206" w:lineRule="exact"/>
        <w:rPr>
          <w:rFonts w:ascii="Arial" w:cs="Arial" w:eastAsia="Arial" w:hAnsi="Arial"/>
          <w:sz w:val="22"/>
          <w:szCs w:val="22"/>
          <w:color w:val="auto"/>
        </w:rPr>
      </w:pPr>
    </w:p>
    <w:p>
      <w:pPr>
        <w:jc w:val="both"/>
        <w:ind w:left="743" w:hanging="743"/>
        <w:spacing w:after="0" w:line="235" w:lineRule="auto"/>
        <w:tabs>
          <w:tab w:leader="none" w:pos="743" w:val="left"/>
        </w:tabs>
        <w:numPr>
          <w:ilvl w:val="0"/>
          <w:numId w:val="45"/>
        </w:numPr>
        <w:rPr>
          <w:rFonts w:ascii="Arial" w:cs="Arial" w:eastAsia="Arial" w:hAnsi="Arial"/>
          <w:sz w:val="22"/>
          <w:szCs w:val="22"/>
          <w:color w:val="auto"/>
        </w:rPr>
      </w:pPr>
      <w:r>
        <w:rPr>
          <w:rFonts w:ascii="Arial" w:cs="Arial" w:eastAsia="Arial" w:hAnsi="Arial"/>
          <w:sz w:val="22"/>
          <w:szCs w:val="22"/>
          <w:color w:val="auto"/>
        </w:rPr>
        <w:t>“Good Reason” means, without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 w:lineRule="exact"/>
        <w:rPr>
          <w:rFonts w:ascii="Arial" w:cs="Arial" w:eastAsia="Arial" w:hAnsi="Arial"/>
          <w:sz w:val="22"/>
          <w:szCs w:val="22"/>
          <w:color w:val="auto"/>
        </w:rPr>
      </w:pPr>
    </w:p>
    <w:p>
      <w:pPr>
        <w:jc w:val="both"/>
        <w:ind w:left="1503" w:hanging="755"/>
        <w:spacing w:after="0" w:line="252" w:lineRule="auto"/>
        <w:tabs>
          <w:tab w:leader="none" w:pos="1503" w:val="left"/>
        </w:tabs>
        <w:numPr>
          <w:ilvl w:val="1"/>
          <w:numId w:val="45"/>
        </w:numPr>
        <w:rPr>
          <w:rFonts w:ascii="Arial" w:cs="Arial" w:eastAsia="Arial" w:hAnsi="Arial"/>
          <w:sz w:val="21"/>
          <w:szCs w:val="21"/>
          <w:color w:val="auto"/>
        </w:rPr>
      </w:pPr>
      <w:r>
        <w:rPr>
          <w:rFonts w:ascii="Arial" w:cs="Arial" w:eastAsia="Arial" w:hAnsi="Arial"/>
          <w:sz w:val="21"/>
          <w:szCs w:val="21"/>
          <w:color w:val="auto"/>
        </w:rPr>
        <w:t>A material reduction in the nature or status of Executive’s authorities, duties, or responsibilities (when such authorities, duties, or responsibilities are viewed in the aggregate) from their level in effect on the day immediately prior to the start of the Protected Period.</w:t>
      </w:r>
    </w:p>
    <w:p>
      <w:pPr>
        <w:spacing w:after="0" w:line="164" w:lineRule="exact"/>
        <w:rPr>
          <w:rFonts w:ascii="Arial" w:cs="Arial" w:eastAsia="Arial" w:hAnsi="Arial"/>
          <w:sz w:val="21"/>
          <w:szCs w:val="21"/>
          <w:color w:val="auto"/>
        </w:rPr>
      </w:pPr>
    </w:p>
    <w:p>
      <w:pPr>
        <w:ind w:left="1503" w:hanging="755"/>
        <w:spacing w:after="0" w:line="259" w:lineRule="auto"/>
        <w:tabs>
          <w:tab w:leader="none" w:pos="1503"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reduction by the Company of Executive’s Base Salary as in effect on the day immediately prior to the start of the Protected Period.</w:t>
      </w:r>
    </w:p>
    <w:p>
      <w:pPr>
        <w:spacing w:after="0" w:line="156" w:lineRule="exact"/>
        <w:rPr>
          <w:rFonts w:ascii="Arial" w:cs="Arial" w:eastAsia="Arial" w:hAnsi="Arial"/>
          <w:sz w:val="22"/>
          <w:szCs w:val="22"/>
          <w:color w:val="auto"/>
        </w:rPr>
      </w:pPr>
    </w:p>
    <w:p>
      <w:pPr>
        <w:jc w:val="both"/>
        <w:ind w:left="1503" w:hanging="755"/>
        <w:spacing w:after="0"/>
        <w:tabs>
          <w:tab w:leader="none" w:pos="1503"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material reduction by the Company of Executive’s aggregate welfare benefits or the value of the incentive programs provided under the Company’s management incentive or other short-or long-term incentive programs, as such benefits and opportunities exist on the day immediately prior to the start of the Protected Period.</w:t>
      </w:r>
    </w:p>
    <w:p>
      <w:pPr>
        <w:spacing w:after="0" w:line="176" w:lineRule="exact"/>
        <w:rPr>
          <w:rFonts w:ascii="Arial" w:cs="Arial" w:eastAsia="Arial" w:hAnsi="Arial"/>
          <w:sz w:val="22"/>
          <w:szCs w:val="22"/>
          <w:color w:val="auto"/>
        </w:rPr>
      </w:pPr>
    </w:p>
    <w:p>
      <w:pPr>
        <w:jc w:val="both"/>
        <w:ind w:left="1503" w:hanging="755"/>
        <w:spacing w:after="0" w:line="245" w:lineRule="auto"/>
        <w:tabs>
          <w:tab w:leader="none" w:pos="1503"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relocation of Executive’s principal office by the Company more than fifty (50) miles from the location of Executive’s principal office immediately prior to the start of the Protected Period.</w:t>
      </w:r>
    </w:p>
    <w:p>
      <w:pPr>
        <w:spacing w:after="0" w:line="170" w:lineRule="exact"/>
        <w:rPr>
          <w:rFonts w:ascii="Arial" w:cs="Arial" w:eastAsia="Arial" w:hAnsi="Arial"/>
          <w:sz w:val="22"/>
          <w:szCs w:val="22"/>
          <w:color w:val="auto"/>
        </w:rPr>
      </w:pPr>
    </w:p>
    <w:p>
      <w:pPr>
        <w:ind w:left="1503" w:hanging="755"/>
        <w:spacing w:after="0" w:line="259" w:lineRule="auto"/>
        <w:tabs>
          <w:tab w:leader="none" w:pos="1503" w:val="left"/>
        </w:tabs>
        <w:numPr>
          <w:ilvl w:val="1"/>
          <w:numId w:val="45"/>
        </w:numPr>
        <w:rPr>
          <w:rFonts w:ascii="Arial" w:cs="Arial" w:eastAsia="Arial" w:hAnsi="Arial"/>
          <w:sz w:val="22"/>
          <w:szCs w:val="22"/>
          <w:color w:val="auto"/>
        </w:rPr>
      </w:pPr>
      <w:r>
        <w:rPr>
          <w:rFonts w:ascii="Arial" w:cs="Arial" w:eastAsia="Arial" w:hAnsi="Arial"/>
          <w:sz w:val="22"/>
          <w:szCs w:val="22"/>
          <w:color w:val="auto"/>
        </w:rPr>
        <w:t>Any purported termination by the Company of Executive’s employment that is not effected pursuant to a Notice of Termination satisfying the requirements of Section 3.4.</w:t>
      </w:r>
    </w:p>
    <w:p>
      <w:pPr>
        <w:spacing w:after="0" w:line="156" w:lineRule="exact"/>
        <w:rPr>
          <w:rFonts w:ascii="Arial" w:cs="Arial" w:eastAsia="Arial" w:hAnsi="Arial"/>
          <w:sz w:val="22"/>
          <w:szCs w:val="22"/>
          <w:color w:val="auto"/>
        </w:rPr>
      </w:pPr>
    </w:p>
    <w:p>
      <w:pPr>
        <w:jc w:val="both"/>
        <w:ind w:left="1503" w:hanging="755"/>
        <w:spacing w:after="0" w:line="245" w:lineRule="auto"/>
        <w:tabs>
          <w:tab w:leader="none" w:pos="1503"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failure of the Company to obtain an agreement from any successor to the Company to assume and agree to perform the Company’s obligations under this Agreement, as contemplated by Article 8.</w:t>
      </w:r>
    </w:p>
    <w:p>
      <w:pPr>
        <w:spacing w:after="0" w:line="170" w:lineRule="exact"/>
        <w:rPr>
          <w:rFonts w:ascii="Arial" w:cs="Arial" w:eastAsia="Arial" w:hAnsi="Arial"/>
          <w:sz w:val="22"/>
          <w:szCs w:val="22"/>
          <w:color w:val="auto"/>
        </w:rPr>
      </w:pPr>
    </w:p>
    <w:p>
      <w:pPr>
        <w:jc w:val="both"/>
        <w:ind w:left="743" w:hanging="743"/>
        <w:spacing w:after="0" w:line="245" w:lineRule="auto"/>
        <w:tabs>
          <w:tab w:leader="none" w:pos="743" w:val="left"/>
        </w:tabs>
        <w:numPr>
          <w:ilvl w:val="0"/>
          <w:numId w:val="45"/>
        </w:numPr>
        <w:rPr>
          <w:rFonts w:ascii="Arial" w:cs="Arial" w:eastAsia="Arial" w:hAnsi="Arial"/>
          <w:sz w:val="22"/>
          <w:szCs w:val="22"/>
          <w:color w:val="auto"/>
        </w:rPr>
      </w:pPr>
      <w:r>
        <w:rPr>
          <w:rFonts w:ascii="Arial" w:cs="Arial" w:eastAsia="Arial" w:hAnsi="Arial"/>
          <w:sz w:val="22"/>
          <w:szCs w:val="22"/>
          <w:color w:val="auto"/>
        </w:rPr>
        <w:t>“Person” shall have the meaning ascribed to such term in Section 3(a)(9) of the Exchange Act and used in Sections 13(d) and 14(d) thereof, including a group as contemplated by Sections 13(d)(3) and l4(d)(2) thereof</w:t>
      </w:r>
    </w:p>
    <w:p>
      <w:pPr>
        <w:spacing w:after="0" w:line="170" w:lineRule="exact"/>
        <w:rPr>
          <w:rFonts w:ascii="Arial" w:cs="Arial" w:eastAsia="Arial" w:hAnsi="Arial"/>
          <w:sz w:val="22"/>
          <w:szCs w:val="22"/>
          <w:color w:val="auto"/>
        </w:rPr>
      </w:pPr>
    </w:p>
    <w:p>
      <w:pPr>
        <w:ind w:left="743" w:right="20" w:hanging="743"/>
        <w:spacing w:after="0" w:line="259" w:lineRule="auto"/>
        <w:tabs>
          <w:tab w:leader="none" w:pos="743" w:val="left"/>
        </w:tabs>
        <w:numPr>
          <w:ilvl w:val="0"/>
          <w:numId w:val="45"/>
        </w:numPr>
        <w:rPr>
          <w:rFonts w:ascii="Arial" w:cs="Arial" w:eastAsia="Arial" w:hAnsi="Arial"/>
          <w:sz w:val="22"/>
          <w:szCs w:val="22"/>
          <w:color w:val="auto"/>
        </w:rPr>
      </w:pPr>
      <w:r>
        <w:rPr>
          <w:rFonts w:ascii="Arial" w:cs="Arial" w:eastAsia="Arial" w:hAnsi="Arial"/>
          <w:sz w:val="22"/>
          <w:szCs w:val="22"/>
          <w:color w:val="auto"/>
        </w:rPr>
        <w:t>“Potential Change in Control” shall be deemed to have occurred as of the first day that any one or more of the following conditions shall have been satisfied:</w:t>
      </w:r>
    </w:p>
    <w:p>
      <w:pPr>
        <w:spacing w:after="0" w:line="156" w:lineRule="exact"/>
        <w:rPr>
          <w:rFonts w:ascii="Arial" w:cs="Arial" w:eastAsia="Arial" w:hAnsi="Arial"/>
          <w:sz w:val="22"/>
          <w:szCs w:val="22"/>
          <w:color w:val="auto"/>
        </w:rPr>
      </w:pPr>
    </w:p>
    <w:p>
      <w:pPr>
        <w:jc w:val="both"/>
        <w:ind w:left="1503" w:hanging="755"/>
        <w:spacing w:after="0" w:line="245" w:lineRule="auto"/>
        <w:tabs>
          <w:tab w:leader="none" w:pos="1503" w:val="left"/>
        </w:tabs>
        <w:numPr>
          <w:ilvl w:val="1"/>
          <w:numId w:val="45"/>
        </w:numPr>
        <w:rPr>
          <w:rFonts w:ascii="Arial" w:cs="Arial" w:eastAsia="Arial" w:hAnsi="Arial"/>
          <w:sz w:val="22"/>
          <w:szCs w:val="22"/>
          <w:color w:val="auto"/>
        </w:rPr>
      </w:pPr>
      <w:r>
        <w:rPr>
          <w:rFonts w:ascii="Arial" w:cs="Arial" w:eastAsia="Arial" w:hAnsi="Arial"/>
          <w:sz w:val="22"/>
          <w:szCs w:val="22"/>
          <w:color w:val="auto"/>
        </w:rPr>
        <w:t>Any Person announces an intention to take an action that, if consummated, would result in a Change of Control and the Board expresses its good faith belief that such announced intention is serious.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755015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68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3" w:lineRule="exact"/>
        <w:rPr>
          <w:sz w:val="20"/>
          <w:szCs w:val="20"/>
          <w:color w:val="auto"/>
        </w:rPr>
      </w:pPr>
    </w:p>
    <w:p>
      <w:pPr>
        <w:ind w:left="2260" w:right="20" w:hanging="755"/>
        <w:spacing w:after="0" w:line="259" w:lineRule="auto"/>
        <w:tabs>
          <w:tab w:leader="none" w:pos="22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Company or the trustees of the Company’s Employee Stock Ownership Plan enters into an agreement that, if consummated, would result in a Change in Control.</w:t>
      </w:r>
    </w:p>
    <w:p>
      <w:pPr>
        <w:spacing w:after="0" w:line="156" w:lineRule="exact"/>
        <w:rPr>
          <w:rFonts w:ascii="Arial" w:cs="Arial" w:eastAsia="Arial" w:hAnsi="Arial"/>
          <w:sz w:val="22"/>
          <w:szCs w:val="22"/>
          <w:color w:val="auto"/>
        </w:rPr>
      </w:pPr>
    </w:p>
    <w:p>
      <w:pPr>
        <w:jc w:val="both"/>
        <w:ind w:left="2260" w:hanging="755"/>
        <w:spacing w:after="0"/>
        <w:tabs>
          <w:tab w:leader="none" w:pos="22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76" w:lineRule="exact"/>
        <w:rPr>
          <w:rFonts w:ascii="Arial" w:cs="Arial" w:eastAsia="Arial" w:hAnsi="Arial"/>
          <w:sz w:val="22"/>
          <w:szCs w:val="22"/>
          <w:color w:val="auto"/>
        </w:rPr>
      </w:pPr>
    </w:p>
    <w:p>
      <w:pPr>
        <w:ind w:left="2260" w:right="20" w:hanging="755"/>
        <w:spacing w:after="0" w:line="259" w:lineRule="auto"/>
        <w:tabs>
          <w:tab w:leader="none" w:pos="22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Board declares that a Potential Change in Control has occurred for purposes of this Agreement.</w:t>
      </w:r>
    </w:p>
    <w:p>
      <w:pPr>
        <w:spacing w:after="0" w:line="156" w:lineRule="exact"/>
        <w:rPr>
          <w:rFonts w:ascii="Arial" w:cs="Arial" w:eastAsia="Arial" w:hAnsi="Arial"/>
          <w:sz w:val="22"/>
          <w:szCs w:val="22"/>
          <w:color w:val="auto"/>
        </w:rPr>
      </w:pPr>
    </w:p>
    <w:p>
      <w:pPr>
        <w:ind w:left="1500" w:hanging="743"/>
        <w:spacing w:after="0" w:line="259"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“Protected Period” means the period related to a Change in Control commencing on the date of the Change in Control and ending on the date that is eighteen (18) months after the Change in Control.</w:t>
      </w:r>
    </w:p>
    <w:p>
      <w:pPr>
        <w:spacing w:after="0" w:line="156" w:lineRule="exact"/>
        <w:rPr>
          <w:rFonts w:ascii="Arial" w:cs="Arial" w:eastAsia="Arial" w:hAnsi="Arial"/>
          <w:sz w:val="22"/>
          <w:szCs w:val="22"/>
          <w:color w:val="auto"/>
        </w:rPr>
      </w:pPr>
    </w:p>
    <w:p>
      <w:pPr>
        <w:jc w:val="both"/>
        <w:ind w:left="1500" w:hanging="743"/>
        <w:spacing w:after="0"/>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76" w:lineRule="exact"/>
        <w:rPr>
          <w:rFonts w:ascii="Arial" w:cs="Arial" w:eastAsia="Arial" w:hAnsi="Arial"/>
          <w:sz w:val="22"/>
          <w:szCs w:val="22"/>
          <w:color w:val="auto"/>
        </w:rPr>
      </w:pPr>
    </w:p>
    <w:p>
      <w:pPr>
        <w:ind w:left="2260" w:hanging="755"/>
        <w:spacing w:after="0" w:line="259" w:lineRule="auto"/>
        <w:tabs>
          <w:tab w:leader="none" w:pos="22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termination of Executive’s employment at the initiation of the Company, without Executive’s consent, for reasons other than Cause;</w:t>
      </w:r>
    </w:p>
    <w:p>
      <w:pPr>
        <w:spacing w:after="0" w:line="156" w:lineRule="exact"/>
        <w:rPr>
          <w:rFonts w:ascii="Arial" w:cs="Arial" w:eastAsia="Arial" w:hAnsi="Arial"/>
          <w:sz w:val="22"/>
          <w:szCs w:val="22"/>
          <w:color w:val="auto"/>
        </w:rPr>
      </w:pPr>
    </w:p>
    <w:p>
      <w:pPr>
        <w:ind w:left="2260" w:hanging="755"/>
        <w:spacing w:after="0"/>
        <w:tabs>
          <w:tab w:leader="none" w:pos="22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voluntary termination of employment by Executive for Good Reason;</w:t>
      </w:r>
    </w:p>
    <w:p>
      <w:pPr>
        <w:spacing w:after="0" w:line="206" w:lineRule="exact"/>
        <w:rPr>
          <w:rFonts w:ascii="Arial" w:cs="Arial" w:eastAsia="Arial" w:hAnsi="Arial"/>
          <w:sz w:val="22"/>
          <w:szCs w:val="22"/>
          <w:color w:val="auto"/>
        </w:rPr>
      </w:pPr>
    </w:p>
    <w:p>
      <w:pPr>
        <w:ind w:left="2260" w:hanging="755"/>
        <w:spacing w:after="0" w:line="259" w:lineRule="auto"/>
        <w:tabs>
          <w:tab w:leader="none" w:pos="22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successor company fails or refuses to assume by written instrument the Company’s obligations under this Agreement, as contemplated by Article 8;</w:t>
      </w:r>
    </w:p>
    <w:p>
      <w:pPr>
        <w:spacing w:after="0" w:line="156" w:lineRule="exact"/>
        <w:rPr>
          <w:rFonts w:ascii="Arial" w:cs="Arial" w:eastAsia="Arial" w:hAnsi="Arial"/>
          <w:sz w:val="22"/>
          <w:szCs w:val="22"/>
          <w:color w:val="auto"/>
        </w:rPr>
      </w:pPr>
    </w:p>
    <w:p>
      <w:pPr>
        <w:ind w:left="2260" w:right="20" w:hanging="755"/>
        <w:spacing w:after="0" w:line="259" w:lineRule="auto"/>
        <w:tabs>
          <w:tab w:leader="none" w:pos="22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DURING CERTAIN EVENTS</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If a Potential Change in Control occurs, Executive agrees that Executive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Executive may have to benefits hereunder, the Company may terminate Executive’s employment at any time for any reason, and Executive may terminate Executive’s employment at any time for Good Reason.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1"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b w:val="1"/>
          <w:bCs w:val="1"/>
          <w:color w:val="auto"/>
        </w:rPr>
        <w:t>3.1 Right to Severance Benefits</w:t>
      </w:r>
      <w:r>
        <w:rPr>
          <w:rFonts w:ascii="Arial" w:cs="Arial" w:eastAsia="Arial" w:hAnsi="Arial"/>
          <w:sz w:val="22"/>
          <w:szCs w:val="22"/>
          <w:color w:val="auto"/>
        </w:rPr>
        <w:t>. Executive shall be entitled to receive the benefits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3.2 if Executive incurs a Qualifying Termination Event, provided that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within fifty (50) days of the Qualifying Termination Event and not revoke it. If Executive does not timely execute and deliver to the Company the Severance Agreement, or if Executive executes the Severance Agreement but revokes it, the severance benefits set forth in Section 3.2 of this Severance Agreement will not be paid. If more than one Qualifying Termination Event occurs, such events shall constitute a single Qualifying Termination Event and Executive shall be entitled to receive the benefits provided under Section 3.2 (a) through (d) only once.</w:t>
      </w:r>
    </w:p>
    <w:p>
      <w:pPr>
        <w:spacing w:after="0" w:line="180" w:lineRule="exact"/>
        <w:rPr>
          <w:sz w:val="20"/>
          <w:szCs w:val="20"/>
          <w:color w:val="auto"/>
        </w:rPr>
      </w:pPr>
    </w:p>
    <w:p>
      <w:pPr>
        <w:jc w:val="both"/>
        <w:ind w:firstLine="1497"/>
        <w:spacing w:after="0"/>
        <w:rPr>
          <w:sz w:val="20"/>
          <w:szCs w:val="20"/>
          <w:color w:val="auto"/>
        </w:rPr>
      </w:pPr>
      <w:r>
        <w:rPr>
          <w:rFonts w:ascii="Arial" w:cs="Arial" w:eastAsia="Arial" w:hAnsi="Arial"/>
          <w:sz w:val="22"/>
          <w:szCs w:val="22"/>
          <w:b w:val="1"/>
          <w:bCs w:val="1"/>
          <w:color w:val="auto"/>
        </w:rPr>
        <w:t>3.2 Severance Benefits</w:t>
      </w:r>
      <w:r>
        <w:rPr>
          <w:rFonts w:ascii="Arial" w:cs="Arial" w:eastAsia="Arial" w:hAnsi="Arial"/>
          <w:sz w:val="22"/>
          <w:szCs w:val="22"/>
          <w:color w:val="auto"/>
        </w:rPr>
        <w:t>. If a Qualifying Termination Event occurs and Executive satisfies the</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Section 3.1 above, the Company will pay Executive as soon as practicable following Executive’s satisfaction of such conditions, but in no event more than seventy-five (75) days following the Qualifying Termination Event, a non-discounted cash lump sum amount equal to the sum of the following:</w:t>
      </w:r>
    </w:p>
    <w:p>
      <w:pPr>
        <w:spacing w:after="0" w:line="178" w:lineRule="exact"/>
        <w:rPr>
          <w:sz w:val="20"/>
          <w:szCs w:val="20"/>
          <w:color w:val="auto"/>
        </w:rPr>
      </w:pPr>
    </w:p>
    <w:p>
      <w:pPr>
        <w:jc w:val="both"/>
        <w:ind w:left="1500" w:hanging="743"/>
        <w:spacing w:after="0" w:line="238"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pro-rata portion (based on the number of days that elapsed in the calendar year before the Qualifying Termination Event occurred) of the greater of (i) Executive’s target annual bonus for the year of the Qualifying Termination Event or (ii) Executive’s annual bonus that would have been paid (as determined by the Board in its discretion) assuming the year ended on the date of the Qualifying Termination Event and based on actual performance through that date;</w:t>
      </w:r>
    </w:p>
    <w:p>
      <w:pPr>
        <w:spacing w:after="0" w:line="176" w:lineRule="exact"/>
        <w:rPr>
          <w:rFonts w:ascii="Arial" w:cs="Arial" w:eastAsia="Arial" w:hAnsi="Arial"/>
          <w:sz w:val="22"/>
          <w:szCs w:val="22"/>
          <w:color w:val="auto"/>
        </w:rPr>
      </w:pPr>
    </w:p>
    <w:p>
      <w:pPr>
        <w:ind w:left="1500" w:hanging="743"/>
        <w:spacing w:after="0" w:line="259"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an amount equal to one years’ salary at the highest rate of Executive’s annualized Base Salary in effect at any time up to and including the Qualifying Termination Event multiplied by </w:t>
      </w:r>
      <w:r>
        <w:rPr>
          <w:rFonts w:ascii="Arial" w:cs="Arial" w:eastAsia="Arial" w:hAnsi="Arial"/>
          <w:sz w:val="22"/>
          <w:szCs w:val="22"/>
          <w:u w:val="single" w:color="auto"/>
          <w:color w:val="auto"/>
        </w:rPr>
        <w:t>two (2)</w:t>
      </w:r>
      <w:r>
        <w:rPr>
          <w:rFonts w:ascii="Arial" w:cs="Arial" w:eastAsia="Arial" w:hAnsi="Arial"/>
          <w:sz w:val="22"/>
          <w:szCs w:val="22"/>
          <w:color w:val="auto"/>
        </w:rPr>
        <w:t>; and</w:t>
      </w:r>
    </w:p>
    <w:p>
      <w:pPr>
        <w:spacing w:after="0" w:line="156" w:lineRule="exact"/>
        <w:rPr>
          <w:rFonts w:ascii="Arial" w:cs="Arial" w:eastAsia="Arial" w:hAnsi="Arial"/>
          <w:sz w:val="22"/>
          <w:szCs w:val="22"/>
          <w:color w:val="auto"/>
        </w:rPr>
      </w:pPr>
    </w:p>
    <w:p>
      <w:pPr>
        <w:jc w:val="both"/>
        <w:ind w:left="1500" w:hanging="743"/>
        <w:spacing w:after="0" w:line="245"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an amount equal to the greater of (i) Executive’s target annual bonus for the year of the Qualifying Termination Event or (ii) the average of the annual bonuses actually paid to Executive for the two years preceding the year of the Qualifying Termination Event, multiplied by </w:t>
      </w:r>
      <w:r>
        <w:rPr>
          <w:rFonts w:ascii="Arial" w:cs="Arial" w:eastAsia="Arial" w:hAnsi="Arial"/>
          <w:sz w:val="22"/>
          <w:szCs w:val="22"/>
          <w:u w:val="single" w:color="auto"/>
          <w:color w:val="auto"/>
        </w:rPr>
        <w:t>two (2).</w:t>
      </w:r>
    </w:p>
    <w:p>
      <w:pPr>
        <w:spacing w:after="0" w:line="170"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In addition to the foregoing, if Executive satisfies the conditions set forth in Section 3.1 above, the Company will pay Executive as soon as practicable following Executive’s satisfaction of such conditions, but in no event more than seventy-five (75) days following the Qualifying Termination Event, a non-discounted cash lump sum amount equal to the sum of the following: (i) the Company’s estimate of the cost to continue Executive’s medical, dental and vision insurance coverage at a level commensurate to that provided to Executive through the Company’s group health plan immediately prior to the Qualifying Termination Event for a period of </w:t>
      </w:r>
      <w:r>
        <w:rPr>
          <w:rFonts w:ascii="Arial" w:cs="Arial" w:eastAsia="Arial" w:hAnsi="Arial"/>
          <w:sz w:val="22"/>
          <w:szCs w:val="22"/>
          <w:u w:val="single" w:color="auto"/>
          <w:color w:val="auto"/>
        </w:rPr>
        <w:t>two (2) years</w:t>
      </w:r>
      <w:r>
        <w:rPr>
          <w:rFonts w:ascii="Arial" w:cs="Arial" w:eastAsia="Arial" w:hAnsi="Arial"/>
          <w:sz w:val="22"/>
          <w:szCs w:val="22"/>
          <w:color w:val="auto"/>
        </w:rPr>
        <w:t xml:space="preserve"> based on the COBRA rates in effect at that time; (ii) the Company’s estimate of the cost to continue Executive’s life insurance coverage at a level commensurate to that in effect through Executive’s Company-sponsored coverage immediately prior to the Qualifying Termination Event for a period of </w:t>
      </w:r>
      <w:r>
        <w:rPr>
          <w:rFonts w:ascii="Arial" w:cs="Arial" w:eastAsia="Arial" w:hAnsi="Arial"/>
          <w:sz w:val="22"/>
          <w:szCs w:val="22"/>
          <w:u w:val="single" w:color="auto"/>
          <w:color w:val="auto"/>
        </w:rPr>
        <w:t>two (2) years</w:t>
      </w:r>
      <w:r>
        <w:rPr>
          <w:rFonts w:ascii="Arial" w:cs="Arial" w:eastAsia="Arial" w:hAnsi="Arial"/>
          <w:sz w:val="22"/>
          <w:szCs w:val="22"/>
          <w:color w:val="auto"/>
        </w:rPr>
        <w:t xml:space="preserve"> following such Qualifying Termination Event, or, if shorter, the period ending on the last day of the level premium rate guarantee period established by the applicable insurer for such coverage; and (iii) the Company’s estimate of the cost to continue Executive’s executive supplemental disability coverage under the Company’s supplemental disability insurance plan in effect immediately prior to the Qualifying Termination Event for a period of </w:t>
      </w:r>
      <w:r>
        <w:rPr>
          <w:rFonts w:ascii="Arial" w:cs="Arial" w:eastAsia="Arial" w:hAnsi="Arial"/>
          <w:sz w:val="22"/>
          <w:szCs w:val="22"/>
          <w:u w:val="single" w:color="auto"/>
          <w:color w:val="auto"/>
        </w:rPr>
        <w:t>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firstLine="8"/>
        <w:spacing w:after="0" w:line="236" w:lineRule="auto"/>
        <w:tabs>
          <w:tab w:leader="none" w:pos="337" w:val="left"/>
        </w:tabs>
        <w:numPr>
          <w:ilvl w:val="0"/>
          <w:numId w:val="4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years</w:t>
      </w:r>
      <w:r>
        <w:rPr>
          <w:rFonts w:ascii="Arial" w:cs="Arial" w:eastAsia="Arial" w:hAnsi="Arial"/>
          <w:sz w:val="22"/>
          <w:szCs w:val="22"/>
          <w:color w:val="auto"/>
        </w:rPr>
        <w:t xml:space="preserve"> following such Qualifying Termination Event (or the date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7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If the seventy-five (75)-day period following the Qualifying Termination Event for making the foregoing cash payments spans two calendar years, payment will in all cases be made in the second (later) calendar year.</w:t>
      </w:r>
    </w:p>
    <w:p>
      <w:pPr>
        <w:spacing w:after="0" w:line="4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Notwithstanding any provision of this Agreement to the contrary, to the extent that the Company determines that a delay in payment or benefits is required to avoid subjecting Executive to taxes under Code Section 409A (“Section 409A”), Executive shall not be entitled to receive any payments of, or benefits that constitute, deferred compensation (as defined in Section 409A) until the earlier of (i) the date which is six (6) months after Executive’s termination of employment or (ii) the date of Executive’s death (the “Section 409A Period”), at which time the Company shall pay all delayed payments to Executive in a lump sum without interest.</w:t>
      </w:r>
    </w:p>
    <w:p>
      <w:pPr>
        <w:spacing w:after="0" w:line="315"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22"/>
          <w:szCs w:val="22"/>
          <w:b w:val="1"/>
          <w:bCs w:val="1"/>
          <w:color w:val="auto"/>
        </w:rPr>
        <w:t>3.3 Termination for Other Reasons</w:t>
      </w:r>
      <w:r>
        <w:rPr>
          <w:rFonts w:ascii="Arial" w:cs="Arial" w:eastAsia="Arial" w:hAnsi="Arial"/>
          <w:sz w:val="22"/>
          <w:szCs w:val="22"/>
          <w:color w:val="auto"/>
        </w:rPr>
        <w:t>. Except as expressly provided below, the Company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no obligations (or no further obligations, as the case may be) to Executive under this Agreement if:</w:t>
      </w:r>
    </w:p>
    <w:p>
      <w:pPr>
        <w:spacing w:after="0" w:line="154" w:lineRule="exact"/>
        <w:rPr>
          <w:sz w:val="20"/>
          <w:szCs w:val="20"/>
          <w:color w:val="auto"/>
        </w:rPr>
      </w:pPr>
    </w:p>
    <w:p>
      <w:pPr>
        <w:ind w:left="1500" w:hanging="743"/>
        <w:spacing w:after="0"/>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Executive’s employment is terminated by the Company for Cause;</w:t>
      </w:r>
    </w:p>
    <w:p>
      <w:pPr>
        <w:spacing w:after="0" w:line="206" w:lineRule="exact"/>
        <w:rPr>
          <w:rFonts w:ascii="Arial" w:cs="Arial" w:eastAsia="Arial" w:hAnsi="Arial"/>
          <w:sz w:val="22"/>
          <w:szCs w:val="22"/>
          <w:color w:val="auto"/>
        </w:rPr>
      </w:pPr>
    </w:p>
    <w:p>
      <w:pPr>
        <w:ind w:left="1500" w:hanging="743"/>
        <w:spacing w:after="0" w:line="259" w:lineRule="auto"/>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Executive terminates Executive’s employment with the Company other than for Good Reason during a Protected Period;</w:t>
      </w:r>
    </w:p>
    <w:p>
      <w:pPr>
        <w:spacing w:after="0" w:line="156" w:lineRule="exact"/>
        <w:rPr>
          <w:rFonts w:ascii="Arial" w:cs="Arial" w:eastAsia="Arial" w:hAnsi="Arial"/>
          <w:sz w:val="22"/>
          <w:szCs w:val="22"/>
          <w:color w:val="auto"/>
        </w:rPr>
      </w:pPr>
    </w:p>
    <w:p>
      <w:pPr>
        <w:ind w:left="1500" w:hanging="743"/>
        <w:spacing w:after="0" w:line="259" w:lineRule="auto"/>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Executive’s employment by the Company terminates due to Executive’s Disability, retirement, or death; or</w:t>
      </w:r>
    </w:p>
    <w:p>
      <w:pPr>
        <w:spacing w:after="0" w:line="156" w:lineRule="exact"/>
        <w:rPr>
          <w:rFonts w:ascii="Arial" w:cs="Arial" w:eastAsia="Arial" w:hAnsi="Arial"/>
          <w:sz w:val="22"/>
          <w:szCs w:val="22"/>
          <w:color w:val="auto"/>
        </w:rPr>
      </w:pPr>
    </w:p>
    <w:p>
      <w:pPr>
        <w:ind w:left="1500" w:right="20" w:hanging="743"/>
        <w:spacing w:after="0" w:line="259" w:lineRule="auto"/>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Executive’s employment by the Company is terminated by the Company or Executive for any reason, if such termination does not occur during a Protected Period.</w:t>
      </w:r>
    </w:p>
    <w:p>
      <w:pPr>
        <w:spacing w:after="0" w:line="156" w:lineRule="exact"/>
        <w:rPr>
          <w:rFonts w:ascii="Arial" w:cs="Arial" w:eastAsia="Arial" w:hAnsi="Arial"/>
          <w:sz w:val="22"/>
          <w:szCs w:val="22"/>
          <w:color w:val="auto"/>
        </w:rPr>
      </w:pPr>
    </w:p>
    <w:p>
      <w:pPr>
        <w:jc w:val="both"/>
        <w:ind w:left="1500" w:hanging="743"/>
        <w:spacing w:after="0" w:line="245" w:lineRule="auto"/>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7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If, during a Protected Period and immediately prior to Executive’s Disability or retirement, Executive would have been entitled to terminate employment with the Company for Good Reason, then upon termination of Executive’s employment for Disability or retirement, Executive shall be deemed to have terminated for Good Reason for purposes of this Agreement.</w:t>
      </w:r>
    </w:p>
    <w:p>
      <w:pPr>
        <w:spacing w:after="0" w:line="6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Notwithstanding anything else contained herein to the contrary, Executive’s termination of employment on account of reaching the normal retirement age, as such age may be defined from time to time in policies adopted by the Company prior to the commencement of the Protected Period, to the extent such policies are applicable to Executive immediately prior to the commencement of the Protected Period and to the extent such policies are consistent with applicable law, shall not be a Qualifying Termination Event unless Executive was otherwise 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to terminate employment for Good Reason immediately prior to Executive’s retirement and Executive’s retirement occurred during a Protected Period.</w:t>
      </w:r>
    </w:p>
    <w:p>
      <w:pPr>
        <w:spacing w:after="0" w:line="289"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b w:val="1"/>
          <w:bCs w:val="1"/>
          <w:color w:val="auto"/>
        </w:rPr>
        <w:t>3.4 Notice of Termination</w:t>
      </w:r>
      <w:r>
        <w:rPr>
          <w:rFonts w:ascii="Arial" w:cs="Arial" w:eastAsia="Arial" w:hAnsi="Arial"/>
          <w:sz w:val="22"/>
          <w:szCs w:val="22"/>
          <w:color w:val="auto"/>
        </w:rPr>
        <w:t>. Any termination of Executive’s employment by the Company for Cause</w:t>
      </w:r>
      <w:r>
        <w:rPr>
          <w:rFonts w:ascii="Arial" w:cs="Arial" w:eastAsia="Arial" w:hAnsi="Arial"/>
          <w:sz w:val="22"/>
          <w:szCs w:val="22"/>
          <w:b w:val="1"/>
          <w:bCs w:val="1"/>
          <w:color w:val="auto"/>
        </w:rPr>
        <w:t xml:space="preserve"> </w:t>
      </w:r>
      <w:r>
        <w:rPr>
          <w:rFonts w:ascii="Arial" w:cs="Arial" w:eastAsia="Arial" w:hAnsi="Arial"/>
          <w:sz w:val="22"/>
          <w:szCs w:val="22"/>
          <w:color w:val="auto"/>
        </w:rPr>
        <w:t>or by Executive for Good Reason shall be communicated by a Notice of Termination to the other party. For purposes of this Agreement, a “Notice of Termination” must be in writing, must describe in reasonable detail the facts and circumstances claimed to constitute Cause or Good Reason, and must cite the specific provision(s) of this Agreement on which such claim is based. The Notice of Termination shall be effective on the date specified in Section 9.8 of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Company has the right to withhold from the Severance Benefits set forth in Section 3.2 any amount otherwise payable to Executive under or pursuant to this Agreement the amount of any taxes that the Company may legally be required to withhold with respect to such payment (including, without limitation, federal, state, or local taxes, Social Security, and Medicare). Executive is responsible for all taxes owed, if any, as a result of Executive’s receipt of any amounts paid in connection with this 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COMPANY’S PAYMENT OBLIGATION</w:t>
      </w:r>
    </w:p>
    <w:p>
      <w:pPr>
        <w:spacing w:after="0" w:line="184"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b w:val="1"/>
          <w:bCs w:val="1"/>
          <w:color w:val="auto"/>
        </w:rPr>
        <w:t>5.1 Payment Obligations Absolute</w:t>
      </w:r>
      <w:r>
        <w:rPr>
          <w:rFonts w:ascii="Arial" w:cs="Arial" w:eastAsia="Arial" w:hAnsi="Arial"/>
          <w:sz w:val="22"/>
          <w:szCs w:val="22"/>
          <w:color w:val="auto"/>
        </w:rPr>
        <w:t>. Subject to Executive’s compliance with Section 9.1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Executive or anyone else. All amounts payable by the Company hereunder shall be paid without notice or demand. Each and every payment made hereunder by the Company shall be final, and the Company shall not seek to recover all or any part of such payment from Executive or from whomsoever may be entitled thereto, for any reasons whatsoever, except as a result of an error in calculating the value of benefits payable under Section 3.2 or as otherwise provided in Article 7 and subject to Executive’s compliance with Section 9.1 and the agreement contemplated thereby.</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309" w:lineRule="exact"/>
        <w:rPr>
          <w:sz w:val="20"/>
          <w:szCs w:val="20"/>
          <w:color w:val="auto"/>
        </w:rPr>
      </w:pPr>
    </w:p>
    <w:p>
      <w:pPr>
        <w:jc w:val="both"/>
        <w:ind w:right="20" w:firstLine="1497"/>
        <w:spacing w:after="0" w:line="261" w:lineRule="auto"/>
        <w:rPr>
          <w:sz w:val="20"/>
          <w:szCs w:val="20"/>
          <w:color w:val="auto"/>
        </w:rPr>
      </w:pPr>
      <w:r>
        <w:rPr>
          <w:rFonts w:ascii="Arial" w:cs="Arial" w:eastAsia="Arial" w:hAnsi="Arial"/>
          <w:sz w:val="22"/>
          <w:szCs w:val="22"/>
          <w:b w:val="1"/>
          <w:bCs w:val="1"/>
          <w:color w:val="auto"/>
        </w:rPr>
        <w:t xml:space="preserve">5.2 Unsecured General Creditor. </w:t>
      </w:r>
      <w:r>
        <w:rPr>
          <w:rFonts w:ascii="Arial" w:cs="Arial" w:eastAsia="Arial" w:hAnsi="Arial"/>
          <w:sz w:val="22"/>
          <w:szCs w:val="22"/>
          <w:color w:val="auto"/>
        </w:rPr>
        <w:t>Executive and Executive’s heirs, successors, and assigns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no legal or equitable rights, claims, or interest in any specific property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assets of the Company. No assets of the Company shall be held under any trust or held in any way as collateral security for the fulfilling of the obligations of the Company under this Agreement. Any and all of the Company’s assets shall be, and remain, the general unpledged, unrestricted assets of the Company. The Company’s obligation under this Agreement shall be merely that of an unfunded and unsecured promise of the entity to pay money in the future, and the rights of Executive and Executive’s heirs, successors, and assigns shall be no greater than those of unsecured general creditors. It is the intention of the Company that this Agreement be unfunded for purposes of the Code and for purposes of Title I of the Employee Retirement Income Security Act of 1974, as amended.</w:t>
      </w:r>
    </w:p>
    <w:p>
      <w:pPr>
        <w:spacing w:after="0" w:line="174"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b w:val="1"/>
          <w:bCs w:val="1"/>
          <w:color w:val="auto"/>
        </w:rPr>
        <w:t>5.3 Other Plans and Benefits</w:t>
      </w:r>
      <w:r>
        <w:rPr>
          <w:rFonts w:ascii="Arial" w:cs="Arial" w:eastAsia="Arial" w:hAnsi="Arial"/>
          <w:sz w:val="22"/>
          <w:szCs w:val="22"/>
          <w:color w:val="auto"/>
        </w:rPr>
        <w:t>. All payments, benefits, and amounts provided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addition to and not in substitution for any Executive’s own vested or accrued employee benefits under Company’s qualified retirement benefit plans, or any disability or workers’ compensation benefits payable at the time Executive’s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OF AGREEMENT</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This Agreement will commence on the Effective Date and shall continue in effect through April 1, 2027.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7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Unless the Board expressly determines that the term of this Agreement shall continue in effect, the term of this Agreement will terminate if, prior to a Potential Change in Control, Executive ceases to perform services on a full-time basis in either the same position Executive was serving on the Effective Date or a more senior position.</w:t>
      </w:r>
    </w:p>
    <w:p>
      <w:pPr>
        <w:spacing w:after="0" w:line="6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Executive incurs a Qualifying Termination Event, until all obligations of the Company hereunder have been fulfilled, and until all benefits required hereunder have been paid to Executive.</w:t>
      </w:r>
    </w:p>
    <w:p>
      <w:pPr>
        <w:spacing w:after="0" w:line="6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Executive; provided, however, that if one or more Subsequent Changes in Control occur, such event (or events) shall be considered a Change in Control hereunder, and this Agreement will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thereto only if it, or they, occur during a Protected Period in effect at the time of any Subsequent Change in Control.</w:t>
      </w:r>
    </w:p>
    <w:p>
      <w:pPr>
        <w:spacing w:after="0" w:line="9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Notwithstanding anything herein to the contrary,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RESOLUTION OF DISPUTES</w:t>
      </w:r>
    </w:p>
    <w:p>
      <w:pPr>
        <w:spacing w:after="0" w:line="184"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b w:val="1"/>
          <w:bCs w:val="1"/>
          <w:color w:val="auto"/>
        </w:rPr>
        <w:t xml:space="preserve">7.1 Arbitration of Claims. </w:t>
      </w:r>
      <w:r>
        <w:rPr>
          <w:rFonts w:ascii="Arial" w:cs="Arial" w:eastAsia="Arial" w:hAnsi="Arial"/>
          <w:sz w:val="22"/>
          <w:szCs w:val="22"/>
          <w:color w:val="auto"/>
        </w:rPr>
        <w:t>The Company and Executive hereby consent to the resolution by</w:t>
      </w:r>
      <w:r>
        <w:rPr>
          <w:rFonts w:ascii="Arial" w:cs="Arial" w:eastAsia="Arial" w:hAnsi="Arial"/>
          <w:sz w:val="22"/>
          <w:szCs w:val="22"/>
          <w:b w:val="1"/>
          <w:bCs w:val="1"/>
          <w:color w:val="auto"/>
        </w:rPr>
        <w:t xml:space="preserve"> </w:t>
      </w:r>
      <w:r>
        <w:rPr>
          <w:rFonts w:ascii="Arial" w:cs="Arial" w:eastAsia="Arial" w:hAnsi="Arial"/>
          <w:sz w:val="22"/>
          <w:szCs w:val="22"/>
          <w:color w:val="auto"/>
        </w:rPr>
        <w:t>mandatory and binding arbitration of all claims or controversies arising out of or in connection with this Agreement and/or the Exhibits hereto that the Company may have against Executive, or that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Executive, and that judgment may be entered on the award of the arbitrator in any court having proper jurisdiction.</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Except as otherwise provided in this procedure or by mutual agreement of the parties, any arbitration shall be before a sole arbitrator (the “Arbitrator’) selected from Judicial Arbitration &amp; Mediation Services, Inc. or its successor (“JAMS”), or if JAMS is no longer able to supply the arbitrator, such arbitrator shall be selected from the American Arbitration Association. Arbitration will be held in Washington, D.C. or Virginia, or the state of Executive’s primary work location. Either party shall have the right to file dispositive motions, including without limitation a motion to dismiss and/or a motion for summary judgment, and the Arbitrator will apply the standards governing such motions under the Federal Rules of Civil Procedure. A party may make an offer of judgment in a manner consistent with, and within the time limitations, consequences, and effects provided in Rule 68 of the Federal Rules of Civil Procedure.</w:t>
      </w:r>
    </w:p>
    <w:p>
      <w:pPr>
        <w:spacing w:after="0" w:line="6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 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Notwithstanding the foregoing, provisional injunctive relief may, but need not, be sought by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6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and to the same extent as if the matter were being heard in court.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Executive to the benefits provided under this Agreement.</w:t>
      </w:r>
    </w:p>
    <w:p>
      <w:pPr>
        <w:spacing w:after="0" w:line="7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Agreement shall inure to the benefit of and be enforceable by Executive’s personal or legal representatives, trustees, executors, administrators, successors, heirs, distributees, devisees, and legatees. If Executive should die while any amount would still be payable to Executive hereunder had Executive continued to live, all such amounts, unless otherwise provided herein, shall be paid to Executive’s estate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4" w:lineRule="exact"/>
        <w:rPr>
          <w:sz w:val="20"/>
          <w:szCs w:val="20"/>
          <w:color w:val="auto"/>
        </w:rPr>
      </w:pPr>
    </w:p>
    <w:p>
      <w:pPr>
        <w:jc w:val="both"/>
        <w:ind w:firstLine="1497"/>
        <w:spacing w:after="0"/>
        <w:rPr>
          <w:sz w:val="20"/>
          <w:szCs w:val="20"/>
          <w:color w:val="auto"/>
        </w:rPr>
      </w:pPr>
      <w:r>
        <w:rPr>
          <w:rFonts w:ascii="Arial" w:cs="Arial" w:eastAsia="Arial" w:hAnsi="Arial"/>
          <w:sz w:val="22"/>
          <w:szCs w:val="22"/>
          <w:b w:val="1"/>
          <w:bCs w:val="1"/>
          <w:color w:val="auto"/>
        </w:rPr>
        <w:t xml:space="preserve">9.1 Release and Agreement. </w:t>
      </w:r>
      <w:r>
        <w:rPr>
          <w:rFonts w:ascii="Arial" w:cs="Arial" w:eastAsia="Arial" w:hAnsi="Arial"/>
          <w:sz w:val="22"/>
          <w:szCs w:val="22"/>
          <w:color w:val="auto"/>
        </w:rPr>
        <w:t>The Company’s obligation to pay the Severance Benefits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3.2 is conditioned upon Executive executing and not revoking a Separation Agreement and Release of Claims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such other form, which is substantially the same as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as the Committee may require) and Company’s receipt of such executed agreement.</w:t>
      </w:r>
    </w:p>
    <w:p>
      <w:pPr>
        <w:spacing w:after="0" w:line="176" w:lineRule="exact"/>
        <w:rPr>
          <w:sz w:val="20"/>
          <w:szCs w:val="20"/>
          <w:color w:val="auto"/>
        </w:rPr>
      </w:pPr>
    </w:p>
    <w:p>
      <w:pPr>
        <w:jc w:val="both"/>
        <w:ind w:firstLine="1497"/>
        <w:spacing w:after="0"/>
        <w:rPr>
          <w:sz w:val="20"/>
          <w:szCs w:val="20"/>
          <w:color w:val="auto"/>
        </w:rPr>
      </w:pPr>
      <w:r>
        <w:rPr>
          <w:rFonts w:ascii="Arial" w:cs="Arial" w:eastAsia="Arial" w:hAnsi="Arial"/>
          <w:sz w:val="22"/>
          <w:szCs w:val="22"/>
          <w:b w:val="1"/>
          <w:bCs w:val="1"/>
          <w:color w:val="auto"/>
        </w:rPr>
        <w:t>9.2 Employment Status</w:t>
      </w:r>
      <w:r>
        <w:rPr>
          <w:rFonts w:ascii="Arial" w:cs="Arial" w:eastAsia="Arial" w:hAnsi="Arial"/>
          <w:sz w:val="22"/>
          <w:szCs w:val="22"/>
          <w:color w:val="auto"/>
        </w:rPr>
        <w:t>. Executive and the Company acknowledge that, except as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under this Agreement, the employment of Executive by the Company is “at will,” and may be terminated by either Executive or the Company at any time, with or without notice, subject to applicable law and subject to the express provisions of Article 2.</w:t>
      </w:r>
    </w:p>
    <w:p>
      <w:pPr>
        <w:spacing w:after="0" w:line="17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b w:val="1"/>
          <w:bCs w:val="1"/>
          <w:color w:val="auto"/>
        </w:rPr>
        <w:t xml:space="preserve">9.3 Entire Agreement. </w:t>
      </w:r>
      <w:r>
        <w:rPr>
          <w:rFonts w:ascii="Arial" w:cs="Arial" w:eastAsia="Arial" w:hAnsi="Arial"/>
          <w:sz w:val="22"/>
          <w:szCs w:val="22"/>
          <w:color w:val="auto"/>
        </w:rPr>
        <w:t>This Agreement, including the Exhibits hereto, contains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Company and Executive, and supersedes and replaces all prior negotiations and all agreements proposed or otherwise, whether written or oral,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1"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b w:val="1"/>
          <w:bCs w:val="1"/>
          <w:color w:val="auto"/>
        </w:rPr>
        <w:t>9.4 Gender and Number</w:t>
      </w:r>
      <w:r>
        <w:rPr>
          <w:rFonts w:ascii="Arial" w:cs="Arial" w:eastAsia="Arial" w:hAnsi="Arial"/>
          <w:sz w:val="22"/>
          <w:szCs w:val="22"/>
          <w:color w:val="auto"/>
        </w:rPr>
        <w:t>. Except where otherwise indicated by the context any masculine term</w:t>
      </w:r>
      <w:r>
        <w:rPr>
          <w:rFonts w:ascii="Arial" w:cs="Arial" w:eastAsia="Arial" w:hAnsi="Arial"/>
          <w:sz w:val="22"/>
          <w:szCs w:val="22"/>
          <w:b w:val="1"/>
          <w:bCs w:val="1"/>
          <w:color w:val="auto"/>
        </w:rPr>
        <w:t xml:space="preserve"> </w:t>
      </w:r>
      <w:r>
        <w:rPr>
          <w:rFonts w:ascii="Arial" w:cs="Arial" w:eastAsia="Arial" w:hAnsi="Arial"/>
          <w:sz w:val="22"/>
          <w:szCs w:val="22"/>
          <w:color w:val="auto"/>
        </w:rPr>
        <w:t>used herein also shall include the feminine, the plural shall include the singular, and the singular shall include the plural.</w:t>
      </w:r>
    </w:p>
    <w:p>
      <w:pPr>
        <w:spacing w:after="0" w:line="170" w:lineRule="exact"/>
        <w:rPr>
          <w:sz w:val="20"/>
          <w:szCs w:val="20"/>
          <w:color w:val="auto"/>
        </w:rPr>
      </w:pPr>
    </w:p>
    <w:p>
      <w:pPr>
        <w:jc w:val="both"/>
        <w:ind w:firstLine="1497"/>
        <w:spacing w:after="0"/>
        <w:rPr>
          <w:sz w:val="20"/>
          <w:szCs w:val="20"/>
          <w:color w:val="auto"/>
        </w:rPr>
      </w:pPr>
      <w:r>
        <w:rPr>
          <w:rFonts w:ascii="Arial" w:cs="Arial" w:eastAsia="Arial" w:hAnsi="Arial"/>
          <w:sz w:val="22"/>
          <w:szCs w:val="22"/>
          <w:b w:val="1"/>
          <w:bCs w:val="1"/>
          <w:color w:val="auto"/>
        </w:rPr>
        <w:t>9.5 Severability</w:t>
      </w:r>
      <w:r>
        <w:rPr>
          <w:rFonts w:ascii="Arial" w:cs="Arial" w:eastAsia="Arial" w:hAnsi="Arial"/>
          <w:sz w:val="22"/>
          <w:szCs w:val="22"/>
          <w:color w:val="auto"/>
        </w:rPr>
        <w:t>. In the event any provision of this Agreement shall be held illegal or invalid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7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21"/>
          <w:szCs w:val="21"/>
          <w:b w:val="1"/>
          <w:bCs w:val="1"/>
          <w:color w:val="auto"/>
        </w:rPr>
        <w:t xml:space="preserve">9.6 Modification. </w:t>
      </w:r>
      <w:r>
        <w:rPr>
          <w:rFonts w:ascii="Arial" w:cs="Arial" w:eastAsia="Arial" w:hAnsi="Arial"/>
          <w:sz w:val="21"/>
          <w:szCs w:val="21"/>
          <w:color w:val="auto"/>
        </w:rPr>
        <w:t>No provision of this Agreement may be modified, waived, or discharged unless</w:t>
      </w:r>
      <w:r>
        <w:rPr>
          <w:rFonts w:ascii="Arial" w:cs="Arial" w:eastAsia="Arial" w:hAnsi="Arial"/>
          <w:sz w:val="21"/>
          <w:szCs w:val="21"/>
          <w:b w:val="1"/>
          <w:bCs w:val="1"/>
          <w:color w:val="auto"/>
        </w:rPr>
        <w:t xml:space="preserve"> </w:t>
      </w:r>
      <w:r>
        <w:rPr>
          <w:rFonts w:ascii="Arial" w:cs="Arial" w:eastAsia="Arial" w:hAnsi="Arial"/>
          <w:sz w:val="21"/>
          <w:szCs w:val="21"/>
          <w:color w:val="auto"/>
        </w:rPr>
        <w:t>such modification, waiver, or discharge is agreed to in writing and signed by Executive (or Executive’s legal representative) and by an authorized member of the Committee (or the Board) or its designee or legal representative.</w:t>
      </w:r>
    </w:p>
    <w:p>
      <w:pPr>
        <w:spacing w:after="0" w:line="15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b w:val="1"/>
          <w:bCs w:val="1"/>
          <w:color w:val="auto"/>
        </w:rPr>
        <w:t xml:space="preserve">9.7 Notice. </w:t>
      </w:r>
      <w:r>
        <w:rPr>
          <w:rFonts w:ascii="Arial" w:cs="Arial" w:eastAsia="Arial" w:hAnsi="Arial"/>
          <w:sz w:val="22"/>
          <w:szCs w:val="22"/>
          <w:color w:val="auto"/>
        </w:rPr>
        <w:t>For purposes of this Agreement, notices, including Notice of Termination,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provided for in this Agreement shall be in writing and shall be deemed to have been duly given when delivered or on the date stamped as received by the U.S. Postal Service for delivery by certified or registered mail, postage prepaid and addressed: (a) if to Executive, to Executive’s latest address as reflected on the records of the Company, and (b) if to the Company, to Parsons Corporation, 14291 Park Meadow Drive, Suite 100, Chantilly, VA 20151, Attn: Chair, Compensation and Management Development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b w:val="1"/>
          <w:bCs w:val="1"/>
          <w:color w:val="auto"/>
        </w:rPr>
        <w:t xml:space="preserve">9.8 Applicable Law. </w:t>
      </w:r>
      <w:r>
        <w:rPr>
          <w:rFonts w:ascii="Arial" w:cs="Arial" w:eastAsia="Arial" w:hAnsi="Arial"/>
          <w:sz w:val="22"/>
          <w:szCs w:val="22"/>
          <w:color w:val="auto"/>
        </w:rPr>
        <w:t>To the extent not preempted by the laws of the United States,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Virginia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76"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b w:val="1"/>
          <w:bCs w:val="1"/>
          <w:color w:val="auto"/>
        </w:rPr>
        <w:t xml:space="preserve">9.9 Code Sections 280G and 4999. </w:t>
      </w:r>
      <w:r>
        <w:rPr>
          <w:rFonts w:ascii="Arial" w:cs="Arial" w:eastAsia="Arial" w:hAnsi="Arial"/>
          <w:sz w:val="22"/>
          <w:szCs w:val="22"/>
          <w:color w:val="auto"/>
        </w:rPr>
        <w:t>Notwithstanding anything contained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Executive 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9.9 shall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8890</wp:posOffset>
            </wp:positionV>
            <wp:extent cx="1234440" cy="2571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precedence over the provisions of any other plan, arrangement or agreement governing Executive’s rights and entitlements to any benefits or compensation.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right="860"/>
        <w:spacing w:after="0" w:line="37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on the date first set forth above.</w:t>
      </w:r>
      <w:r>
        <w:rPr>
          <w:rFonts w:ascii="Arial" w:cs="Arial" w:eastAsia="Arial" w:hAnsi="Arial"/>
          <w:sz w:val="22"/>
          <w:szCs w:val="22"/>
          <w:b w:val="1"/>
          <w:bCs w:val="1"/>
          <w:color w:val="auto"/>
        </w:rPr>
        <w:t xml:space="preserve"> Executive</w:t>
      </w:r>
    </w:p>
    <w:p>
      <w:pPr>
        <w:spacing w:after="0" w:line="129"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Soo Lagasse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-14605</wp:posOffset>
            </wp:positionV>
            <wp:extent cx="18288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7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Soo Lagasse, Chief Human Resources Officer</w:t>
      </w:r>
    </w:p>
    <w:p>
      <w:pPr>
        <w:spacing w:after="0" w:line="200" w:lineRule="exact"/>
        <w:rPr>
          <w:sz w:val="20"/>
          <w:szCs w:val="20"/>
          <w:color w:val="auto"/>
        </w:rPr>
      </w:pP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Parsons Corporation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760"/>
              <w:spacing w:after="0"/>
              <w:rPr>
                <w:sz w:val="20"/>
                <w:szCs w:val="20"/>
                <w:color w:val="auto"/>
              </w:rPr>
            </w:pPr>
            <w:r>
              <w:rPr>
                <w:rFonts w:ascii="Arial" w:cs="Arial" w:eastAsia="Arial" w:hAnsi="Arial"/>
                <w:sz w:val="22"/>
                <w:szCs w:val="22"/>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Carey Smith</w:t>
            </w:r>
          </w:p>
        </w:tc>
        <w:tc>
          <w:tcPr>
            <w:tcW w:w="6640" w:type="dxa"/>
            <w:vAlign w:val="bottom"/>
          </w:tcPr>
          <w:p>
            <w:pPr>
              <w:spacing w:after="0"/>
              <w:rPr>
                <w:sz w:val="21"/>
                <w:szCs w:val="21"/>
                <w:color w:val="auto"/>
              </w:rPr>
            </w:pPr>
          </w:p>
        </w:tc>
      </w:tr>
      <w:tr>
        <w:trPr>
          <w:trHeight w:val="386"/>
        </w:trPr>
        <w:tc>
          <w:tcPr>
            <w:tcW w:w="17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22"/>
                <w:szCs w:val="22"/>
                <w:color w:val="auto"/>
              </w:rPr>
              <w:t>Carey Smith</w:t>
            </w:r>
          </w:p>
        </w:tc>
      </w:tr>
      <w:tr>
        <w:trPr>
          <w:trHeight w:val="351"/>
        </w:trPr>
        <w:tc>
          <w:tcPr>
            <w:tcW w:w="1720" w:type="dxa"/>
            <w:vAlign w:val="bottom"/>
          </w:tcPr>
          <w:p>
            <w:pPr>
              <w:ind w:left="760"/>
              <w:spacing w:after="0"/>
              <w:rPr>
                <w:sz w:val="20"/>
                <w:szCs w:val="20"/>
                <w:color w:val="auto"/>
              </w:rPr>
            </w:pPr>
            <w:r>
              <w:rPr>
                <w:rFonts w:ascii="Arial" w:cs="Arial" w:eastAsia="Arial" w:hAnsi="Arial"/>
                <w:sz w:val="22"/>
                <w:szCs w:val="22"/>
                <w:color w:val="auto"/>
              </w:rPr>
              <w:t>Its:</w:t>
            </w:r>
          </w:p>
        </w:tc>
        <w:tc>
          <w:tcPr>
            <w:tcW w:w="9520" w:type="dxa"/>
            <w:vAlign w:val="bottom"/>
            <w:gridSpan w:val="2"/>
          </w:tcPr>
          <w:p>
            <w:pPr>
              <w:spacing w:after="0"/>
              <w:rPr>
                <w:sz w:val="20"/>
                <w:szCs w:val="20"/>
                <w:color w:val="auto"/>
              </w:rPr>
            </w:pPr>
            <w:r>
              <w:rPr>
                <w:rFonts w:ascii="Arial" w:cs="Arial" w:eastAsia="Arial" w:hAnsi="Arial"/>
                <w:sz w:val="22"/>
                <w:szCs w:val="22"/>
                <w:color w:val="auto"/>
              </w:rPr>
              <w:t>Chief Executive Officer</w:t>
            </w:r>
          </w:p>
        </w:tc>
      </w:tr>
      <w:tr>
        <w:trPr>
          <w:trHeight w:val="1221"/>
        </w:trPr>
        <w:tc>
          <w:tcPr>
            <w:tcW w:w="17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620" w:val="left"/>
          <w:tab w:leader="none" w:pos="8420" w:val="left"/>
        </w:tabs>
        <w:rPr>
          <w:sz w:val="20"/>
          <w:szCs w:val="20"/>
          <w:color w:val="auto"/>
        </w:rPr>
      </w:pPr>
      <w:r>
        <w:rPr>
          <w:rFonts w:ascii="Arial" w:cs="Arial" w:eastAsia="Arial" w:hAnsi="Arial"/>
          <w:sz w:val="18"/>
          <w:szCs w:val="18"/>
          <w:color w:val="auto"/>
        </w:rPr>
        <w:t>Date: April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April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2026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140" w:val="left"/>
        </w:tabs>
        <w:rPr>
          <w:sz w:val="20"/>
          <w:szCs w:val="20"/>
          <w:color w:val="auto"/>
        </w:rPr>
      </w:pPr>
      <w:r>
        <w:rPr>
          <w:rFonts w:ascii="Arial" w:cs="Arial" w:eastAsia="Arial" w:hAnsi="Arial"/>
          <w:sz w:val="18"/>
          <w:szCs w:val="18"/>
          <w:color w:val="auto"/>
        </w:rPr>
        <w:t>Date: April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2026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020" w:val="left"/>
        </w:tabs>
        <w:rPr>
          <w:sz w:val="20"/>
          <w:szCs w:val="20"/>
          <w:color w:val="auto"/>
        </w:rPr>
      </w:pPr>
      <w:r>
        <w:rPr>
          <w:rFonts w:ascii="Arial" w:cs="Arial" w:eastAsia="Arial" w:hAnsi="Arial"/>
          <w:sz w:val="18"/>
          <w:szCs w:val="18"/>
          <w:color w:val="auto"/>
        </w:rPr>
        <w:t>Date: April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8890</wp:posOffset>
            </wp:positionV>
            <wp:extent cx="30003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1."/>
      <w:numFmt w:val="decimal"/>
      <w:start w:val="5"/>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1."/>
      <w:numFmt w:val="decimal"/>
      <w:start w:val="9"/>
    </w:lvl>
  </w:abstractNum>
  <w:abstractNum w:abstractNumId="12">
    <w:nsid w:val="3006C83E"/>
    <w:multiLevelType w:val="hybridMultilevel"/>
    <w:lvl w:ilvl="0">
      <w:lvlJc w:val="left"/>
      <w:lvlText w:val="%1."/>
      <w:numFmt w:val="decimal"/>
      <w:start w:val="10"/>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1"/>
    </w:lvl>
  </w:abstractNum>
  <w:abstractNum w:abstractNumId="15">
    <w:nsid w:val="5577F8E1"/>
    <w:multiLevelType w:val="hybridMultilevel"/>
    <w:lvl w:ilvl="0">
      <w:lvlJc w:val="left"/>
      <w:lvlText w:val="%1."/>
      <w:numFmt w:val="decimal"/>
      <w:start w:val="12"/>
    </w:lvl>
  </w:abstractNum>
  <w:abstractNum w:abstractNumId="16">
    <w:nsid w:val="440BADFC"/>
    <w:multiLevelType w:val="hybridMultilevel"/>
    <w:lvl w:ilvl="0">
      <w:lvlJc w:val="left"/>
      <w:lvlText w:val="%1."/>
      <w:numFmt w:val="decimal"/>
      <w:start w:val="13"/>
    </w:lvl>
  </w:abstractNum>
  <w:abstractNum w:abstractNumId="17">
    <w:nsid w:val="5072367"/>
    <w:multiLevelType w:val="hybridMultilevel"/>
    <w:lvl w:ilvl="0">
      <w:lvlJc w:val="left"/>
      <w:lvlText w:val="%1."/>
      <w:numFmt w:val="decimal"/>
      <w:start w:val="14"/>
    </w:lvl>
  </w:abstractNum>
  <w:abstractNum w:abstractNumId="18">
    <w:nsid w:val="3804823E"/>
    <w:multiLevelType w:val="hybridMultilevel"/>
    <w:lvl w:ilvl="0">
      <w:lvlJc w:val="left"/>
      <w:lvlText w:val="%1."/>
      <w:numFmt w:val="decimal"/>
      <w:start w:val="15"/>
    </w:lvl>
  </w:abstractNum>
  <w:abstractNum w:abstractNumId="19">
    <w:nsid w:val="77465F01"/>
    <w:multiLevelType w:val="hybridMultilevel"/>
    <w:lvl w:ilvl="0">
      <w:lvlJc w:val="left"/>
      <w:lvlText w:val="%1."/>
      <w:numFmt w:val="decimal"/>
      <w:start w:val="16"/>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7"/>
    </w:lvl>
  </w:abstractNum>
  <w:abstractNum w:abstractNumId="22">
    <w:nsid w:val="2463B9EA"/>
    <w:multiLevelType w:val="hybridMultilevel"/>
    <w:lvl w:ilvl="0">
      <w:lvlJc w:val="left"/>
      <w:lvlText w:val="%1."/>
      <w:numFmt w:val="decimal"/>
      <w:start w:val="1"/>
    </w:lvl>
    <w:lvl w:ilvl="1">
      <w:lvlJc w:val="left"/>
      <w:lvlText w:val="%2."/>
      <w:numFmt w:val="lowerLetter"/>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8"/>
    </w:lvl>
  </w:abstractNum>
  <w:abstractNum w:abstractNumId="25">
    <w:nsid w:val="2D517796"/>
    <w:multiLevelType w:val="hybridMultilevel"/>
    <w:lvl w:ilvl="0">
      <w:lvlJc w:val="left"/>
      <w:lvlText w:val="(%1)"/>
      <w:numFmt w:val="lowerLetter"/>
      <w:start w:val="1"/>
    </w:lvl>
    <w:lvl w:ilvl="1">
      <w:lvlJc w:val="left"/>
      <w:lvlText w:val="%2."/>
      <w:numFmt w:val="lowerRoman"/>
      <w:start w:val="1"/>
    </w:lvl>
  </w:abstractNum>
  <w:abstractNum w:abstractNumId="26">
    <w:nsid w:val="580BD78F"/>
    <w:multiLevelType w:val="hybridMultilevel"/>
    <w:lvl w:ilvl="0">
      <w:lvlJc w:val="left"/>
      <w:lvlText w:val="%1."/>
      <w:numFmt w:val="decimal"/>
      <w:start w:val="19"/>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01"/>
    </w:lvl>
  </w:abstractNum>
  <w:abstractNum w:abstractNumId="36">
    <w:nsid w:val="7A6D8D3C"/>
    <w:multiLevelType w:val="hybridMultilevel"/>
    <w:lvl w:ilvl="0">
      <w:lvlJc w:val="left"/>
      <w:lvlText w:val="%1"/>
      <w:numFmt w:val="decimal"/>
      <w:start w:val="104"/>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0">
    <w:nsid w:val="38437FDB"/>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41">
    <w:nsid w:val="7644A45C"/>
    <w:multiLevelType w:val="hybridMultilevel"/>
    <w:lvl w:ilvl="0">
      <w:lvlJc w:val="left"/>
      <w:lvlText w:val="%1"/>
      <w:numFmt w:val="lowerRoman"/>
      <w:start w:val="1"/>
    </w:lvl>
    <w:lvl w:ilvl="1">
      <w:lvlJc w:val="left"/>
      <w:lvlText w:val="%2)"/>
      <w:numFmt w:val="decimal"/>
      <w:start w:val="2"/>
    </w:lvl>
  </w:abstractNum>
  <w:abstractNum w:abstractNumId="42">
    <w:nsid w:val="32FFF902"/>
    <w:multiLevelType w:val="hybridMultilevel"/>
    <w:lvl w:ilvl="0">
      <w:lvlJc w:val="left"/>
      <w:lvlText w:val="(%1)"/>
      <w:numFmt w:val="lowerRoman"/>
      <w:start w:val="4"/>
    </w:lvl>
    <w:lvl w:ilvl="1">
      <w:lvlJc w:val="left"/>
      <w:lvlText w:val="%2"/>
      <w:numFmt w:val="decimal"/>
      <w:start w:val="1"/>
    </w:lvl>
  </w:abstractNum>
  <w:abstractNum w:abstractNumId="43">
    <w:nsid w:val="684A481A"/>
    <w:multiLevelType w:val="hybridMultilevel"/>
    <w:lvl w:ilvl="0">
      <w:lvlJc w:val="left"/>
      <w:lvlText w:val="(%1)"/>
      <w:numFmt w:val="lowerLetter"/>
      <w:start w:val="6"/>
    </w:lvl>
  </w:abstractNum>
  <w:abstractNum w:abstractNumId="44">
    <w:nsid w:val="579478FE"/>
    <w:multiLevelType w:val="hybridMultilevel"/>
    <w:lvl w:ilvl="0">
      <w:lvlJc w:val="left"/>
      <w:lvlText w:val="(%1)"/>
      <w:numFmt w:val="lowerLetter"/>
      <w:start w:val="9"/>
    </w:lvl>
    <w:lvl w:ilvl="1">
      <w:lvlJc w:val="left"/>
      <w:lvlText w:val="(%2)"/>
      <w:numFmt w:val="lowerRoman"/>
      <w:start w:val="1"/>
    </w:lvl>
  </w:abstractNum>
  <w:abstractNum w:abstractNumId="45">
    <w:nsid w:val="749ABB43"/>
    <w:multiLevelType w:val="hybridMultilevel"/>
    <w:lvl w:ilvl="0">
      <w:lvlJc w:val="left"/>
      <w:lvlText w:val="%1"/>
      <w:numFmt w:val="lowerLetter"/>
      <w:start w:val="1"/>
    </w:lvl>
    <w:lvl w:ilvl="1">
      <w:lvlJc w:val="left"/>
      <w:lvlText w:val="(%2)"/>
      <w:numFmt w:val="lowerRoman"/>
      <w:start w:val="2"/>
    </w:lvl>
  </w:abstractNum>
  <w:abstractNum w:abstractNumId="46">
    <w:nsid w:val="3DC240FB"/>
    <w:multiLevelType w:val="hybridMultilevel"/>
    <w:lvl w:ilvl="0">
      <w:lvlJc w:val="left"/>
      <w:lvlText w:val="(%1)"/>
      <w:numFmt w:val="lowerLetter"/>
      <w:start w:val="13"/>
    </w:lvl>
    <w:lvl w:ilvl="1">
      <w:lvlJc w:val="left"/>
      <w:lvlText w:val="(%2)"/>
      <w:numFmt w:val="lowerRoman"/>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2026-04-29T05:39:32Z</dcterms:created>
  <dcterms:modified xsi:type="dcterms:W3CDTF">2026-04-29T05:39:32Z</dcterms:modified>
</cp:coreProperties>
</file>