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586105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126365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154305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7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April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197485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1922780</wp:posOffset>
            </wp:positionH>
            <wp:positionV relativeFrom="paragraph">
              <wp:posOffset>506095</wp:posOffset>
            </wp:positionV>
            <wp:extent cx="2339975" cy="488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39975"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Parsons Corporation</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231140</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3320" w:type="dxa"/>
            <w:vAlign w:val="bottom"/>
          </w:tcPr>
          <w:p>
            <w:pPr>
              <w:jc w:val="center"/>
              <w:ind w:right="161"/>
              <w:spacing w:after="0"/>
              <w:rPr>
                <w:sz w:val="20"/>
                <w:szCs w:val="20"/>
                <w:color w:val="auto"/>
              </w:rPr>
            </w:pPr>
            <w:r>
              <w:rPr>
                <w:rFonts w:ascii="Arial" w:cs="Arial" w:eastAsia="Arial" w:hAnsi="Arial"/>
                <w:sz w:val="18"/>
                <w:szCs w:val="18"/>
                <w:b w:val="1"/>
                <w:bCs w:val="1"/>
                <w:color w:val="auto"/>
              </w:rPr>
              <w:t>Delaware</w:t>
            </w:r>
          </w:p>
        </w:tc>
        <w:tc>
          <w:tcPr>
            <w:tcW w:w="2660" w:type="dxa"/>
            <w:vAlign w:val="bottom"/>
          </w:tcPr>
          <w:p>
            <w:pPr>
              <w:jc w:val="right"/>
              <w:ind w:right="1061"/>
              <w:spacing w:after="0"/>
              <w:rPr>
                <w:sz w:val="20"/>
                <w:szCs w:val="20"/>
                <w:color w:val="auto"/>
              </w:rPr>
            </w:pPr>
            <w:r>
              <w:rPr>
                <w:rFonts w:ascii="Arial" w:cs="Arial" w:eastAsia="Arial" w:hAnsi="Arial"/>
                <w:sz w:val="18"/>
                <w:szCs w:val="18"/>
                <w:b w:val="1"/>
                <w:bCs w:val="1"/>
                <w:color w:val="auto"/>
              </w:rPr>
              <w:t>001-07782</w:t>
            </w:r>
          </w:p>
        </w:tc>
        <w:tc>
          <w:tcPr>
            <w:tcW w:w="1860" w:type="dxa"/>
            <w:vAlign w:val="bottom"/>
          </w:tcPr>
          <w:p>
            <w:pPr>
              <w:jc w:val="right"/>
              <w:ind w:right="4"/>
              <w:spacing w:after="0"/>
              <w:rPr>
                <w:sz w:val="20"/>
                <w:szCs w:val="20"/>
                <w:color w:val="auto"/>
              </w:rPr>
            </w:pPr>
            <w:r>
              <w:rPr>
                <w:rFonts w:ascii="Arial" w:cs="Arial" w:eastAsia="Arial" w:hAnsi="Arial"/>
                <w:sz w:val="18"/>
                <w:szCs w:val="18"/>
                <w:b w:val="1"/>
                <w:bCs w:val="1"/>
                <w:color w:val="auto"/>
              </w:rPr>
              <w:t>95-3232481</w:t>
            </w:r>
          </w:p>
        </w:tc>
      </w:tr>
      <w:tr>
        <w:trPr>
          <w:trHeight w:val="148"/>
        </w:trPr>
        <w:tc>
          <w:tcPr>
            <w:tcW w:w="3320" w:type="dxa"/>
            <w:vAlign w:val="bottom"/>
          </w:tcPr>
          <w:p>
            <w:pPr>
              <w:jc w:val="center"/>
              <w:ind w:right="161"/>
              <w:spacing w:after="0"/>
              <w:rPr>
                <w:sz w:val="20"/>
                <w:szCs w:val="20"/>
                <w:color w:val="auto"/>
              </w:rPr>
            </w:pPr>
            <w:r>
              <w:rPr>
                <w:rFonts w:ascii="Arial" w:cs="Arial" w:eastAsia="Arial" w:hAnsi="Arial"/>
                <w:sz w:val="13"/>
                <w:szCs w:val="13"/>
                <w:b w:val="1"/>
                <w:bCs w:val="1"/>
                <w:color w:val="auto"/>
              </w:rPr>
              <w:t>(State or Other Jurisdiction</w:t>
            </w:r>
          </w:p>
        </w:tc>
        <w:tc>
          <w:tcPr>
            <w:tcW w:w="2660" w:type="dxa"/>
            <w:vAlign w:val="bottom"/>
          </w:tcPr>
          <w:p>
            <w:pPr>
              <w:jc w:val="center"/>
              <w:ind w:right="401"/>
              <w:spacing w:after="0"/>
              <w:rPr>
                <w:sz w:val="20"/>
                <w:szCs w:val="20"/>
                <w:color w:val="auto"/>
              </w:rPr>
            </w:pPr>
            <w:r>
              <w:rPr>
                <w:rFonts w:ascii="Arial" w:cs="Arial" w:eastAsia="Arial" w:hAnsi="Arial"/>
                <w:sz w:val="13"/>
                <w:szCs w:val="13"/>
                <w:b w:val="1"/>
                <w:bCs w:val="1"/>
                <w:color w:val="auto"/>
              </w:rPr>
              <w:t>(Commission File Number)</w:t>
            </w:r>
          </w:p>
        </w:tc>
        <w:tc>
          <w:tcPr>
            <w:tcW w:w="1860" w:type="dxa"/>
            <w:vAlign w:val="bottom"/>
          </w:tcPr>
          <w:p>
            <w:pPr>
              <w:jc w:val="center"/>
              <w:ind w:left="664"/>
              <w:spacing w:after="0"/>
              <w:rPr>
                <w:sz w:val="20"/>
                <w:szCs w:val="20"/>
                <w:color w:val="auto"/>
              </w:rPr>
            </w:pPr>
            <w:r>
              <w:rPr>
                <w:rFonts w:ascii="Arial" w:cs="Arial" w:eastAsia="Arial" w:hAnsi="Arial"/>
                <w:sz w:val="13"/>
                <w:szCs w:val="13"/>
                <w:b w:val="1"/>
                <w:bCs w:val="1"/>
                <w:color w:val="auto"/>
              </w:rPr>
              <w:t>(IRS Employer</w:t>
            </w:r>
          </w:p>
        </w:tc>
      </w:tr>
      <w:tr>
        <w:trPr>
          <w:trHeight w:val="186"/>
        </w:trPr>
        <w:tc>
          <w:tcPr>
            <w:tcW w:w="3320" w:type="dxa"/>
            <w:vAlign w:val="bottom"/>
          </w:tcPr>
          <w:p>
            <w:pPr>
              <w:jc w:val="center"/>
              <w:ind w:right="161"/>
              <w:spacing w:after="0"/>
              <w:rPr>
                <w:sz w:val="20"/>
                <w:szCs w:val="20"/>
                <w:color w:val="auto"/>
              </w:rPr>
            </w:pPr>
            <w:r>
              <w:rPr>
                <w:rFonts w:ascii="Arial" w:cs="Arial" w:eastAsia="Arial" w:hAnsi="Arial"/>
                <w:sz w:val="13"/>
                <w:szCs w:val="13"/>
                <w:b w:val="1"/>
                <w:bCs w:val="1"/>
                <w:color w:val="auto"/>
              </w:rPr>
              <w:t>of Incorporation)</w:t>
            </w:r>
          </w:p>
        </w:tc>
        <w:tc>
          <w:tcPr>
            <w:tcW w:w="2660" w:type="dxa"/>
            <w:vAlign w:val="bottom"/>
          </w:tcPr>
          <w:p>
            <w:pPr>
              <w:spacing w:after="0"/>
              <w:rPr>
                <w:sz w:val="16"/>
                <w:szCs w:val="16"/>
                <w:color w:val="auto"/>
              </w:rPr>
            </w:pPr>
          </w:p>
        </w:tc>
        <w:tc>
          <w:tcPr>
            <w:tcW w:w="1860" w:type="dxa"/>
            <w:vAlign w:val="bottom"/>
          </w:tcPr>
          <w:p>
            <w:pPr>
              <w:jc w:val="center"/>
              <w:ind w:left="644"/>
              <w:spacing w:after="0"/>
              <w:rPr>
                <w:sz w:val="20"/>
                <w:szCs w:val="20"/>
                <w:color w:val="auto"/>
              </w:rPr>
            </w:pPr>
            <w:r>
              <w:rPr>
                <w:rFonts w:ascii="Arial" w:cs="Arial" w:eastAsia="Arial" w:hAnsi="Arial"/>
                <w:sz w:val="13"/>
                <w:szCs w:val="13"/>
                <w:b w:val="1"/>
                <w:bCs w:val="1"/>
                <w:color w:val="auto"/>
              </w:rPr>
              <w:t>Identification No.)</w:t>
            </w:r>
          </w:p>
        </w:tc>
      </w:tr>
      <w:tr>
        <w:trPr>
          <w:trHeight w:val="363"/>
        </w:trPr>
        <w:tc>
          <w:tcPr>
            <w:tcW w:w="3320" w:type="dxa"/>
            <w:vAlign w:val="bottom"/>
          </w:tcPr>
          <w:p>
            <w:pPr>
              <w:jc w:val="center"/>
              <w:ind w:right="161"/>
              <w:spacing w:after="0"/>
              <w:rPr>
                <w:sz w:val="20"/>
                <w:szCs w:val="20"/>
                <w:color w:val="auto"/>
              </w:rPr>
            </w:pPr>
            <w:r>
              <w:rPr>
                <w:rFonts w:ascii="Arial" w:cs="Arial" w:eastAsia="Arial" w:hAnsi="Arial"/>
                <w:sz w:val="18"/>
                <w:szCs w:val="18"/>
                <w:b w:val="1"/>
                <w:bCs w:val="1"/>
                <w:color w:val="auto"/>
                <w:w w:val="99"/>
              </w:rPr>
              <w:t>14291 Park Meadow Drive, Suite 100</w:t>
            </w:r>
          </w:p>
        </w:tc>
        <w:tc>
          <w:tcPr>
            <w:tcW w:w="26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07"/>
        </w:trPr>
        <w:tc>
          <w:tcPr>
            <w:tcW w:w="3320" w:type="dxa"/>
            <w:vAlign w:val="bottom"/>
          </w:tcPr>
          <w:p>
            <w:pPr>
              <w:jc w:val="center"/>
              <w:ind w:right="161"/>
              <w:spacing w:after="0"/>
              <w:rPr>
                <w:sz w:val="20"/>
                <w:szCs w:val="20"/>
                <w:color w:val="auto"/>
              </w:rPr>
            </w:pPr>
            <w:r>
              <w:rPr>
                <w:rFonts w:ascii="Arial" w:cs="Arial" w:eastAsia="Arial" w:hAnsi="Arial"/>
                <w:sz w:val="18"/>
                <w:szCs w:val="18"/>
                <w:b w:val="1"/>
                <w:bCs w:val="1"/>
                <w:color w:val="auto"/>
                <w:w w:val="99"/>
              </w:rPr>
              <w:t>Chantilly, Virginia</w:t>
            </w:r>
          </w:p>
        </w:tc>
        <w:tc>
          <w:tcPr>
            <w:tcW w:w="2660" w:type="dxa"/>
            <w:vAlign w:val="bottom"/>
          </w:tcPr>
          <w:p>
            <w:pPr>
              <w:spacing w:after="0"/>
              <w:rPr>
                <w:sz w:val="17"/>
                <w:szCs w:val="17"/>
                <w:color w:val="auto"/>
              </w:rPr>
            </w:pPr>
          </w:p>
        </w:tc>
        <w:tc>
          <w:tcPr>
            <w:tcW w:w="1860" w:type="dxa"/>
            <w:vAlign w:val="bottom"/>
          </w:tcPr>
          <w:p>
            <w:pPr>
              <w:jc w:val="right"/>
              <w:ind w:right="244"/>
              <w:spacing w:after="0"/>
              <w:rPr>
                <w:sz w:val="20"/>
                <w:szCs w:val="20"/>
                <w:color w:val="auto"/>
              </w:rPr>
            </w:pPr>
            <w:r>
              <w:rPr>
                <w:rFonts w:ascii="Arial" w:cs="Arial" w:eastAsia="Arial" w:hAnsi="Arial"/>
                <w:sz w:val="18"/>
                <w:szCs w:val="18"/>
                <w:b w:val="1"/>
                <w:bCs w:val="1"/>
                <w:color w:val="auto"/>
              </w:rPr>
              <w:t>20151</w:t>
            </w:r>
          </w:p>
        </w:tc>
      </w:tr>
      <w:tr>
        <w:trPr>
          <w:trHeight w:val="186"/>
        </w:trPr>
        <w:tc>
          <w:tcPr>
            <w:tcW w:w="3320" w:type="dxa"/>
            <w:vAlign w:val="bottom"/>
          </w:tcPr>
          <w:p>
            <w:pPr>
              <w:jc w:val="center"/>
              <w:ind w:right="161"/>
              <w:spacing w:after="0"/>
              <w:rPr>
                <w:sz w:val="20"/>
                <w:szCs w:val="20"/>
                <w:color w:val="auto"/>
              </w:rPr>
            </w:pPr>
            <w:r>
              <w:rPr>
                <w:rFonts w:ascii="Arial" w:cs="Arial" w:eastAsia="Arial" w:hAnsi="Arial"/>
                <w:sz w:val="13"/>
                <w:szCs w:val="13"/>
                <w:b w:val="1"/>
                <w:bCs w:val="1"/>
                <w:color w:val="auto"/>
              </w:rPr>
              <w:t>(Address of Principal Executive Offices)</w:t>
            </w:r>
          </w:p>
        </w:tc>
        <w:tc>
          <w:tcPr>
            <w:tcW w:w="2660" w:type="dxa"/>
            <w:vAlign w:val="bottom"/>
          </w:tcPr>
          <w:p>
            <w:pPr>
              <w:spacing w:after="0"/>
              <w:rPr>
                <w:sz w:val="16"/>
                <w:szCs w:val="16"/>
                <w:color w:val="auto"/>
              </w:rPr>
            </w:pPr>
          </w:p>
        </w:tc>
        <w:tc>
          <w:tcPr>
            <w:tcW w:w="1860" w:type="dxa"/>
            <w:vAlign w:val="bottom"/>
          </w:tcPr>
          <w:p>
            <w:pPr>
              <w:jc w:val="center"/>
              <w:ind w:left="644"/>
              <w:spacing w:after="0"/>
              <w:rPr>
                <w:sz w:val="20"/>
                <w:szCs w:val="20"/>
                <w:color w:val="auto"/>
              </w:rPr>
            </w:pPr>
            <w:r>
              <w:rPr>
                <w:rFonts w:ascii="Arial" w:cs="Arial" w:eastAsia="Arial" w:hAnsi="Arial"/>
                <w:sz w:val="13"/>
                <w:szCs w:val="13"/>
                <w:b w:val="1"/>
                <w:bCs w:val="1"/>
                <w:color w:val="auto"/>
              </w:rPr>
              <w:t>(Zip Code)</w:t>
            </w:r>
          </w:p>
        </w:tc>
      </w:tr>
    </w:tbl>
    <w:p>
      <w:pPr>
        <w:spacing w:after="0" w:line="39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(703) 988-8500</w:t>
      </w: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240030</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46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9"/>
              </w:rPr>
              <w:t>Trading</w:t>
            </w:r>
          </w:p>
        </w:tc>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21"/>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Title of each class</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Symbol(s)</w:t>
            </w:r>
          </w:p>
        </w:tc>
        <w:tc>
          <w:tcPr>
            <w:tcW w:w="80" w:type="dxa"/>
            <w:vAlign w:val="bottom"/>
          </w:tcPr>
          <w:p>
            <w:pPr>
              <w:spacing w:after="0"/>
              <w:rPr>
                <w:sz w:val="19"/>
                <w:szCs w:val="19"/>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color w:val="auto"/>
                <w:w w:val="99"/>
              </w:rPr>
              <w:t>Common Stock, $1 par value</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PSN</w:t>
            </w:r>
          </w:p>
        </w:tc>
        <w:tc>
          <w:tcPr>
            <w:tcW w:w="8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161" w:lineRule="exact"/>
        <w:rPr>
          <w:sz w:val="24"/>
          <w:szCs w:val="24"/>
          <w:color w:val="auto"/>
        </w:rPr>
      </w:pPr>
    </w:p>
    <w:p>
      <w:pPr>
        <w:ind w:right="60"/>
        <w:spacing w:after="0" w:line="301"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right="340"/>
        <w:spacing w:after="0" w:line="22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612775</wp:posOffset>
            </wp:positionV>
            <wp:extent cx="70377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119380</wp:posOffset>
            </wp:positionV>
            <wp:extent cx="6172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1230" w:right="1099" w:bottom="1148"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April 29, 2026, Parson Corporation (the “Company”) issued a press release announcing its financial results for the quarter ended March 31, 2026 and certain other financial information. A copy of the press release is attached to this Form 8-K as Exhibit 99.1</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as part of this Report pursuant to Item 2.02</w:t>
      </w:r>
    </w:p>
    <w:p>
      <w:pPr>
        <w:spacing w:after="0" w:line="19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u w:val="single" w:color="auto"/>
          <w:color w:val="0000FF"/>
        </w:rPr>
        <w:t>Press Release Dated April 29, 2026, announcing the Company’s financial results for the quarter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-7620</wp:posOffset>
            </wp:positionV>
            <wp:extent cx="57537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3735" cy="825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u w:val="single" w:color="auto"/>
          <w:color w:val="0000FF"/>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-19050</wp:posOffset>
            </wp:positionV>
            <wp:extent cx="2857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16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Cover Page Interactive Data File (embedded within the Inline XBRL document)</w:t>
      </w:r>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information disclosed pursuant to Items 2.02 and 9.01 in this Current Report on Form 8-K, including the exhibit, shall not be deemed “filed” for the purposes of Section 18 of the Securities Act of 1934, as amended, or otherwise subject to the liabilities of that section. Furthermore, the information disclosed pursuant to Items 2.02 and 9.01 of this Current Report on Form 8-K, including the exhibit, shall not be deemed incorporated by reference in any filing under the Securities Act of 1933, as amended,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454025</wp:posOffset>
            </wp:positionV>
            <wp:extent cx="70377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093" w:right="1119" w:bottom="1440" w:gutter="0" w:footer="0" w:header="0"/>
        </w:sectPr>
      </w:pPr>
    </w:p>
    <w:bookmarkStart w:id="2" w:name="page3"/>
    <w:bookmarkEnd w:id="2"/>
    <w:p>
      <w:pPr>
        <w:jc w:val="center"/>
        <w:ind w:right="-360"/>
        <w:spacing w:after="0"/>
        <w:rPr>
          <w:sz w:val="20"/>
          <w:szCs w:val="20"/>
          <w:color w:val="auto"/>
        </w:rPr>
      </w:pPr>
      <w:r>
        <w:rPr>
          <w:rFonts w:ascii="Arial" w:cs="Arial" w:eastAsia="Arial" w:hAnsi="Arial"/>
          <w:sz w:val="18"/>
          <w:szCs w:val="18"/>
          <w:b w:val="1"/>
          <w:bCs w:val="1"/>
          <w:color w:val="auto"/>
        </w:rPr>
        <w:t>SIGNATURES</w:t>
      </w:r>
    </w:p>
    <w:p>
      <w:pPr>
        <w:spacing w:after="0" w:line="158" w:lineRule="exact"/>
        <w:rPr>
          <w:sz w:val="20"/>
          <w:szCs w:val="20"/>
          <w:color w:val="auto"/>
        </w:rPr>
      </w:pPr>
    </w:p>
    <w:p>
      <w:pPr>
        <w:ind w:right="9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Parsons Corporation</w:t>
      </w:r>
    </w:p>
    <w:p>
      <w:pPr>
        <w:spacing w:after="0" w:line="360" w:lineRule="exact"/>
        <w:rPr>
          <w:sz w:val="20"/>
          <w:szCs w:val="20"/>
          <w:color w:val="auto"/>
        </w:rPr>
      </w:pPr>
    </w:p>
    <w:p>
      <w:pPr>
        <w:spacing w:after="0"/>
        <w:tabs>
          <w:tab w:leader="none" w:pos="580" w:val="left"/>
          <w:tab w:leader="none" w:pos="4860" w:val="left"/>
          <w:tab w:leader="none" w:pos="6620" w:val="left"/>
        </w:tabs>
        <w:rPr>
          <w:sz w:val="20"/>
          <w:szCs w:val="20"/>
          <w:color w:val="auto"/>
        </w:rPr>
      </w:pPr>
      <w:r>
        <w:rPr>
          <w:rFonts w:ascii="Arial" w:cs="Arial" w:eastAsia="Arial" w:hAnsi="Arial"/>
          <w:sz w:val="18"/>
          <w:szCs w:val="18"/>
          <w:color w:val="auto"/>
        </w:rPr>
        <w:t>Date:</w:t>
        <w:tab/>
        <w:t>April 29,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3336925</wp:posOffset>
            </wp:positionH>
            <wp:positionV relativeFrom="paragraph">
              <wp:posOffset>8890</wp:posOffset>
            </wp:positionV>
            <wp:extent cx="28371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12" w:lineRule="exact"/>
        <w:rPr>
          <w:sz w:val="20"/>
          <w:szCs w:val="20"/>
          <w:color w:val="auto"/>
        </w:rPr>
      </w:pPr>
    </w:p>
    <w:p>
      <w:pPr>
        <w:jc w:val="center"/>
        <w:ind w:left="5240"/>
        <w:spacing w:after="0"/>
        <w:rPr>
          <w:sz w:val="20"/>
          <w:szCs w:val="20"/>
          <w:color w:val="auto"/>
        </w:rPr>
      </w:pPr>
      <w:r>
        <w:rPr>
          <w:rFonts w:ascii="Arial" w:cs="Arial" w:eastAsia="Arial" w:hAnsi="Arial"/>
          <w:sz w:val="18"/>
          <w:szCs w:val="18"/>
          <w:color w:val="auto"/>
        </w:rPr>
        <w:t>Matthew M. Ofilos</w:t>
      </w:r>
    </w:p>
    <w:p>
      <w:pPr>
        <w:spacing w:after="0" w:line="4" w:lineRule="exact"/>
        <w:rPr>
          <w:sz w:val="20"/>
          <w:szCs w:val="20"/>
          <w:color w:val="auto"/>
        </w:rPr>
      </w:pPr>
    </w:p>
    <w:p>
      <w:pPr>
        <w:jc w:val="center"/>
        <w:ind w:left="52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704850</wp:posOffset>
            </wp:positionV>
            <wp:extent cx="70377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769" w:right="1440" w:bottom="1440" w:gutter="0" w:footer="0" w:header="0"/>
        </w:sectPr>
      </w:pPr>
    </w:p>
    <w:bookmarkStart w:id="3" w:name="page4"/>
    <w:bookmarkEnd w:id="3"/>
    <w:p>
      <w:pPr>
        <w:ind w:left="9100"/>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17145</wp:posOffset>
            </wp:positionV>
            <wp:extent cx="7037705" cy="96742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7705" cy="9674225"/>
                    </a:xfrm>
                    <a:prstGeom prst="rect">
                      <a:avLst/>
                    </a:prstGeom>
                    <a:noFill/>
                  </pic:spPr>
                </pic:pic>
              </a:graphicData>
            </a:graphic>
          </wp:anchor>
        </w:drawing>
      </w:r>
    </w:p>
    <w:p>
      <w:pPr>
        <w:sectPr>
          <w:pgSz w:w="11900" w:h="16838" w:orient="portrait"/>
          <w:cols w:equalWidth="0" w:num="1">
            <w:col w:w="10000"/>
          </w:cols>
          <w:pgMar w:left="1440" w:top="121" w:right="459" w:bottom="1440" w:gutter="0" w:footer="0" w:header="0"/>
        </w:sectPr>
      </w:pPr>
    </w:p>
    <w:bookmarkStart w:id="4" w:name="page5"/>
    <w:bookmarkEnd w:id="4"/>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637540</wp:posOffset>
            </wp:positionV>
            <wp:extent cx="6000750"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22885"/>
                    </a:xfrm>
                    <a:prstGeom prst="rect">
                      <a:avLst/>
                    </a:prstGeom>
                    <a:noFill/>
                  </pic:spPr>
                </pic:pic>
              </a:graphicData>
            </a:graphic>
          </wp:anchor>
        </w:drawing>
      </w:r>
    </w:p>
    <w:p>
      <w:pPr>
        <w:ind w:left="1326"/>
        <w:spacing w:after="0"/>
        <w:rPr>
          <w:sz w:val="20"/>
          <w:szCs w:val="20"/>
          <w:color w:val="auto"/>
        </w:rPr>
      </w:pPr>
      <w:r>
        <w:rPr>
          <w:rFonts w:ascii="Arial" w:cs="Arial" w:eastAsia="Arial" w:hAnsi="Arial"/>
          <w:sz w:val="32"/>
          <w:szCs w:val="32"/>
          <w:b w:val="1"/>
          <w:bCs w:val="1"/>
          <w:color w:val="097538"/>
        </w:rPr>
        <w:t>Parsons Reports First Quarter 2026 Results</w:t>
      </w:r>
    </w:p>
    <w:p>
      <w:pPr>
        <w:spacing w:after="0" w:line="110"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0052CC"/>
        </w:rPr>
        <w:t>Q1 2026 Financial Highlights</w:t>
      </w:r>
    </w:p>
    <w:p>
      <w:pPr>
        <w:spacing w:after="0" w:line="83" w:lineRule="exact"/>
        <w:rPr>
          <w:sz w:val="20"/>
          <w:szCs w:val="20"/>
          <w:color w:val="auto"/>
        </w:rPr>
      </w:pPr>
    </w:p>
    <w:p>
      <w:pPr>
        <w:ind w:left="326" w:hanging="326"/>
        <w:spacing w:after="0"/>
        <w:tabs>
          <w:tab w:leader="none" w:pos="326" w:val="left"/>
        </w:tabs>
        <w:numPr>
          <w:ilvl w:val="0"/>
          <w:numId w:val="2"/>
        </w:numPr>
        <w:rPr>
          <w:rFonts w:ascii="Times New Roman" w:cs="Times New Roman" w:eastAsia="Times New Roman" w:hAnsi="Times New Roman"/>
          <w:sz w:val="18"/>
          <w:szCs w:val="18"/>
          <w:color w:val="0052CC"/>
        </w:rPr>
      </w:pPr>
      <w:r>
        <w:rPr>
          <w:rFonts w:ascii="Arial" w:cs="Arial" w:eastAsia="Arial" w:hAnsi="Arial"/>
          <w:sz w:val="18"/>
          <w:szCs w:val="18"/>
          <w:color w:val="auto"/>
        </w:rPr>
        <w:t>Q1 revenue of $1.5 billion decreased 4% year-over-year and 8% on an organic basis</w:t>
      </w:r>
    </w:p>
    <w:p>
      <w:pPr>
        <w:spacing w:after="0" w:line="62" w:lineRule="exact"/>
        <w:rPr>
          <w:rFonts w:ascii="Times New Roman" w:cs="Times New Roman" w:eastAsia="Times New Roman" w:hAnsi="Times New Roman"/>
          <w:sz w:val="18"/>
          <w:szCs w:val="18"/>
          <w:color w:val="0052CC"/>
        </w:rPr>
      </w:pPr>
    </w:p>
    <w:p>
      <w:pPr>
        <w:ind w:left="326" w:hanging="326"/>
        <w:spacing w:after="0"/>
        <w:tabs>
          <w:tab w:leader="none" w:pos="326" w:val="left"/>
        </w:tabs>
        <w:numPr>
          <w:ilvl w:val="0"/>
          <w:numId w:val="2"/>
        </w:numPr>
        <w:rPr>
          <w:rFonts w:ascii="Times New Roman" w:cs="Times New Roman" w:eastAsia="Times New Roman" w:hAnsi="Times New Roman"/>
          <w:sz w:val="18"/>
          <w:szCs w:val="18"/>
          <w:color w:val="0052CC"/>
        </w:rPr>
      </w:pPr>
      <w:r>
        <w:rPr>
          <w:rFonts w:ascii="Arial" w:cs="Arial" w:eastAsia="Arial" w:hAnsi="Arial"/>
          <w:sz w:val="18"/>
          <w:szCs w:val="18"/>
          <w:color w:val="auto"/>
        </w:rPr>
        <w:t>Revenue growth of 8% excluding confidential contract; 3% on an organic basis</w:t>
      </w:r>
    </w:p>
    <w:p>
      <w:pPr>
        <w:spacing w:after="0" w:line="62" w:lineRule="exact"/>
        <w:rPr>
          <w:rFonts w:ascii="Times New Roman" w:cs="Times New Roman" w:eastAsia="Times New Roman" w:hAnsi="Times New Roman"/>
          <w:sz w:val="18"/>
          <w:szCs w:val="18"/>
          <w:color w:val="0052CC"/>
        </w:rPr>
      </w:pPr>
    </w:p>
    <w:p>
      <w:pPr>
        <w:ind w:left="326" w:hanging="326"/>
        <w:spacing w:after="0"/>
        <w:tabs>
          <w:tab w:leader="none" w:pos="326" w:val="left"/>
        </w:tabs>
        <w:numPr>
          <w:ilvl w:val="0"/>
          <w:numId w:val="2"/>
        </w:numPr>
        <w:rPr>
          <w:rFonts w:ascii="Times New Roman" w:cs="Times New Roman" w:eastAsia="Times New Roman" w:hAnsi="Times New Roman"/>
          <w:sz w:val="18"/>
          <w:szCs w:val="18"/>
          <w:color w:val="0052CC"/>
        </w:rPr>
      </w:pPr>
      <w:r>
        <w:rPr>
          <w:rFonts w:ascii="Arial" w:cs="Arial" w:eastAsia="Arial" w:hAnsi="Arial"/>
          <w:sz w:val="18"/>
          <w:szCs w:val="18"/>
          <w:color w:val="auto"/>
        </w:rPr>
        <w:t>Net income of $53 million decreased $13 million year-over-year</w:t>
      </w:r>
    </w:p>
    <w:p>
      <w:pPr>
        <w:spacing w:after="0" w:line="62" w:lineRule="exact"/>
        <w:rPr>
          <w:rFonts w:ascii="Times New Roman" w:cs="Times New Roman" w:eastAsia="Times New Roman" w:hAnsi="Times New Roman"/>
          <w:sz w:val="18"/>
          <w:szCs w:val="18"/>
          <w:color w:val="0052CC"/>
        </w:rPr>
      </w:pPr>
    </w:p>
    <w:p>
      <w:pPr>
        <w:ind w:left="326" w:hanging="326"/>
        <w:spacing w:after="0"/>
        <w:tabs>
          <w:tab w:leader="none" w:pos="326" w:val="left"/>
        </w:tabs>
        <w:numPr>
          <w:ilvl w:val="0"/>
          <w:numId w:val="2"/>
        </w:numPr>
        <w:rPr>
          <w:rFonts w:ascii="Times New Roman" w:cs="Times New Roman" w:eastAsia="Times New Roman" w:hAnsi="Times New Roman"/>
          <w:sz w:val="18"/>
          <w:szCs w:val="18"/>
          <w:color w:val="0052CC"/>
        </w:rPr>
      </w:pPr>
      <w:r>
        <w:rPr>
          <w:rFonts w:ascii="Arial" w:cs="Arial" w:eastAsia="Arial" w:hAnsi="Arial"/>
          <w:sz w:val="18"/>
          <w:szCs w:val="18"/>
          <w:color w:val="auto"/>
        </w:rPr>
        <w:t>Adjusted EBITDA increased 1% to $151 million, a Q1 record</w:t>
      </w:r>
    </w:p>
    <w:p>
      <w:pPr>
        <w:spacing w:after="0" w:line="62" w:lineRule="exact"/>
        <w:rPr>
          <w:rFonts w:ascii="Times New Roman" w:cs="Times New Roman" w:eastAsia="Times New Roman" w:hAnsi="Times New Roman"/>
          <w:sz w:val="18"/>
          <w:szCs w:val="18"/>
          <w:color w:val="0052CC"/>
        </w:rPr>
      </w:pPr>
    </w:p>
    <w:p>
      <w:pPr>
        <w:ind w:left="326" w:hanging="326"/>
        <w:spacing w:after="0"/>
        <w:tabs>
          <w:tab w:leader="none" w:pos="326" w:val="left"/>
        </w:tabs>
        <w:numPr>
          <w:ilvl w:val="0"/>
          <w:numId w:val="2"/>
        </w:numPr>
        <w:rPr>
          <w:rFonts w:ascii="Times New Roman" w:cs="Times New Roman" w:eastAsia="Times New Roman" w:hAnsi="Times New Roman"/>
          <w:sz w:val="18"/>
          <w:szCs w:val="18"/>
          <w:color w:val="0052CC"/>
        </w:rPr>
      </w:pPr>
      <w:r>
        <w:rPr>
          <w:rFonts w:ascii="Arial" w:cs="Arial" w:eastAsia="Arial" w:hAnsi="Arial"/>
          <w:sz w:val="18"/>
          <w:szCs w:val="18"/>
          <w:color w:val="auto"/>
        </w:rPr>
        <w:t>Adjusted EBITDA margin expanded 50 basis points to a record 10.1%</w:t>
      </w:r>
    </w:p>
    <w:p>
      <w:pPr>
        <w:spacing w:after="0" w:line="62" w:lineRule="exact"/>
        <w:rPr>
          <w:rFonts w:ascii="Times New Roman" w:cs="Times New Roman" w:eastAsia="Times New Roman" w:hAnsi="Times New Roman"/>
          <w:sz w:val="18"/>
          <w:szCs w:val="18"/>
          <w:color w:val="0052CC"/>
        </w:rPr>
      </w:pPr>
    </w:p>
    <w:p>
      <w:pPr>
        <w:ind w:left="326" w:hanging="326"/>
        <w:spacing w:after="0"/>
        <w:tabs>
          <w:tab w:leader="none" w:pos="326" w:val="left"/>
        </w:tabs>
        <w:numPr>
          <w:ilvl w:val="0"/>
          <w:numId w:val="2"/>
        </w:numPr>
        <w:rPr>
          <w:rFonts w:ascii="Times New Roman" w:cs="Times New Roman" w:eastAsia="Times New Roman" w:hAnsi="Times New Roman"/>
          <w:sz w:val="18"/>
          <w:szCs w:val="18"/>
          <w:color w:val="0052CC"/>
        </w:rPr>
      </w:pPr>
      <w:r>
        <w:rPr>
          <w:rFonts w:ascii="Arial" w:cs="Arial" w:eastAsia="Arial" w:hAnsi="Arial"/>
          <w:sz w:val="18"/>
          <w:szCs w:val="18"/>
          <w:color w:val="auto"/>
        </w:rPr>
        <w:t>Cash flow used in operating activities of $4 million, a Q1 record</w:t>
      </w:r>
    </w:p>
    <w:p>
      <w:pPr>
        <w:spacing w:after="0" w:line="62" w:lineRule="exact"/>
        <w:rPr>
          <w:rFonts w:ascii="Times New Roman" w:cs="Times New Roman" w:eastAsia="Times New Roman" w:hAnsi="Times New Roman"/>
          <w:sz w:val="18"/>
          <w:szCs w:val="18"/>
          <w:color w:val="0052CC"/>
        </w:rPr>
      </w:pPr>
    </w:p>
    <w:p>
      <w:pPr>
        <w:ind w:left="326" w:right="260" w:hanging="326"/>
        <w:spacing w:after="0" w:line="265" w:lineRule="auto"/>
        <w:tabs>
          <w:tab w:leader="none" w:pos="326" w:val="left"/>
        </w:tabs>
        <w:numPr>
          <w:ilvl w:val="0"/>
          <w:numId w:val="2"/>
        </w:numPr>
        <w:rPr>
          <w:rFonts w:ascii="Times New Roman" w:cs="Times New Roman" w:eastAsia="Times New Roman" w:hAnsi="Times New Roman"/>
          <w:sz w:val="18"/>
          <w:szCs w:val="18"/>
          <w:color w:val="0052CC"/>
        </w:rPr>
      </w:pPr>
      <w:r>
        <w:rPr>
          <w:rFonts w:ascii="Arial" w:cs="Arial" w:eastAsia="Arial" w:hAnsi="Arial"/>
          <w:sz w:val="18"/>
          <w:szCs w:val="18"/>
          <w:color w:val="auto"/>
        </w:rPr>
        <w:t>Book-to-bill ratio of 1.4x in both segments extends company streak of TTM book-to-bill ratio of 1.0x or greater in every quarter since IPO</w:t>
      </w:r>
    </w:p>
    <w:p>
      <w:pPr>
        <w:spacing w:after="0" w:line="1" w:lineRule="exact"/>
        <w:rPr>
          <w:rFonts w:ascii="Times New Roman" w:cs="Times New Roman" w:eastAsia="Times New Roman" w:hAnsi="Times New Roman"/>
          <w:sz w:val="18"/>
          <w:szCs w:val="18"/>
          <w:color w:val="0052CC"/>
        </w:rPr>
      </w:pPr>
    </w:p>
    <w:p>
      <w:pPr>
        <w:ind w:left="326" w:hanging="326"/>
        <w:spacing w:after="0"/>
        <w:tabs>
          <w:tab w:leader="none" w:pos="326" w:val="left"/>
        </w:tabs>
        <w:numPr>
          <w:ilvl w:val="0"/>
          <w:numId w:val="2"/>
        </w:numPr>
        <w:rPr>
          <w:rFonts w:ascii="Times New Roman" w:cs="Times New Roman" w:eastAsia="Times New Roman" w:hAnsi="Times New Roman"/>
          <w:sz w:val="18"/>
          <w:szCs w:val="18"/>
          <w:color w:val="0052CC"/>
        </w:rPr>
      </w:pPr>
      <w:r>
        <w:rPr>
          <w:rFonts w:ascii="Arial" w:cs="Arial" w:eastAsia="Arial" w:hAnsi="Arial"/>
          <w:sz w:val="18"/>
          <w:szCs w:val="18"/>
          <w:color w:val="auto"/>
        </w:rPr>
        <w:t>Total and funded backlog increased to a record $9.3 billion and $6.6 billion, respectively</w:t>
      </w:r>
    </w:p>
    <w:p>
      <w:pPr>
        <w:spacing w:after="0" w:line="62" w:lineRule="exact"/>
        <w:rPr>
          <w:rFonts w:ascii="Times New Roman" w:cs="Times New Roman" w:eastAsia="Times New Roman" w:hAnsi="Times New Roman"/>
          <w:sz w:val="18"/>
          <w:szCs w:val="18"/>
          <w:color w:val="0052CC"/>
        </w:rPr>
      </w:pPr>
    </w:p>
    <w:p>
      <w:pPr>
        <w:ind w:left="326" w:hanging="326"/>
        <w:spacing w:after="0"/>
        <w:tabs>
          <w:tab w:leader="none" w:pos="326" w:val="left"/>
        </w:tabs>
        <w:numPr>
          <w:ilvl w:val="0"/>
          <w:numId w:val="2"/>
        </w:numPr>
        <w:rPr>
          <w:rFonts w:ascii="Times New Roman" w:cs="Times New Roman" w:eastAsia="Times New Roman" w:hAnsi="Times New Roman"/>
          <w:sz w:val="18"/>
          <w:szCs w:val="18"/>
          <w:color w:val="0052CC"/>
        </w:rPr>
      </w:pPr>
      <w:r>
        <w:rPr>
          <w:rFonts w:ascii="Arial" w:cs="Arial" w:eastAsia="Arial" w:hAnsi="Arial"/>
          <w:sz w:val="18"/>
          <w:szCs w:val="18"/>
          <w:color w:val="auto"/>
        </w:rPr>
        <w:t>Reiterating fiscal year 2026 guidance ranges</w:t>
      </w:r>
    </w:p>
    <w:p>
      <w:pPr>
        <w:spacing w:after="0" w:line="130" w:lineRule="exact"/>
        <w:rPr>
          <w:sz w:val="20"/>
          <w:szCs w:val="20"/>
          <w:color w:val="auto"/>
        </w:rPr>
      </w:pPr>
    </w:p>
    <w:p>
      <w:pPr>
        <w:ind w:left="6" w:right="40"/>
        <w:spacing w:after="0" w:line="271" w:lineRule="auto"/>
        <w:rPr>
          <w:sz w:val="20"/>
          <w:szCs w:val="20"/>
          <w:color w:val="auto"/>
        </w:rPr>
      </w:pPr>
      <w:r>
        <w:rPr>
          <w:rFonts w:ascii="Arial" w:cs="Arial" w:eastAsia="Arial" w:hAnsi="Arial"/>
          <w:sz w:val="18"/>
          <w:szCs w:val="18"/>
          <w:color w:val="auto"/>
        </w:rPr>
        <w:t>Chantilly, VA – April 29, 2026 Parsons Corporation (NYSE: PSN) today announced financial results for the first quarter ended March 31, 2026.</w:t>
      </w:r>
    </w:p>
    <w:p>
      <w:pPr>
        <w:spacing w:after="0" w:line="26"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0052CC"/>
        </w:rPr>
        <w:t>CEO Commentary</w:t>
      </w:r>
    </w:p>
    <w:p>
      <w:pPr>
        <w:spacing w:after="0" w:line="83" w:lineRule="exact"/>
        <w:rPr>
          <w:sz w:val="20"/>
          <w:szCs w:val="20"/>
          <w:color w:val="auto"/>
        </w:rPr>
      </w:pPr>
    </w:p>
    <w:p>
      <w:pPr>
        <w:ind w:left="6"/>
        <w:spacing w:after="0" w:line="242" w:lineRule="auto"/>
        <w:rPr>
          <w:sz w:val="20"/>
          <w:szCs w:val="20"/>
          <w:color w:val="auto"/>
        </w:rPr>
      </w:pPr>
      <w:r>
        <w:rPr>
          <w:rFonts w:ascii="Arial" w:cs="Arial" w:eastAsia="Arial" w:hAnsi="Arial"/>
          <w:sz w:val="18"/>
          <w:szCs w:val="18"/>
          <w:color w:val="auto"/>
        </w:rPr>
        <w:t>“Our first quarter results highlighted the resilience of our business and our team's high level of execution, as we delivered our highest adjusted EBITDA margin ever, reached record levels for both total and funded backlog, achieved a robust book-to-bill ratio of 1.4x in both segments, and generated record first quarter cash flow. Revenue performance was in line with our expectations, and we continued to complement our organic growth with strategic, accretive acquisitions that enhance our differentiation and drive long-term shareholder value," said Carey Smith, chair, president, and chief executive officer.</w:t>
      </w:r>
    </w:p>
    <w:p>
      <w:pPr>
        <w:spacing w:after="0" w:line="111" w:lineRule="exact"/>
        <w:rPr>
          <w:sz w:val="20"/>
          <w:szCs w:val="20"/>
          <w:color w:val="auto"/>
        </w:rPr>
      </w:pPr>
    </w:p>
    <w:p>
      <w:pPr>
        <w:ind w:left="6" w:right="120"/>
        <w:spacing w:after="0"/>
        <w:rPr>
          <w:sz w:val="20"/>
          <w:szCs w:val="20"/>
          <w:color w:val="auto"/>
        </w:rPr>
      </w:pPr>
      <w:r>
        <w:rPr>
          <w:rFonts w:ascii="Arial" w:cs="Arial" w:eastAsia="Arial" w:hAnsi="Arial"/>
          <w:sz w:val="18"/>
          <w:szCs w:val="18"/>
          <w:color w:val="auto"/>
        </w:rPr>
        <w:t>"Looking forward, we are very optimistic about our future. There is increasing global demand for both defense and infrastructure. Our ability to deliver operationally relevant solutions with speed, digitally transform our offerings, and leverage non-traditional commercial business models enables us to uniquely meet our customers’ critical needs. We have a unique and synergistic Critical Infrastructure and Federal Solutions portfolio, consisting of six growing, profitable, and enduring end-markets. With our record total and funded backlog, robust pipeline of large opportunities, strong win rates, and $11 billion in awarded contracts not yet booked, we believe we are well positioned to deliver for our customers and shareholders."</w:t>
      </w:r>
    </w:p>
    <w:p>
      <w:pPr>
        <w:spacing w:after="0" w:line="98"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0052CC"/>
        </w:rPr>
        <w:t>First Quarter 2026 Results</w:t>
      </w:r>
    </w:p>
    <w:p>
      <w:pPr>
        <w:spacing w:after="0" w:line="9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Year-over-Year Comparisons (Q1 2026 vs. Q1 2025)</w:t>
      </w:r>
    </w:p>
    <w:p>
      <w:pPr>
        <w:spacing w:after="0" w:line="63" w:lineRule="exact"/>
        <w:rPr>
          <w:sz w:val="20"/>
          <w:szCs w:val="20"/>
          <w:color w:val="auto"/>
        </w:rPr>
      </w:pPr>
    </w:p>
    <w:p>
      <w:pPr>
        <w:ind w:left="6"/>
        <w:spacing w:after="0"/>
        <w:rPr>
          <w:sz w:val="20"/>
          <w:szCs w:val="20"/>
          <w:color w:val="auto"/>
        </w:rPr>
      </w:pPr>
      <w:r>
        <w:rPr>
          <w:rFonts w:ascii="Arial" w:cs="Arial" w:eastAsia="Arial" w:hAnsi="Arial"/>
          <w:sz w:val="18"/>
          <w:szCs w:val="18"/>
          <w:color w:val="auto"/>
        </w:rPr>
        <w:t>Total revenue for the first quarter of 2026 decreased by $63 million, or 4%, to $1.5 billion and was down 8% on an</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color w:val="auto"/>
        </w:rPr>
        <w:t>organic basis. Excluding the company's confidential contract, total revenue increased 8% and organic revenue</w:t>
      </w:r>
    </w:p>
    <w:p>
      <w:pPr>
        <w:ind w:left="6"/>
        <w:spacing w:after="0"/>
        <w:rPr>
          <w:sz w:val="20"/>
          <w:szCs w:val="20"/>
          <w:color w:val="auto"/>
        </w:rPr>
      </w:pPr>
      <w:r>
        <w:rPr>
          <w:rFonts w:ascii="Arial" w:cs="Arial" w:eastAsia="Arial" w:hAnsi="Arial"/>
          <w:sz w:val="17"/>
          <w:szCs w:val="17"/>
          <w:color w:val="auto"/>
        </w:rPr>
        <w:t>increased 3% driven by growth in the company's Critical Infrastructure and Protection, Space and Missile Defense, and</w:t>
      </w:r>
    </w:p>
    <w:p>
      <w:pPr>
        <w:spacing w:after="0" w:line="3" w:lineRule="exact"/>
        <w:rPr>
          <w:sz w:val="20"/>
          <w:szCs w:val="20"/>
          <w:color w:val="auto"/>
        </w:rPr>
      </w:pPr>
    </w:p>
    <w:p>
      <w:pPr>
        <w:ind w:left="6"/>
        <w:spacing w:after="0"/>
        <w:rPr>
          <w:sz w:val="20"/>
          <w:szCs w:val="20"/>
          <w:color w:val="auto"/>
        </w:rPr>
      </w:pPr>
      <w:r>
        <w:rPr>
          <w:rFonts w:ascii="Arial" w:cs="Arial" w:eastAsia="Arial" w:hAnsi="Arial"/>
          <w:sz w:val="18"/>
          <w:szCs w:val="18"/>
          <w:color w:val="auto"/>
        </w:rPr>
        <w:t>Transportation markets. Operating income decreased 12% to $96 million primarily due to lower volume on the</w:t>
      </w:r>
    </w:p>
    <w:p>
      <w:pPr>
        <w:ind w:left="6"/>
        <w:spacing w:after="0" w:line="234" w:lineRule="auto"/>
        <w:rPr>
          <w:sz w:val="20"/>
          <w:szCs w:val="20"/>
          <w:color w:val="auto"/>
        </w:rPr>
      </w:pPr>
      <w:r>
        <w:rPr>
          <w:rFonts w:ascii="Arial" w:cs="Arial" w:eastAsia="Arial" w:hAnsi="Arial"/>
          <w:sz w:val="18"/>
          <w:szCs w:val="18"/>
          <w:color w:val="auto"/>
        </w:rPr>
        <w:t>company's fixed-price confidential contract, and higher acquisition-related expenses. Net income decreased 20% to</w:t>
      </w:r>
    </w:p>
    <w:p>
      <w:pPr>
        <w:ind w:left="6"/>
        <w:spacing w:after="0" w:line="235" w:lineRule="auto"/>
        <w:rPr>
          <w:sz w:val="20"/>
          <w:szCs w:val="20"/>
          <w:color w:val="auto"/>
        </w:rPr>
      </w:pPr>
      <w:r>
        <w:rPr>
          <w:rFonts w:ascii="Arial" w:cs="Arial" w:eastAsia="Arial" w:hAnsi="Arial"/>
          <w:sz w:val="18"/>
          <w:szCs w:val="18"/>
          <w:color w:val="auto"/>
        </w:rPr>
        <w:t>$53 million due to the items noted above. GAAP diluted earnings per share (EPS) attributable to Parsons was $0.49 in</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first quarter of 2026, compared to $0.60 in the prior year period.</w:t>
      </w:r>
    </w:p>
    <w:p>
      <w:pPr>
        <w:spacing w:after="0" w:line="99" w:lineRule="exact"/>
        <w:rPr>
          <w:sz w:val="20"/>
          <w:szCs w:val="20"/>
          <w:color w:val="auto"/>
        </w:rPr>
      </w:pPr>
    </w:p>
    <w:p>
      <w:pPr>
        <w:ind w:left="6" w:right="120"/>
        <w:spacing w:after="0" w:line="242" w:lineRule="auto"/>
        <w:rPr>
          <w:sz w:val="20"/>
          <w:szCs w:val="20"/>
          <w:color w:val="auto"/>
        </w:rPr>
      </w:pPr>
      <w:r>
        <w:rPr>
          <w:rFonts w:ascii="Arial" w:cs="Arial" w:eastAsia="Arial" w:hAnsi="Arial"/>
          <w:sz w:val="18"/>
          <w:szCs w:val="18"/>
          <w:color w:val="auto"/>
        </w:rPr>
        <w:t>Adjusted EBITDA including noncontrolling interests for the first quarter of 2026 was $151 million, a 1% increase over the prior year period. Adjusted EBITDA margin expanded 50 basis points to 10.1% compared to 9.6% in the first quarter of 2025. These increases were driven by improved execution and contributions from accretive acquisitions, offsetting lower revenue on the company's confidential contract. Adjusted diluted EPS was $0.79 in the first quarter of 2026, compared to $0.78 in the first quarter of 2025. The year-over-year adjusted diluted EPS increase was driven by the items that impacted adjusted EBITDA above.</w:t>
      </w:r>
    </w:p>
    <w:p>
      <w:pPr>
        <w:spacing w:after="0" w:line="102" w:lineRule="exact"/>
        <w:rPr>
          <w:sz w:val="20"/>
          <w:szCs w:val="20"/>
          <w:color w:val="auto"/>
        </w:rPr>
      </w:pPr>
    </w:p>
    <w:p>
      <w:pPr>
        <w:ind w:left="6"/>
        <w:spacing w:after="0"/>
        <w:tabs>
          <w:tab w:leader="none" w:pos="6026" w:val="left"/>
          <w:tab w:leader="none" w:pos="9346" w:val="left"/>
        </w:tabs>
        <w:rPr>
          <w:sz w:val="20"/>
          <w:szCs w:val="20"/>
          <w:color w:val="auto"/>
        </w:rPr>
      </w:pPr>
      <w:r>
        <w:rPr>
          <w:rFonts w:ascii="Arial" w:cs="Arial" w:eastAsia="Arial" w:hAnsi="Arial"/>
          <w:sz w:val="16"/>
          <w:szCs w:val="16"/>
          <w:color w:val="auto"/>
        </w:rPr>
        <w:t>parsons.com</w:t>
      </w:r>
      <w:r>
        <w:rPr>
          <w:sz w:val="20"/>
          <w:szCs w:val="20"/>
          <w:color w:val="auto"/>
        </w:rPr>
        <w:tab/>
      </w:r>
      <w:r>
        <w:rPr>
          <w:rFonts w:ascii="Arial" w:cs="Arial" w:eastAsia="Arial" w:hAnsi="Arial"/>
          <w:sz w:val="16"/>
          <w:szCs w:val="16"/>
          <w:color w:val="auto"/>
        </w:rPr>
        <w:t>©Parsons Corporation. All Rights Reserved.</w:t>
      </w:r>
      <w:r>
        <w:rPr>
          <w:sz w:val="20"/>
          <w:szCs w:val="20"/>
          <w:color w:val="auto"/>
        </w:rPr>
        <w:tab/>
      </w: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wp:posOffset>
            </wp:positionH>
            <wp:positionV relativeFrom="paragraph">
              <wp:posOffset>565150</wp:posOffset>
            </wp:positionV>
            <wp:extent cx="70377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446"/>
          </w:cols>
          <w:pgMar w:left="1214" w:top="1440" w:right="1239" w:bottom="1440" w:gutter="0" w:footer="0" w:header="0"/>
        </w:sectPr>
      </w:pPr>
    </w:p>
    <w:bookmarkStart w:id="5" w:name="page6"/>
    <w:bookmarkEnd w:id="5"/>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637540</wp:posOffset>
            </wp:positionV>
            <wp:extent cx="6000750"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22885"/>
                    </a:xfrm>
                    <a:prstGeom prst="rect">
                      <a:avLst/>
                    </a:prstGeom>
                    <a:noFill/>
                  </pic:spPr>
                </pic:pic>
              </a:graphicData>
            </a:graphic>
          </wp:anchor>
        </w:drawing>
      </w:r>
    </w:p>
    <w:p>
      <w:pPr>
        <w:ind w:left="6"/>
        <w:spacing w:after="0"/>
        <w:rPr>
          <w:sz w:val="20"/>
          <w:szCs w:val="20"/>
          <w:color w:val="auto"/>
        </w:rPr>
      </w:pPr>
      <w:r>
        <w:rPr>
          <w:rFonts w:ascii="Arial" w:cs="Arial" w:eastAsia="Arial" w:hAnsi="Arial"/>
          <w:sz w:val="32"/>
          <w:szCs w:val="32"/>
          <w:b w:val="1"/>
          <w:bCs w:val="1"/>
          <w:color w:val="097538"/>
        </w:rPr>
        <w:t>Segment Results</w:t>
      </w:r>
    </w:p>
    <w:p>
      <w:pPr>
        <w:spacing w:after="0" w:line="110"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0052CC"/>
        </w:rPr>
        <w:t>Critical Infrastructure Segment</w:t>
      </w:r>
    </w:p>
    <w:p>
      <w:pPr>
        <w:spacing w:after="0" w:line="83"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Critical Infrastructure Year-over-Year Comparisons (Q1 2026 vs. Q1 2025)</w:t>
      </w:r>
    </w:p>
    <w:p>
      <w:pPr>
        <w:spacing w:after="0" w:line="8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ind w:left="800"/>
              <w:spacing w:after="0"/>
              <w:rPr>
                <w:sz w:val="20"/>
                <w:szCs w:val="20"/>
                <w:color w:val="auto"/>
              </w:rPr>
            </w:pPr>
            <w:r>
              <w:rPr>
                <w:rFonts w:ascii="Arial" w:cs="Arial" w:eastAsia="Arial" w:hAnsi="Arial"/>
                <w:sz w:val="14"/>
                <w:szCs w:val="14"/>
                <w:b w:val="1"/>
                <w:bCs w:val="1"/>
                <w:color w:val="auto"/>
              </w:rPr>
              <w:t>Growth</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6"/>
        </w:trPr>
        <w:tc>
          <w:tcPr>
            <w:tcW w:w="2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ind w:left="80"/>
              <w:spacing w:after="0" w:line="147" w:lineRule="exact"/>
              <w:rPr>
                <w:sz w:val="20"/>
                <w:szCs w:val="20"/>
                <w:color w:val="auto"/>
              </w:rPr>
            </w:pPr>
            <w:r>
              <w:rPr>
                <w:rFonts w:ascii="Arial" w:cs="Arial" w:eastAsia="Arial" w:hAnsi="Arial"/>
                <w:sz w:val="14"/>
                <w:szCs w:val="14"/>
                <w:b w:val="1"/>
                <w:bCs w:val="1"/>
                <w:color w:val="auto"/>
              </w:rPr>
              <w:t>Dollars/</w:t>
            </w:r>
          </w:p>
        </w:tc>
        <w:tc>
          <w:tcPr>
            <w:tcW w:w="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71"/>
        </w:trPr>
        <w:tc>
          <w:tcPr>
            <w:tcW w:w="2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2025</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4"/>
                <w:szCs w:val="14"/>
                <w:color w:val="auto"/>
              </w:rPr>
            </w:pPr>
          </w:p>
        </w:tc>
      </w:tr>
      <w:tr>
        <w:trPr>
          <w:trHeight w:val="183"/>
        </w:trPr>
        <w:tc>
          <w:tcPr>
            <w:tcW w:w="28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w:t>
            </w:r>
          </w:p>
        </w:tc>
        <w:tc>
          <w:tcPr>
            <w:tcW w:w="1360" w:type="dxa"/>
            <w:vAlign w:val="bottom"/>
            <w:gridSpan w:val="2"/>
            <w:shd w:val="clear" w:color="auto" w:fill="CFF0FC"/>
          </w:tcPr>
          <w:p>
            <w:pPr>
              <w:jc w:val="right"/>
              <w:ind w:right="128"/>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732,828</w:t>
            </w:r>
          </w:p>
        </w:tc>
        <w:tc>
          <w:tcPr>
            <w:tcW w:w="22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168"/>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711,803</w:t>
            </w:r>
          </w:p>
        </w:tc>
        <w:tc>
          <w:tcPr>
            <w:tcW w:w="22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21,025</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3%</w:t>
            </w:r>
          </w:p>
        </w:tc>
      </w:tr>
      <w:tr>
        <w:trPr>
          <w:trHeight w:val="189"/>
        </w:trPr>
        <w:tc>
          <w:tcPr>
            <w:tcW w:w="2880" w:type="dxa"/>
            <w:vAlign w:val="bottom"/>
          </w:tcPr>
          <w:p>
            <w:pPr>
              <w:spacing w:after="0"/>
              <w:rPr>
                <w:sz w:val="20"/>
                <w:szCs w:val="20"/>
                <w:color w:val="auto"/>
              </w:rPr>
            </w:pPr>
            <w:r>
              <w:rPr>
                <w:rFonts w:ascii="Arial" w:cs="Arial" w:eastAsia="Arial" w:hAnsi="Arial"/>
                <w:sz w:val="16"/>
                <w:szCs w:val="16"/>
                <w:color w:val="auto"/>
              </w:rPr>
              <w:t>Adjusted EBITDA</w:t>
            </w:r>
          </w:p>
        </w:tc>
        <w:tc>
          <w:tcPr>
            <w:tcW w:w="1360" w:type="dxa"/>
            <w:vAlign w:val="bottom"/>
            <w:gridSpan w:val="2"/>
          </w:tcPr>
          <w:p>
            <w:pPr>
              <w:jc w:val="right"/>
              <w:ind w:right="128"/>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79,359</w:t>
            </w:r>
          </w:p>
        </w:tc>
        <w:tc>
          <w:tcPr>
            <w:tcW w:w="220" w:type="dxa"/>
            <w:vAlign w:val="bottom"/>
          </w:tcPr>
          <w:p>
            <w:pPr>
              <w:spacing w:after="0"/>
              <w:rPr>
                <w:sz w:val="16"/>
                <w:szCs w:val="16"/>
                <w:color w:val="auto"/>
              </w:rPr>
            </w:pPr>
          </w:p>
        </w:tc>
        <w:tc>
          <w:tcPr>
            <w:tcW w:w="400" w:type="dxa"/>
            <w:vAlign w:val="bottom"/>
            <w:gridSpan w:val="2"/>
          </w:tcPr>
          <w:p>
            <w:pPr>
              <w:jc w:val="right"/>
              <w:ind w:right="168"/>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73,193</w:t>
            </w:r>
          </w:p>
        </w:tc>
        <w:tc>
          <w:tcPr>
            <w:tcW w:w="220" w:type="dxa"/>
            <w:vAlign w:val="bottom"/>
          </w:tcPr>
          <w:p>
            <w:pPr>
              <w:spacing w:after="0"/>
              <w:rPr>
                <w:sz w:val="16"/>
                <w:szCs w:val="16"/>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6,166</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w:t>
            </w:r>
          </w:p>
        </w:tc>
      </w:tr>
      <w:tr>
        <w:trPr>
          <w:trHeight w:val="189"/>
        </w:trPr>
        <w:tc>
          <w:tcPr>
            <w:tcW w:w="2880" w:type="dxa"/>
            <w:vAlign w:val="bottom"/>
            <w:shd w:val="clear" w:color="auto" w:fill="CFF0FC"/>
          </w:tcPr>
          <w:p>
            <w:pPr>
              <w:spacing w:after="0"/>
              <w:rPr>
                <w:sz w:val="20"/>
                <w:szCs w:val="20"/>
                <w:color w:val="auto"/>
              </w:rPr>
            </w:pPr>
            <w:r>
              <w:rPr>
                <w:rFonts w:ascii="Arial" w:cs="Arial" w:eastAsia="Arial" w:hAnsi="Arial"/>
                <w:sz w:val="16"/>
                <w:szCs w:val="16"/>
                <w:color w:val="auto"/>
              </w:rPr>
              <w:t>Adjusted EBITDA margin</w:t>
            </w:r>
          </w:p>
        </w:tc>
        <w:tc>
          <w:tcPr>
            <w:tcW w:w="10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10.8%</w:t>
            </w:r>
          </w:p>
        </w:tc>
        <w:tc>
          <w:tcPr>
            <w:tcW w:w="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10.3%</w:t>
            </w: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0.5%</w:t>
            </w:r>
          </w:p>
        </w:tc>
        <w:tc>
          <w:tcPr>
            <w:tcW w:w="2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w:t>
            </w:r>
          </w:p>
        </w:tc>
      </w:tr>
    </w:tbl>
    <w:p>
      <w:pPr>
        <w:spacing w:after="0" w:line="292" w:lineRule="exact"/>
        <w:rPr>
          <w:sz w:val="20"/>
          <w:szCs w:val="20"/>
          <w:color w:val="auto"/>
        </w:rPr>
      </w:pPr>
    </w:p>
    <w:p>
      <w:pPr>
        <w:ind w:left="6" w:right="60"/>
        <w:spacing w:after="0" w:line="253" w:lineRule="auto"/>
        <w:rPr>
          <w:sz w:val="20"/>
          <w:szCs w:val="20"/>
          <w:color w:val="auto"/>
        </w:rPr>
      </w:pPr>
      <w:r>
        <w:rPr>
          <w:rFonts w:ascii="Arial" w:cs="Arial" w:eastAsia="Arial" w:hAnsi="Arial"/>
          <w:sz w:val="18"/>
          <w:szCs w:val="18"/>
          <w:color w:val="auto"/>
        </w:rPr>
        <w:t>First quarter 2026 Critical Infrastructure revenue increased $21 million, or 3%, from the first quarter of 2025. This increase was driven by organic growth of 2% and inorganic revenue contributions from the company's TRS Group and Applied Sciences acquisitions. Organic growth was primarily driven by the Global Transportation markets.</w:t>
      </w:r>
    </w:p>
    <w:p>
      <w:pPr>
        <w:spacing w:after="0" w:line="61" w:lineRule="exact"/>
        <w:rPr>
          <w:sz w:val="20"/>
          <w:szCs w:val="20"/>
          <w:color w:val="auto"/>
        </w:rPr>
      </w:pPr>
    </w:p>
    <w:p>
      <w:pPr>
        <w:ind w:left="6" w:right="80"/>
        <w:spacing w:after="0" w:line="266" w:lineRule="auto"/>
        <w:rPr>
          <w:sz w:val="20"/>
          <w:szCs w:val="20"/>
          <w:color w:val="auto"/>
        </w:rPr>
      </w:pPr>
      <w:r>
        <w:rPr>
          <w:rFonts w:ascii="Arial" w:cs="Arial" w:eastAsia="Arial" w:hAnsi="Arial"/>
          <w:sz w:val="17"/>
          <w:szCs w:val="17"/>
          <w:color w:val="auto"/>
        </w:rPr>
        <w:t>First quarter 2026 adjusted EBITDA including noncontrolling interests increased by $6 million, or 8%, compared to the prior year period. Adjusted EBITDA margin expanded 50 basis points to 10.8% from 10.3% in the prior year period. Both adjusted EBITDA dollars and margins were first quarter records for Critical Infrastructure. These increases were driven by the ramp-up of recent contract awards, accretive acquisitions and strong program execution.</w:t>
      </w:r>
    </w:p>
    <w:p>
      <w:pPr>
        <w:spacing w:after="0" w:line="32"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0052CC"/>
        </w:rPr>
        <w:t>Federal Solutions Segment</w:t>
      </w:r>
    </w:p>
    <w:p>
      <w:pPr>
        <w:spacing w:after="0" w:line="83"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Federal Solutions Year-over-Year Comparisons (Q1 2026 vs. Q1 2025)</w:t>
      </w:r>
    </w:p>
    <w:p>
      <w:pPr>
        <w:spacing w:after="0" w:line="100"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Growth</w:t>
            </w:r>
          </w:p>
        </w:tc>
        <w:tc>
          <w:tcPr>
            <w:tcW w:w="9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6"/>
        </w:trPr>
        <w:tc>
          <w:tcPr>
            <w:tcW w:w="2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3"/>
          </w:tcPr>
          <w:p>
            <w:pPr>
              <w:ind w:left="100"/>
              <w:spacing w:after="0" w:line="147" w:lineRule="exact"/>
              <w:rPr>
                <w:sz w:val="20"/>
                <w:szCs w:val="20"/>
                <w:color w:val="auto"/>
              </w:rPr>
            </w:pPr>
            <w:r>
              <w:rPr>
                <w:rFonts w:ascii="Arial" w:cs="Arial" w:eastAsia="Arial" w:hAnsi="Arial"/>
                <w:sz w:val="14"/>
                <w:szCs w:val="14"/>
                <w:b w:val="1"/>
                <w:bCs w:val="1"/>
                <w:color w:val="auto"/>
              </w:rPr>
              <w:t>Dollars/</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1"/>
        </w:trPr>
        <w:tc>
          <w:tcPr>
            <w:tcW w:w="2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4"/>
                <w:szCs w:val="14"/>
                <w:b w:val="1"/>
                <w:bCs w:val="1"/>
                <w:color w:val="auto"/>
              </w:rPr>
              <w:t>March 31, 2026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2025</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Percent</w:t>
            </w:r>
          </w:p>
        </w:tc>
        <w:tc>
          <w:tcPr>
            <w:tcW w:w="200" w:type="dxa"/>
            <w:vAlign w:val="bottom"/>
          </w:tcPr>
          <w:p>
            <w:pPr>
              <w:spacing w:after="0"/>
              <w:rPr>
                <w:sz w:val="14"/>
                <w:szCs w:val="14"/>
                <w:color w:val="auto"/>
              </w:rPr>
            </w:pPr>
          </w:p>
        </w:tc>
      </w:tr>
      <w:tr>
        <w:trPr>
          <w:trHeight w:val="183"/>
        </w:trPr>
        <w:tc>
          <w:tcPr>
            <w:tcW w:w="28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w:t>
            </w:r>
          </w:p>
        </w:tc>
        <w:tc>
          <w:tcPr>
            <w:tcW w:w="1360" w:type="dxa"/>
            <w:vAlign w:val="bottom"/>
            <w:gridSpan w:val="2"/>
            <w:shd w:val="clear" w:color="auto" w:fill="CFF0FC"/>
          </w:tcPr>
          <w:p>
            <w:pPr>
              <w:jc w:val="right"/>
              <w:ind w:right="168"/>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758,348</w:t>
            </w:r>
          </w:p>
        </w:tc>
        <w:tc>
          <w:tcPr>
            <w:tcW w:w="2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408"/>
              <w:spacing w:after="0" w:line="183" w:lineRule="exact"/>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96"/>
              </w:rPr>
              <w:t>842,557</w:t>
            </w:r>
          </w:p>
        </w:tc>
        <w:tc>
          <w:tcPr>
            <w:tcW w:w="22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(84,209)</w:t>
            </w:r>
          </w:p>
        </w:tc>
        <w:tc>
          <w:tcPr>
            <w:tcW w:w="2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(10)%</w:t>
            </w:r>
          </w:p>
        </w:tc>
      </w:tr>
      <w:tr>
        <w:trPr>
          <w:trHeight w:val="189"/>
        </w:trPr>
        <w:tc>
          <w:tcPr>
            <w:tcW w:w="2840" w:type="dxa"/>
            <w:vAlign w:val="bottom"/>
          </w:tcPr>
          <w:p>
            <w:pPr>
              <w:spacing w:after="0"/>
              <w:rPr>
                <w:sz w:val="20"/>
                <w:szCs w:val="20"/>
                <w:color w:val="auto"/>
              </w:rPr>
            </w:pPr>
            <w:r>
              <w:rPr>
                <w:rFonts w:ascii="Arial" w:cs="Arial" w:eastAsia="Arial" w:hAnsi="Arial"/>
                <w:sz w:val="16"/>
                <w:szCs w:val="16"/>
                <w:color w:val="auto"/>
              </w:rPr>
              <w:t>Adjusted EBITDA</w:t>
            </w:r>
          </w:p>
        </w:tc>
        <w:tc>
          <w:tcPr>
            <w:tcW w:w="1360" w:type="dxa"/>
            <w:vAlign w:val="bottom"/>
            <w:gridSpan w:val="2"/>
          </w:tcPr>
          <w:p>
            <w:pPr>
              <w:jc w:val="right"/>
              <w:ind w:right="168"/>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71,570</w:t>
            </w:r>
          </w:p>
        </w:tc>
        <w:tc>
          <w:tcPr>
            <w:tcW w:w="200" w:type="dxa"/>
            <w:vAlign w:val="bottom"/>
          </w:tcPr>
          <w:p>
            <w:pPr>
              <w:spacing w:after="0"/>
              <w:rPr>
                <w:sz w:val="16"/>
                <w:szCs w:val="16"/>
                <w:color w:val="auto"/>
              </w:rPr>
            </w:pPr>
          </w:p>
        </w:tc>
        <w:tc>
          <w:tcPr>
            <w:tcW w:w="640" w:type="dxa"/>
            <w:vAlign w:val="bottom"/>
            <w:gridSpan w:val="2"/>
          </w:tcPr>
          <w:p>
            <w:pPr>
              <w:jc w:val="right"/>
              <w:ind w:right="408"/>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75,583</w:t>
            </w:r>
          </w:p>
        </w:tc>
        <w:tc>
          <w:tcPr>
            <w:tcW w:w="220" w:type="dxa"/>
            <w:vAlign w:val="bottom"/>
          </w:tcPr>
          <w:p>
            <w:pPr>
              <w:spacing w:after="0"/>
              <w:rPr>
                <w:sz w:val="16"/>
                <w:szCs w:val="16"/>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(4,013)</w:t>
            </w:r>
          </w:p>
        </w:tc>
        <w:tc>
          <w:tcPr>
            <w:tcW w:w="2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(5)%</w:t>
            </w:r>
          </w:p>
        </w:tc>
      </w:tr>
      <w:tr>
        <w:trPr>
          <w:trHeight w:val="189"/>
        </w:trPr>
        <w:tc>
          <w:tcPr>
            <w:tcW w:w="2840" w:type="dxa"/>
            <w:vAlign w:val="bottom"/>
            <w:shd w:val="clear" w:color="auto" w:fill="CFF0FC"/>
          </w:tcPr>
          <w:p>
            <w:pPr>
              <w:spacing w:after="0"/>
              <w:rPr>
                <w:sz w:val="20"/>
                <w:szCs w:val="20"/>
                <w:color w:val="auto"/>
              </w:rPr>
            </w:pPr>
            <w:r>
              <w:rPr>
                <w:rFonts w:ascii="Arial" w:cs="Arial" w:eastAsia="Arial" w:hAnsi="Arial"/>
                <w:sz w:val="16"/>
                <w:szCs w:val="16"/>
                <w:color w:val="auto"/>
              </w:rPr>
              <w:t>Adjusted EBITDA margin</w:t>
            </w:r>
          </w:p>
        </w:tc>
        <w:tc>
          <w:tcPr>
            <w:tcW w:w="10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9.4%</w:t>
            </w: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9.0%</w:t>
            </w: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0.4%</w:t>
            </w:r>
          </w:p>
        </w:tc>
        <w:tc>
          <w:tcPr>
            <w:tcW w:w="2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w:t>
            </w:r>
          </w:p>
        </w:tc>
      </w:tr>
    </w:tbl>
    <w:p>
      <w:pPr>
        <w:spacing w:after="0" w:line="292" w:lineRule="exact"/>
        <w:rPr>
          <w:sz w:val="20"/>
          <w:szCs w:val="20"/>
          <w:color w:val="auto"/>
        </w:rPr>
      </w:pPr>
    </w:p>
    <w:p>
      <w:pPr>
        <w:ind w:left="6" w:right="200"/>
        <w:spacing w:after="0" w:line="247" w:lineRule="auto"/>
        <w:rPr>
          <w:sz w:val="20"/>
          <w:szCs w:val="20"/>
          <w:color w:val="auto"/>
        </w:rPr>
      </w:pPr>
      <w:r>
        <w:rPr>
          <w:rFonts w:ascii="Arial" w:cs="Arial" w:eastAsia="Arial" w:hAnsi="Arial"/>
          <w:sz w:val="18"/>
          <w:szCs w:val="18"/>
          <w:color w:val="auto"/>
        </w:rPr>
        <w:t>First quarter 2026 revenue decreased $84 million, or 10%, compared to the prior year period and 17% on an organic basis. Excluding the company's confidential contract, Federal Solutions' revenue increased 12%, and 4% on an organic basis. These increases were driven by growth in the company's Critical Infrastructure Protection, Space and Missile Defense, and Transportation markets.</w:t>
      </w:r>
    </w:p>
    <w:p>
      <w:pPr>
        <w:spacing w:after="0" w:line="66" w:lineRule="exact"/>
        <w:rPr>
          <w:sz w:val="20"/>
          <w:szCs w:val="20"/>
          <w:color w:val="auto"/>
        </w:rPr>
      </w:pPr>
    </w:p>
    <w:p>
      <w:pPr>
        <w:ind w:left="6"/>
        <w:spacing w:after="0" w:line="247" w:lineRule="auto"/>
        <w:rPr>
          <w:sz w:val="20"/>
          <w:szCs w:val="20"/>
          <w:color w:val="auto"/>
        </w:rPr>
      </w:pPr>
      <w:r>
        <w:rPr>
          <w:rFonts w:ascii="Arial" w:cs="Arial" w:eastAsia="Arial" w:hAnsi="Arial"/>
          <w:sz w:val="18"/>
          <w:szCs w:val="18"/>
          <w:color w:val="auto"/>
        </w:rPr>
        <w:t>First quarter 2026 Federal Solutions adjusted EBITDA including noncontrolling interests decreased by $4 million, or 5% from the first quarter of 2025, and adjusted EBITDA margin increased 40 basis points to 9.4%. The adjusted EBITDA dollars were primarily impacted by lower volume on the fixed price confidential contract. The adjusted EBITDA margin increase was primarily driven by accretive contract growth and acquisitions.</w:t>
      </w:r>
    </w:p>
    <w:p>
      <w:pPr>
        <w:spacing w:after="0" w:line="60"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0052CC"/>
        </w:rPr>
        <w:t>First Quarter 2026 Key Performance Indicators</w:t>
      </w:r>
    </w:p>
    <w:p>
      <w:pPr>
        <w:spacing w:after="0" w:line="83" w:lineRule="exact"/>
        <w:rPr>
          <w:sz w:val="20"/>
          <w:szCs w:val="20"/>
          <w:color w:val="auto"/>
        </w:rPr>
      </w:pPr>
    </w:p>
    <w:p>
      <w:pPr>
        <w:ind w:left="326" w:hanging="326"/>
        <w:spacing w:after="0"/>
        <w:tabs>
          <w:tab w:leader="none" w:pos="326" w:val="left"/>
        </w:tabs>
        <w:numPr>
          <w:ilvl w:val="0"/>
          <w:numId w:val="3"/>
        </w:numPr>
        <w:rPr>
          <w:rFonts w:ascii="Times New Roman" w:cs="Times New Roman" w:eastAsia="Times New Roman" w:hAnsi="Times New Roman"/>
          <w:sz w:val="18"/>
          <w:szCs w:val="18"/>
          <w:color w:val="0052CC"/>
        </w:rPr>
      </w:pPr>
      <w:r>
        <w:rPr>
          <w:rFonts w:ascii="Arial" w:cs="Arial" w:eastAsia="Arial" w:hAnsi="Arial"/>
          <w:sz w:val="18"/>
          <w:szCs w:val="18"/>
          <w:color w:val="auto"/>
        </w:rPr>
        <w:t>Book-to-bill ratio: 1.4x on net bookings of $2.1 billion.</w:t>
      </w:r>
    </w:p>
    <w:p>
      <w:pPr>
        <w:spacing w:after="0" w:line="116" w:lineRule="exact"/>
        <w:rPr>
          <w:rFonts w:ascii="Times New Roman" w:cs="Times New Roman" w:eastAsia="Times New Roman" w:hAnsi="Times New Roman"/>
          <w:sz w:val="18"/>
          <w:szCs w:val="18"/>
          <w:color w:val="0052CC"/>
        </w:rPr>
      </w:pPr>
    </w:p>
    <w:p>
      <w:pPr>
        <w:ind w:left="326" w:hanging="326"/>
        <w:spacing w:after="0"/>
        <w:tabs>
          <w:tab w:leader="none" w:pos="326" w:val="left"/>
        </w:tabs>
        <w:numPr>
          <w:ilvl w:val="0"/>
          <w:numId w:val="3"/>
        </w:numPr>
        <w:rPr>
          <w:rFonts w:ascii="Times New Roman" w:cs="Times New Roman" w:eastAsia="Times New Roman" w:hAnsi="Times New Roman"/>
          <w:sz w:val="18"/>
          <w:szCs w:val="18"/>
          <w:color w:val="0052CC"/>
        </w:rPr>
      </w:pPr>
      <w:r>
        <w:rPr>
          <w:rFonts w:ascii="Arial" w:cs="Arial" w:eastAsia="Arial" w:hAnsi="Arial"/>
          <w:sz w:val="18"/>
          <w:szCs w:val="18"/>
          <w:color w:val="auto"/>
        </w:rPr>
        <w:t>Book-to-bill ratio (trailing twelve-months): 1.1x on net bookings of $6.7 billion.</w:t>
      </w:r>
    </w:p>
    <w:p>
      <w:pPr>
        <w:spacing w:after="0" w:line="116" w:lineRule="exact"/>
        <w:rPr>
          <w:rFonts w:ascii="Times New Roman" w:cs="Times New Roman" w:eastAsia="Times New Roman" w:hAnsi="Times New Roman"/>
          <w:sz w:val="18"/>
          <w:szCs w:val="18"/>
          <w:color w:val="0052CC"/>
        </w:rPr>
      </w:pPr>
    </w:p>
    <w:p>
      <w:pPr>
        <w:ind w:left="326" w:right="20" w:hanging="326"/>
        <w:spacing w:after="0" w:line="270" w:lineRule="auto"/>
        <w:tabs>
          <w:tab w:leader="none" w:pos="326" w:val="left"/>
        </w:tabs>
        <w:numPr>
          <w:ilvl w:val="0"/>
          <w:numId w:val="3"/>
        </w:numPr>
        <w:rPr>
          <w:rFonts w:ascii="Times New Roman" w:cs="Times New Roman" w:eastAsia="Times New Roman" w:hAnsi="Times New Roman"/>
          <w:sz w:val="18"/>
          <w:szCs w:val="18"/>
          <w:color w:val="0052CC"/>
        </w:rPr>
      </w:pPr>
      <w:r>
        <w:rPr>
          <w:rFonts w:ascii="Arial" w:cs="Arial" w:eastAsia="Arial" w:hAnsi="Arial"/>
          <w:sz w:val="18"/>
          <w:szCs w:val="18"/>
          <w:color w:val="auto"/>
        </w:rPr>
        <w:t>Total backlog: $9.3 billion, up $235 million from Q1 2025. Funded backlog of $6.6 billion is at its highest level since the company's 2019 IPO, and represents 71% of total backlog.</w:t>
      </w:r>
    </w:p>
    <w:p>
      <w:pPr>
        <w:spacing w:after="0" w:line="46" w:lineRule="exact"/>
        <w:rPr>
          <w:rFonts w:ascii="Times New Roman" w:cs="Times New Roman" w:eastAsia="Times New Roman" w:hAnsi="Times New Roman"/>
          <w:sz w:val="18"/>
          <w:szCs w:val="18"/>
          <w:color w:val="0052CC"/>
        </w:rPr>
      </w:pPr>
    </w:p>
    <w:p>
      <w:pPr>
        <w:ind w:left="326" w:hanging="326"/>
        <w:spacing w:after="0"/>
        <w:tabs>
          <w:tab w:leader="none" w:pos="326" w:val="left"/>
        </w:tabs>
        <w:numPr>
          <w:ilvl w:val="0"/>
          <w:numId w:val="3"/>
        </w:numPr>
        <w:rPr>
          <w:rFonts w:ascii="Times New Roman" w:cs="Times New Roman" w:eastAsia="Times New Roman" w:hAnsi="Times New Roman"/>
          <w:sz w:val="17"/>
          <w:szCs w:val="17"/>
          <w:color w:val="0052CC"/>
        </w:rPr>
      </w:pPr>
      <w:r>
        <w:rPr>
          <w:rFonts w:ascii="Arial" w:cs="Arial" w:eastAsia="Arial" w:hAnsi="Arial"/>
          <w:sz w:val="17"/>
          <w:szCs w:val="17"/>
          <w:color w:val="auto"/>
        </w:rPr>
        <w:t>Cash flow used in operating activities: Q1 2026 record of $4 million compared to $12 million in first quarter of 2025.</w:t>
      </w:r>
    </w:p>
    <w:p>
      <w:pPr>
        <w:spacing w:after="0" w:line="200" w:lineRule="exact"/>
        <w:rPr>
          <w:sz w:val="20"/>
          <w:szCs w:val="20"/>
          <w:color w:val="auto"/>
        </w:rPr>
      </w:pPr>
    </w:p>
    <w:p>
      <w:pPr>
        <w:spacing w:after="0" w:line="392" w:lineRule="exact"/>
        <w:rPr>
          <w:sz w:val="20"/>
          <w:szCs w:val="20"/>
          <w:color w:val="auto"/>
        </w:rPr>
      </w:pPr>
    </w:p>
    <w:p>
      <w:pPr>
        <w:ind w:left="6"/>
        <w:spacing w:after="0"/>
        <w:tabs>
          <w:tab w:leader="none" w:pos="6026" w:val="left"/>
          <w:tab w:leader="none" w:pos="9346" w:val="left"/>
        </w:tabs>
        <w:rPr>
          <w:sz w:val="20"/>
          <w:szCs w:val="20"/>
          <w:color w:val="auto"/>
        </w:rPr>
      </w:pPr>
      <w:r>
        <w:rPr>
          <w:rFonts w:ascii="Arial" w:cs="Arial" w:eastAsia="Arial" w:hAnsi="Arial"/>
          <w:sz w:val="16"/>
          <w:szCs w:val="16"/>
          <w:color w:val="auto"/>
        </w:rPr>
        <w:t>parsons.com</w:t>
      </w:r>
      <w:r>
        <w:rPr>
          <w:sz w:val="20"/>
          <w:szCs w:val="20"/>
          <w:color w:val="auto"/>
        </w:rPr>
        <w:tab/>
      </w:r>
      <w:r>
        <w:rPr>
          <w:rFonts w:ascii="Arial" w:cs="Arial" w:eastAsia="Arial" w:hAnsi="Arial"/>
          <w:sz w:val="16"/>
          <w:szCs w:val="16"/>
          <w:color w:val="auto"/>
        </w:rPr>
        <w:t>©Parsons Corporation. All Rights Reserved.</w:t>
      </w:r>
      <w:r>
        <w:rPr>
          <w:sz w:val="20"/>
          <w:szCs w:val="20"/>
          <w:color w:val="auto"/>
        </w:rPr>
        <w:tab/>
      </w: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wp:posOffset>
            </wp:positionH>
            <wp:positionV relativeFrom="paragraph">
              <wp:posOffset>565150</wp:posOffset>
            </wp:positionV>
            <wp:extent cx="70377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446"/>
          </w:cols>
          <w:pgMar w:left="1214" w:top="1440" w:right="1239" w:bottom="1440" w:gutter="0" w:footer="0" w:header="0"/>
        </w:sectPr>
      </w:pPr>
    </w:p>
    <w:bookmarkStart w:id="6" w:name="page7"/>
    <w:bookmarkEnd w:id="6"/>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637540</wp:posOffset>
            </wp:positionV>
            <wp:extent cx="6000750" cy="222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22885"/>
                    </a:xfrm>
                    <a:prstGeom prst="rect">
                      <a:avLst/>
                    </a:prstGeom>
                    <a:noFill/>
                  </pic:spPr>
                </pic:pic>
              </a:graphicData>
            </a:graphic>
          </wp:anchor>
        </w:drawing>
      </w:r>
    </w:p>
    <w:p>
      <w:pPr>
        <w:ind w:left="6"/>
        <w:spacing w:after="0"/>
        <w:rPr>
          <w:sz w:val="20"/>
          <w:szCs w:val="20"/>
          <w:color w:val="auto"/>
        </w:rPr>
      </w:pPr>
      <w:r>
        <w:rPr>
          <w:rFonts w:ascii="Arial" w:cs="Arial" w:eastAsia="Arial" w:hAnsi="Arial"/>
          <w:sz w:val="25"/>
          <w:szCs w:val="25"/>
          <w:b w:val="1"/>
          <w:bCs w:val="1"/>
          <w:color w:val="0052CC"/>
        </w:rPr>
        <w:t>Significant Contract Wins</w:t>
      </w:r>
    </w:p>
    <w:p>
      <w:pPr>
        <w:spacing w:after="0" w:line="123" w:lineRule="exact"/>
        <w:rPr>
          <w:sz w:val="20"/>
          <w:szCs w:val="20"/>
          <w:color w:val="auto"/>
        </w:rPr>
      </w:pPr>
    </w:p>
    <w:p>
      <w:pPr>
        <w:ind w:left="6" w:right="80"/>
        <w:spacing w:after="0" w:line="271" w:lineRule="auto"/>
        <w:rPr>
          <w:sz w:val="20"/>
          <w:szCs w:val="20"/>
          <w:color w:val="auto"/>
        </w:rPr>
      </w:pPr>
      <w:r>
        <w:rPr>
          <w:rFonts w:ascii="Arial" w:cs="Arial" w:eastAsia="Arial" w:hAnsi="Arial"/>
          <w:sz w:val="18"/>
          <w:szCs w:val="18"/>
          <w:color w:val="auto"/>
        </w:rPr>
        <w:t>Parsons continues to win new business across both segments. During the first quarter of 2026, the company won four single-award contracts worth more than $100 million each.</w:t>
      </w:r>
    </w:p>
    <w:p>
      <w:pPr>
        <w:spacing w:after="0" w:line="46" w:lineRule="exact"/>
        <w:rPr>
          <w:sz w:val="20"/>
          <w:szCs w:val="20"/>
          <w:color w:val="auto"/>
        </w:rPr>
      </w:pPr>
    </w:p>
    <w:p>
      <w:pPr>
        <w:ind w:left="326" w:right="80" w:hanging="326"/>
        <w:spacing w:after="0" w:line="243" w:lineRule="auto"/>
        <w:tabs>
          <w:tab w:leader="none" w:pos="326" w:val="left"/>
        </w:tabs>
        <w:numPr>
          <w:ilvl w:val="0"/>
          <w:numId w:val="4"/>
        </w:numPr>
        <w:rPr>
          <w:rFonts w:ascii="Times New Roman" w:cs="Times New Roman" w:eastAsia="Times New Roman" w:hAnsi="Times New Roman"/>
          <w:sz w:val="18"/>
          <w:szCs w:val="18"/>
          <w:color w:val="0052CC"/>
        </w:rPr>
      </w:pPr>
      <w:r>
        <w:rPr>
          <w:rFonts w:ascii="Arial" w:cs="Arial" w:eastAsia="Arial" w:hAnsi="Arial"/>
          <w:sz w:val="18"/>
          <w:szCs w:val="18"/>
          <w:color w:val="auto"/>
        </w:rPr>
        <w:t>Awarded a $593 million contract extension under the Federal Aviation Administration’s (FAA) Technical Support Services Contract (TSSC 5). This award exercises the first option period, extends performance through 2030, and supports the FAA's Aviation System Capital Investment Plan. TSSC 5 has a $1.8 billion ceiling value and a four-year base period and two three-year option periods. The company booked $410 million on this contract during the first quarter.</w:t>
      </w:r>
    </w:p>
    <w:p>
      <w:pPr>
        <w:spacing w:after="0" w:line="71" w:lineRule="exact"/>
        <w:rPr>
          <w:rFonts w:ascii="Times New Roman" w:cs="Times New Roman" w:eastAsia="Times New Roman" w:hAnsi="Times New Roman"/>
          <w:sz w:val="18"/>
          <w:szCs w:val="18"/>
          <w:color w:val="0052CC"/>
        </w:rPr>
      </w:pPr>
    </w:p>
    <w:p>
      <w:pPr>
        <w:jc w:val="both"/>
        <w:ind w:left="326" w:right="80" w:hanging="326"/>
        <w:spacing w:after="0" w:line="252" w:lineRule="auto"/>
        <w:tabs>
          <w:tab w:leader="none" w:pos="326" w:val="left"/>
        </w:tabs>
        <w:numPr>
          <w:ilvl w:val="0"/>
          <w:numId w:val="4"/>
        </w:numPr>
        <w:rPr>
          <w:rFonts w:ascii="Times New Roman" w:cs="Times New Roman" w:eastAsia="Times New Roman" w:hAnsi="Times New Roman"/>
          <w:sz w:val="18"/>
          <w:szCs w:val="18"/>
          <w:color w:val="0052CC"/>
        </w:rPr>
      </w:pPr>
      <w:r>
        <w:rPr>
          <w:rFonts w:ascii="Arial" w:cs="Arial" w:eastAsia="Arial" w:hAnsi="Arial"/>
          <w:sz w:val="18"/>
          <w:szCs w:val="18"/>
          <w:color w:val="auto"/>
        </w:rPr>
        <w:t>Received a production award notification from the U.S. Cyber Command on the Joint Cyber Hunt Kit solution. The sole-source contract is new work for the company and has a three-year period of performance with a ceiling value of up to $500 million. The company booked $250 million on this contract during the first quarter.</w:t>
      </w:r>
    </w:p>
    <w:p>
      <w:pPr>
        <w:spacing w:after="0" w:line="62" w:lineRule="exact"/>
        <w:rPr>
          <w:rFonts w:ascii="Times New Roman" w:cs="Times New Roman" w:eastAsia="Times New Roman" w:hAnsi="Times New Roman"/>
          <w:sz w:val="18"/>
          <w:szCs w:val="18"/>
          <w:color w:val="0052CC"/>
        </w:rPr>
      </w:pPr>
    </w:p>
    <w:p>
      <w:pPr>
        <w:ind w:left="326" w:right="100" w:hanging="326"/>
        <w:spacing w:after="0" w:line="252" w:lineRule="auto"/>
        <w:tabs>
          <w:tab w:leader="none" w:pos="326" w:val="left"/>
        </w:tabs>
        <w:numPr>
          <w:ilvl w:val="0"/>
          <w:numId w:val="4"/>
        </w:numPr>
        <w:rPr>
          <w:rFonts w:ascii="Times New Roman" w:cs="Times New Roman" w:eastAsia="Times New Roman" w:hAnsi="Times New Roman"/>
          <w:sz w:val="18"/>
          <w:szCs w:val="18"/>
          <w:color w:val="0052CC"/>
        </w:rPr>
      </w:pPr>
      <w:r>
        <w:rPr>
          <w:rFonts w:ascii="Arial" w:cs="Arial" w:eastAsia="Arial" w:hAnsi="Arial"/>
          <w:sz w:val="18"/>
          <w:szCs w:val="18"/>
          <w:color w:val="auto"/>
        </w:rPr>
        <w:t>Awarded a new five-year contract valued at over $340 million to provide program management services for a major transportation project in the Middle East. The company booked over $300 million on this contract during the first quarter.</w:t>
      </w:r>
    </w:p>
    <w:p>
      <w:pPr>
        <w:spacing w:after="0" w:line="62" w:lineRule="exact"/>
        <w:rPr>
          <w:rFonts w:ascii="Times New Roman" w:cs="Times New Roman" w:eastAsia="Times New Roman" w:hAnsi="Times New Roman"/>
          <w:sz w:val="18"/>
          <w:szCs w:val="18"/>
          <w:color w:val="0052CC"/>
        </w:rPr>
      </w:pPr>
    </w:p>
    <w:p>
      <w:pPr>
        <w:ind w:left="326" w:right="20" w:hanging="326"/>
        <w:spacing w:after="0" w:line="246" w:lineRule="auto"/>
        <w:tabs>
          <w:tab w:leader="none" w:pos="326"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Awarded more than $145 million under the Global Application Research, Development, Engineering and Maintenance (GARDEM) contract. Under these task orders, Parsons will enhance command and control, space, and intelligence, surveillance, and reconnaissance technologies for the Air Force and other federal customers. The company booked $38 million on these contracts during the first quarter.</w:t>
      </w:r>
    </w:p>
    <w:p>
      <w:pPr>
        <w:spacing w:after="0" w:line="68" w:lineRule="exact"/>
        <w:rPr>
          <w:rFonts w:ascii="Times New Roman" w:cs="Times New Roman" w:eastAsia="Times New Roman" w:hAnsi="Times New Roman"/>
          <w:sz w:val="18"/>
          <w:szCs w:val="18"/>
          <w:color w:val="auto"/>
        </w:rPr>
      </w:pPr>
    </w:p>
    <w:p>
      <w:pPr>
        <w:ind w:left="326" w:hanging="326"/>
        <w:spacing w:after="0" w:line="252" w:lineRule="auto"/>
        <w:tabs>
          <w:tab w:leader="none" w:pos="326" w:val="left"/>
        </w:tabs>
        <w:numPr>
          <w:ilvl w:val="0"/>
          <w:numId w:val="4"/>
        </w:numPr>
        <w:rPr>
          <w:rFonts w:ascii="Times New Roman" w:cs="Times New Roman" w:eastAsia="Times New Roman" w:hAnsi="Times New Roman"/>
          <w:sz w:val="18"/>
          <w:szCs w:val="18"/>
          <w:color w:val="0052CC"/>
        </w:rPr>
      </w:pPr>
      <w:r>
        <w:rPr>
          <w:rFonts w:ascii="Arial" w:cs="Arial" w:eastAsia="Arial" w:hAnsi="Arial"/>
          <w:sz w:val="18"/>
          <w:szCs w:val="18"/>
          <w:color w:val="auto"/>
        </w:rPr>
        <w:t>Received an additional $150 million to continue serving as the Main Construction Manager for remediation projects on the Faro Mine and Giant Mine programs in Canada, known as two of the largest and most complex mine reclamation projects in the world. The company booked the full amount during the first quarter.</w:t>
      </w:r>
    </w:p>
    <w:p>
      <w:pPr>
        <w:spacing w:after="0" w:line="62" w:lineRule="exact"/>
        <w:rPr>
          <w:rFonts w:ascii="Times New Roman" w:cs="Times New Roman" w:eastAsia="Times New Roman" w:hAnsi="Times New Roman"/>
          <w:sz w:val="18"/>
          <w:szCs w:val="18"/>
          <w:color w:val="0052CC"/>
        </w:rPr>
      </w:pPr>
    </w:p>
    <w:p>
      <w:pPr>
        <w:ind w:left="326" w:right="180" w:hanging="326"/>
        <w:spacing w:after="0" w:line="243" w:lineRule="auto"/>
        <w:tabs>
          <w:tab w:leader="none" w:pos="326" w:val="left"/>
        </w:tabs>
        <w:numPr>
          <w:ilvl w:val="0"/>
          <w:numId w:val="4"/>
        </w:numPr>
        <w:rPr>
          <w:rFonts w:ascii="Times New Roman" w:cs="Times New Roman" w:eastAsia="Times New Roman" w:hAnsi="Times New Roman"/>
          <w:sz w:val="18"/>
          <w:szCs w:val="18"/>
          <w:color w:val="0052CC"/>
        </w:rPr>
      </w:pPr>
      <w:r>
        <w:rPr>
          <w:rFonts w:ascii="Arial" w:cs="Arial" w:eastAsia="Arial" w:hAnsi="Arial"/>
          <w:sz w:val="18"/>
          <w:szCs w:val="18"/>
          <w:color w:val="auto"/>
        </w:rPr>
        <w:t>Awarded a new six-year, $60 million contract by the Foothill Gold Line Construction Authority to complete design of phase 2B2 of the Foothill Gold Line project and provide design services during construction. As part of the longest linear light rail line in the world, phase 2B2 will complete the next segment of the Metro A Line light rail system, by adding a 2.3-mile extension from Pomona to Claremont. The company booked the full amount of this contract during the first quarter.</w:t>
      </w:r>
    </w:p>
    <w:p>
      <w:pPr>
        <w:spacing w:after="0" w:line="71" w:lineRule="exact"/>
        <w:rPr>
          <w:rFonts w:ascii="Times New Roman" w:cs="Times New Roman" w:eastAsia="Times New Roman" w:hAnsi="Times New Roman"/>
          <w:sz w:val="18"/>
          <w:szCs w:val="18"/>
          <w:color w:val="0052CC"/>
        </w:rPr>
      </w:pPr>
    </w:p>
    <w:p>
      <w:pPr>
        <w:ind w:left="326" w:right="720" w:hanging="326"/>
        <w:spacing w:after="0" w:line="270" w:lineRule="auto"/>
        <w:tabs>
          <w:tab w:leader="none" w:pos="326" w:val="left"/>
        </w:tabs>
        <w:numPr>
          <w:ilvl w:val="0"/>
          <w:numId w:val="4"/>
        </w:numPr>
        <w:rPr>
          <w:rFonts w:ascii="Times New Roman" w:cs="Times New Roman" w:eastAsia="Times New Roman" w:hAnsi="Times New Roman"/>
          <w:sz w:val="18"/>
          <w:szCs w:val="18"/>
          <w:color w:val="0052CC"/>
        </w:rPr>
      </w:pPr>
      <w:r>
        <w:rPr>
          <w:rFonts w:ascii="Arial" w:cs="Arial" w:eastAsia="Arial" w:hAnsi="Arial"/>
          <w:sz w:val="18"/>
          <w:szCs w:val="18"/>
          <w:color w:val="auto"/>
        </w:rPr>
        <w:t>After the first quarter of 2026 ended, Parsons was awarded $400 million in previously unannounced Other Transaction Agreements, each with a three-year period of performance.</w:t>
      </w:r>
    </w:p>
    <w:p>
      <w:pPr>
        <w:spacing w:after="0" w:line="46" w:lineRule="exact"/>
        <w:rPr>
          <w:rFonts w:ascii="Times New Roman" w:cs="Times New Roman" w:eastAsia="Times New Roman" w:hAnsi="Times New Roman"/>
          <w:sz w:val="18"/>
          <w:szCs w:val="18"/>
          <w:color w:val="0052CC"/>
        </w:rPr>
      </w:pPr>
    </w:p>
    <w:p>
      <w:pPr>
        <w:ind w:left="326" w:right="60" w:hanging="326"/>
        <w:spacing w:after="0" w:line="252" w:lineRule="auto"/>
        <w:tabs>
          <w:tab w:leader="none" w:pos="326" w:val="left"/>
        </w:tabs>
        <w:numPr>
          <w:ilvl w:val="0"/>
          <w:numId w:val="4"/>
        </w:numPr>
        <w:rPr>
          <w:rFonts w:ascii="Times New Roman" w:cs="Times New Roman" w:eastAsia="Times New Roman" w:hAnsi="Times New Roman"/>
          <w:sz w:val="18"/>
          <w:szCs w:val="18"/>
          <w:color w:val="0052CC"/>
        </w:rPr>
      </w:pPr>
      <w:r>
        <w:rPr>
          <w:rFonts w:ascii="Arial" w:cs="Arial" w:eastAsia="Arial" w:hAnsi="Arial"/>
          <w:sz w:val="18"/>
          <w:szCs w:val="18"/>
          <w:color w:val="auto"/>
        </w:rPr>
        <w:t>After the first quarter of 2026 ended, Parsons was awarded a new single-award IDIQ classified contract by a government customer. The contract has a ceiling value of $184 million over seven-years and represents new work for the company.</w:t>
      </w:r>
    </w:p>
    <w:p>
      <w:pPr>
        <w:spacing w:after="0" w:line="62" w:lineRule="exact"/>
        <w:rPr>
          <w:rFonts w:ascii="Times New Roman" w:cs="Times New Roman" w:eastAsia="Times New Roman" w:hAnsi="Times New Roman"/>
          <w:sz w:val="18"/>
          <w:szCs w:val="18"/>
          <w:color w:val="0052CC"/>
        </w:rPr>
      </w:pPr>
    </w:p>
    <w:p>
      <w:pPr>
        <w:ind w:left="326" w:right="140" w:hanging="326"/>
        <w:spacing w:after="0" w:line="270" w:lineRule="auto"/>
        <w:tabs>
          <w:tab w:leader="none" w:pos="326" w:val="left"/>
        </w:tabs>
        <w:numPr>
          <w:ilvl w:val="0"/>
          <w:numId w:val="4"/>
        </w:numPr>
        <w:rPr>
          <w:rFonts w:ascii="Times New Roman" w:cs="Times New Roman" w:eastAsia="Times New Roman" w:hAnsi="Times New Roman"/>
          <w:sz w:val="18"/>
          <w:szCs w:val="18"/>
          <w:color w:val="0052CC"/>
        </w:rPr>
      </w:pPr>
      <w:r>
        <w:rPr>
          <w:rFonts w:ascii="Arial" w:cs="Arial" w:eastAsia="Arial" w:hAnsi="Arial"/>
          <w:sz w:val="18"/>
          <w:szCs w:val="18"/>
          <w:color w:val="auto"/>
        </w:rPr>
        <w:t>After the first quarter of 2026 ended, Parsons was awarded an additional $87 million ceiling increase on a current national security prime contract.</w:t>
      </w:r>
    </w:p>
    <w:p>
      <w:pPr>
        <w:spacing w:after="0" w:line="41"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0052CC"/>
        </w:rPr>
        <w:t>Additional Corporate Highlights</w:t>
      </w:r>
    </w:p>
    <w:p>
      <w:pPr>
        <w:spacing w:after="0" w:line="83" w:lineRule="exact"/>
        <w:rPr>
          <w:sz w:val="20"/>
          <w:szCs w:val="20"/>
          <w:color w:val="auto"/>
        </w:rPr>
      </w:pPr>
    </w:p>
    <w:p>
      <w:pPr>
        <w:ind w:left="6"/>
        <w:spacing w:after="0" w:line="247" w:lineRule="auto"/>
        <w:rPr>
          <w:sz w:val="20"/>
          <w:szCs w:val="20"/>
          <w:color w:val="auto"/>
        </w:rPr>
      </w:pPr>
      <w:r>
        <w:rPr>
          <w:rFonts w:ascii="Arial" w:cs="Arial" w:eastAsia="Arial" w:hAnsi="Arial"/>
          <w:sz w:val="18"/>
          <w:szCs w:val="18"/>
          <w:color w:val="auto"/>
        </w:rPr>
        <w:t>Parsons continues its successful track record of acquiring strategic companies in high-growth markets that strengthens its portfolio. During the quarter, the company was named one of the World's Most Ethical Companies by Ethisphere for the 17th consecutive year. Parsons was also recognized for delivering project excellence on two major infrastructure programs.</w:t>
      </w:r>
    </w:p>
    <w:p>
      <w:pPr>
        <w:spacing w:after="0" w:line="66" w:lineRule="exact"/>
        <w:rPr>
          <w:sz w:val="20"/>
          <w:szCs w:val="20"/>
          <w:color w:val="auto"/>
        </w:rPr>
      </w:pPr>
    </w:p>
    <w:p>
      <w:pPr>
        <w:jc w:val="both"/>
        <w:ind w:left="326" w:right="260" w:hanging="326"/>
        <w:spacing w:after="0" w:line="300" w:lineRule="auto"/>
        <w:tabs>
          <w:tab w:leader="none" w:pos="326" w:val="left"/>
        </w:tabs>
        <w:numPr>
          <w:ilvl w:val="0"/>
          <w:numId w:val="5"/>
        </w:numPr>
        <w:rPr>
          <w:rFonts w:ascii="Times New Roman" w:cs="Times New Roman" w:eastAsia="Times New Roman" w:hAnsi="Times New Roman"/>
          <w:sz w:val="17"/>
          <w:szCs w:val="17"/>
          <w:color w:val="0052CC"/>
        </w:rPr>
      </w:pPr>
      <w:r>
        <w:rPr>
          <w:rFonts w:ascii="Arial" w:cs="Arial" w:eastAsia="Arial" w:hAnsi="Arial"/>
          <w:sz w:val="17"/>
          <w:szCs w:val="17"/>
          <w:color w:val="auto"/>
        </w:rPr>
        <w:t>During the first quarter of 2026, Parsons closed its acquisition of Altamira Technologies Corporation, a Northern Virginia-based signals intelligence and space solutions provider, in an all-cash transaction valued at up to $375</w:t>
      </w:r>
    </w:p>
    <w:p>
      <w:pPr>
        <w:spacing w:after="0" w:line="163" w:lineRule="exact"/>
        <w:rPr>
          <w:sz w:val="20"/>
          <w:szCs w:val="20"/>
          <w:color w:val="auto"/>
        </w:rPr>
      </w:pPr>
    </w:p>
    <w:p>
      <w:pPr>
        <w:ind w:left="6"/>
        <w:spacing w:after="0"/>
        <w:tabs>
          <w:tab w:leader="none" w:pos="6026" w:val="left"/>
          <w:tab w:leader="none" w:pos="9346" w:val="left"/>
        </w:tabs>
        <w:rPr>
          <w:sz w:val="20"/>
          <w:szCs w:val="20"/>
          <w:color w:val="auto"/>
        </w:rPr>
      </w:pPr>
      <w:r>
        <w:rPr>
          <w:rFonts w:ascii="Arial" w:cs="Arial" w:eastAsia="Arial" w:hAnsi="Arial"/>
          <w:sz w:val="16"/>
          <w:szCs w:val="16"/>
          <w:color w:val="auto"/>
        </w:rPr>
        <w:t>parsons.com</w:t>
      </w:r>
      <w:r>
        <w:rPr>
          <w:sz w:val="20"/>
          <w:szCs w:val="20"/>
          <w:color w:val="auto"/>
        </w:rPr>
        <w:tab/>
      </w:r>
      <w:r>
        <w:rPr>
          <w:rFonts w:ascii="Arial" w:cs="Arial" w:eastAsia="Arial" w:hAnsi="Arial"/>
          <w:sz w:val="16"/>
          <w:szCs w:val="16"/>
          <w:color w:val="auto"/>
        </w:rPr>
        <w:t>©Parsons Corporation. All Rights Reserved.</w:t>
      </w:r>
      <w:r>
        <w:rPr>
          <w:sz w:val="20"/>
          <w:szCs w:val="20"/>
          <w:color w:val="auto"/>
        </w:rPr>
        <w:tab/>
      </w: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wp:posOffset>
            </wp:positionH>
            <wp:positionV relativeFrom="paragraph">
              <wp:posOffset>565150</wp:posOffset>
            </wp:positionV>
            <wp:extent cx="70377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446"/>
          </w:cols>
          <w:pgMar w:left="1214" w:top="1440" w:right="1239" w:bottom="1440" w:gutter="0" w:footer="0" w:header="0"/>
        </w:sectPr>
      </w:pPr>
    </w:p>
    <w:bookmarkStart w:id="7" w:name="page8"/>
    <w:bookmarkEnd w:id="7"/>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637540</wp:posOffset>
            </wp:positionV>
            <wp:extent cx="6000750" cy="222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22885"/>
                    </a:xfrm>
                    <a:prstGeom prst="rect">
                      <a:avLst/>
                    </a:prstGeom>
                    <a:noFill/>
                  </pic:spPr>
                </pic:pic>
              </a:graphicData>
            </a:graphic>
          </wp:anchor>
        </w:drawing>
      </w:r>
    </w:p>
    <w:p>
      <w:pPr>
        <w:ind w:left="326"/>
        <w:spacing w:after="0" w:line="242" w:lineRule="auto"/>
        <w:rPr>
          <w:sz w:val="20"/>
          <w:szCs w:val="20"/>
          <w:color w:val="auto"/>
        </w:rPr>
      </w:pPr>
      <w:r>
        <w:rPr>
          <w:rFonts w:ascii="Arial" w:cs="Arial" w:eastAsia="Arial" w:hAnsi="Arial"/>
          <w:sz w:val="18"/>
          <w:szCs w:val="18"/>
          <w:color w:val="auto"/>
        </w:rPr>
        <w:t>million. Altamira advances high priority national security missions supporting intelligence community and Department of War customers by providing multi-intelligence technology solutions and performing critical operations. Altamira expands Parsons’ market presence in signals intelligence, missile warning, space, and foreign military exploitation, and adds critical customer depth with the National Air and Space Intelligence Center, National Security Agency, and other classified intelligence customers. The transaction is consistent with Parsons’ strategy of completing accretive acquisitions with revenue growth and adjusted EBITDA margins of at least 10%.</w:t>
      </w:r>
    </w:p>
    <w:p>
      <w:pPr>
        <w:spacing w:after="0" w:line="71" w:lineRule="exact"/>
        <w:rPr>
          <w:sz w:val="20"/>
          <w:szCs w:val="20"/>
          <w:color w:val="auto"/>
        </w:rPr>
      </w:pPr>
    </w:p>
    <w:p>
      <w:pPr>
        <w:ind w:left="326" w:right="160" w:hanging="326"/>
        <w:spacing w:after="0" w:line="270" w:lineRule="auto"/>
        <w:tabs>
          <w:tab w:leader="none" w:pos="326" w:val="left"/>
        </w:tabs>
        <w:numPr>
          <w:ilvl w:val="0"/>
          <w:numId w:val="6"/>
        </w:numPr>
        <w:rPr>
          <w:rFonts w:ascii="Times New Roman" w:cs="Times New Roman" w:eastAsia="Times New Roman" w:hAnsi="Times New Roman"/>
          <w:sz w:val="18"/>
          <w:szCs w:val="18"/>
          <w:color w:val="0052CC"/>
        </w:rPr>
      </w:pPr>
      <w:r>
        <w:rPr>
          <w:rFonts w:ascii="Arial" w:cs="Arial" w:eastAsia="Arial" w:hAnsi="Arial"/>
          <w:sz w:val="18"/>
          <w:szCs w:val="18"/>
          <w:color w:val="auto"/>
        </w:rPr>
        <w:t>Named by Ethisphere as one of the 2026 World’s Most Ethical Companies. The company has been honored with this recognition for 17 consecutive years.</w:t>
      </w:r>
    </w:p>
    <w:p>
      <w:pPr>
        <w:spacing w:after="0" w:line="46" w:lineRule="exact"/>
        <w:rPr>
          <w:rFonts w:ascii="Times New Roman" w:cs="Times New Roman" w:eastAsia="Times New Roman" w:hAnsi="Times New Roman"/>
          <w:sz w:val="18"/>
          <w:szCs w:val="18"/>
          <w:color w:val="0052CC"/>
        </w:rPr>
      </w:pPr>
    </w:p>
    <w:p>
      <w:pPr>
        <w:ind w:left="326" w:right="140" w:hanging="326"/>
        <w:spacing w:after="0" w:line="300" w:lineRule="auto"/>
        <w:tabs>
          <w:tab w:leader="none" w:pos="326" w:val="left"/>
        </w:tabs>
        <w:numPr>
          <w:ilvl w:val="0"/>
          <w:numId w:val="6"/>
        </w:numPr>
        <w:rPr>
          <w:rFonts w:ascii="Times New Roman" w:cs="Times New Roman" w:eastAsia="Times New Roman" w:hAnsi="Times New Roman"/>
          <w:sz w:val="17"/>
          <w:szCs w:val="17"/>
          <w:color w:val="0052CC"/>
        </w:rPr>
      </w:pPr>
      <w:r>
        <w:rPr>
          <w:rFonts w:ascii="Arial" w:cs="Arial" w:eastAsia="Arial" w:hAnsi="Arial"/>
          <w:sz w:val="17"/>
          <w:szCs w:val="17"/>
          <w:color w:val="auto"/>
        </w:rPr>
        <w:t>Recognized with the Engineering Excellence Honor Award from the American Council of Engineering Companies (ACEC) of Georgia for the company’s work on the Akers Mill Ramp Extension project in Cobb County.</w:t>
      </w:r>
    </w:p>
    <w:p>
      <w:pPr>
        <w:spacing w:after="0" w:line="23" w:lineRule="exact"/>
        <w:rPr>
          <w:rFonts w:ascii="Times New Roman" w:cs="Times New Roman" w:eastAsia="Times New Roman" w:hAnsi="Times New Roman"/>
          <w:sz w:val="17"/>
          <w:szCs w:val="17"/>
          <w:color w:val="0052CC"/>
        </w:rPr>
      </w:pPr>
    </w:p>
    <w:p>
      <w:pPr>
        <w:ind w:left="326" w:hanging="326"/>
        <w:spacing w:after="0"/>
        <w:tabs>
          <w:tab w:leader="none" w:pos="326" w:val="left"/>
        </w:tabs>
        <w:numPr>
          <w:ilvl w:val="0"/>
          <w:numId w:val="6"/>
        </w:numPr>
        <w:rPr>
          <w:rFonts w:ascii="Times New Roman" w:cs="Times New Roman" w:eastAsia="Times New Roman" w:hAnsi="Times New Roman"/>
          <w:sz w:val="18"/>
          <w:szCs w:val="18"/>
          <w:color w:val="0052CC"/>
        </w:rPr>
      </w:pPr>
      <w:r>
        <w:rPr>
          <w:rFonts w:ascii="Arial" w:cs="Arial" w:eastAsia="Arial" w:hAnsi="Arial"/>
          <w:sz w:val="18"/>
          <w:szCs w:val="18"/>
          <w:color w:val="auto"/>
        </w:rPr>
        <w:t>Honored with the Refurbishment and Retrofit Project of the Year award at the Big Project Middle East Awards</w:t>
      </w:r>
    </w:p>
    <w:p>
      <w:pPr>
        <w:spacing w:after="0" w:line="12" w:lineRule="exact"/>
        <w:rPr>
          <w:rFonts w:ascii="Times New Roman" w:cs="Times New Roman" w:eastAsia="Times New Roman" w:hAnsi="Times New Roman"/>
          <w:sz w:val="18"/>
          <w:szCs w:val="18"/>
          <w:color w:val="0052CC"/>
        </w:rPr>
      </w:pPr>
    </w:p>
    <w:p>
      <w:pPr>
        <w:ind w:left="326" w:right="20"/>
        <w:spacing w:after="0" w:line="242" w:lineRule="auto"/>
        <w:rPr>
          <w:rFonts w:ascii="Times New Roman" w:cs="Times New Roman" w:eastAsia="Times New Roman" w:hAnsi="Times New Roman"/>
          <w:sz w:val="18"/>
          <w:szCs w:val="18"/>
          <w:color w:val="0052CC"/>
        </w:rPr>
      </w:pPr>
      <w:r>
        <w:rPr>
          <w:rFonts w:ascii="Arial" w:cs="Arial" w:eastAsia="Arial" w:hAnsi="Arial"/>
          <w:sz w:val="18"/>
          <w:szCs w:val="18"/>
          <w:color w:val="auto"/>
        </w:rPr>
        <w:t>2026 for the company’s work on the King Abdullah Finance District Residential Uplift project. This award marks the third consecutive year that the company’s Europe Middle East and Africa team has been recognized for exceptional work.</w:t>
      </w:r>
    </w:p>
    <w:p>
      <w:pPr>
        <w:spacing w:after="0" w:line="66"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0052CC"/>
        </w:rPr>
        <w:t>Fiscal Year 2026 Guidance</w:t>
      </w:r>
    </w:p>
    <w:p>
      <w:pPr>
        <w:spacing w:after="0" w:line="83"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company is reiterating its fiscal year 2026 revenue, adjusted EBITDA, and operating cash flow guidance ranges.</w:t>
      </w:r>
    </w:p>
    <w:p>
      <w:pPr>
        <w:spacing w:after="0" w:line="14"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table below summarizes the company’s fiscal year 2026 guidance.</w:t>
      </w:r>
    </w:p>
    <w:p>
      <w:pPr>
        <w:spacing w:after="0" w:line="84" w:lineRule="exact"/>
        <w:rPr>
          <w:sz w:val="20"/>
          <w:szCs w:val="20"/>
          <w:color w:val="auto"/>
        </w:rPr>
      </w:pPr>
    </w:p>
    <w:tbl>
      <w:tblPr>
        <w:tblLayout w:type="fixed"/>
        <w:tblInd w:w="6" w:type="dxa"/>
        <w:tblCellMar>
          <w:top w:w="0" w:type="dxa"/>
          <w:left w:w="0" w:type="dxa"/>
          <w:bottom w:w="0" w:type="dxa"/>
          <w:right w:w="0" w:type="dxa"/>
        </w:tblCellMar>
      </w:tblPr>
      <w:tr>
        <w:trPr>
          <w:trHeight w:val="278"/>
        </w:trPr>
        <w:tc>
          <w:tcPr>
            <w:tcW w:w="3020" w:type="dxa"/>
            <w:vAlign w:val="bottom"/>
          </w:tcPr>
          <w:p>
            <w:pPr>
              <w:spacing w:after="0"/>
              <w:rPr>
                <w:sz w:val="24"/>
                <w:szCs w:val="24"/>
                <w:color w:val="auto"/>
              </w:rPr>
            </w:pPr>
          </w:p>
        </w:tc>
        <w:tc>
          <w:tcPr>
            <w:tcW w:w="2820" w:type="dxa"/>
            <w:vAlign w:val="bottom"/>
            <w:tcBorders>
              <w:top w:val="single" w:sz="8" w:color="auto"/>
            </w:tcBorders>
            <w:shd w:val="clear" w:color="auto" w:fill="0052CC"/>
          </w:tcPr>
          <w:p>
            <w:pPr>
              <w:jc w:val="center"/>
              <w:spacing w:after="0"/>
              <w:rPr>
                <w:sz w:val="20"/>
                <w:szCs w:val="20"/>
                <w:color w:val="auto"/>
              </w:rPr>
            </w:pPr>
            <w:r>
              <w:rPr>
                <w:rFonts w:ascii="Arial" w:cs="Arial" w:eastAsia="Arial" w:hAnsi="Arial"/>
                <w:sz w:val="18"/>
                <w:szCs w:val="18"/>
                <w:b w:val="1"/>
                <w:bCs w:val="1"/>
                <w:color w:val="FFFFFF"/>
              </w:rPr>
              <w:t>Current Fiscal Year</w:t>
            </w:r>
          </w:p>
        </w:tc>
        <w:tc>
          <w:tcPr>
            <w:tcW w:w="3600" w:type="dxa"/>
            <w:vAlign w:val="bottom"/>
            <w:tcBorders>
              <w:top w:val="single" w:sz="8" w:color="auto"/>
            </w:tcBorders>
            <w:shd w:val="clear" w:color="auto" w:fill="0052CC"/>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02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shd w:val="clear" w:color="auto" w:fill="0052CC"/>
          </w:tcPr>
          <w:p>
            <w:pPr>
              <w:jc w:val="center"/>
              <w:spacing w:after="0"/>
              <w:rPr>
                <w:sz w:val="20"/>
                <w:szCs w:val="20"/>
                <w:color w:val="auto"/>
              </w:rPr>
            </w:pPr>
            <w:r>
              <w:rPr>
                <w:rFonts w:ascii="Arial" w:cs="Arial" w:eastAsia="Arial" w:hAnsi="Arial"/>
                <w:sz w:val="18"/>
                <w:szCs w:val="18"/>
                <w:b w:val="1"/>
                <w:bCs w:val="1"/>
                <w:color w:val="FFFFFF"/>
                <w:w w:val="99"/>
              </w:rPr>
              <w:t>2026 Guidance</w:t>
            </w:r>
          </w:p>
        </w:tc>
        <w:tc>
          <w:tcPr>
            <w:tcW w:w="3600" w:type="dxa"/>
            <w:vAlign w:val="bottom"/>
            <w:tcBorders>
              <w:bottom w:val="single" w:sz="8" w:color="auto"/>
            </w:tcBorders>
            <w:shd w:val="clear" w:color="auto" w:fill="0052CC"/>
          </w:tcPr>
          <w:p>
            <w:pPr>
              <w:jc w:val="center"/>
              <w:spacing w:after="0"/>
              <w:rPr>
                <w:sz w:val="20"/>
                <w:szCs w:val="20"/>
                <w:color w:val="auto"/>
              </w:rPr>
            </w:pPr>
            <w:r>
              <w:rPr>
                <w:rFonts w:ascii="Arial" w:cs="Arial" w:eastAsia="Arial" w:hAnsi="Arial"/>
                <w:sz w:val="18"/>
                <w:szCs w:val="18"/>
                <w:b w:val="1"/>
                <w:bCs w:val="1"/>
                <w:color w:val="FFFFFF"/>
                <w:w w:val="99"/>
              </w:rPr>
              <w:t>Growth at the Mid-point</w:t>
            </w:r>
          </w:p>
        </w:tc>
        <w:tc>
          <w:tcPr>
            <w:tcW w:w="0" w:type="dxa"/>
            <w:vAlign w:val="bottom"/>
          </w:tcPr>
          <w:p>
            <w:pPr>
              <w:spacing w:after="0"/>
              <w:rPr>
                <w:sz w:val="1"/>
                <w:szCs w:val="1"/>
                <w:color w:val="auto"/>
              </w:rPr>
            </w:pPr>
          </w:p>
        </w:tc>
      </w:tr>
      <w:tr>
        <w:trPr>
          <w:trHeight w:val="261"/>
        </w:trPr>
        <w:tc>
          <w:tcPr>
            <w:tcW w:w="3020" w:type="dxa"/>
            <w:vAlign w:val="bottom"/>
            <w:vMerge w:val="restart"/>
          </w:tcPr>
          <w:p>
            <w:pPr>
              <w:ind w:left="60"/>
              <w:spacing w:after="0"/>
              <w:rPr>
                <w:sz w:val="20"/>
                <w:szCs w:val="20"/>
                <w:color w:val="auto"/>
              </w:rPr>
            </w:pPr>
            <w:r>
              <w:rPr>
                <w:rFonts w:ascii="Arial" w:cs="Arial" w:eastAsia="Arial" w:hAnsi="Arial"/>
                <w:sz w:val="18"/>
                <w:szCs w:val="18"/>
                <w:color w:val="auto"/>
              </w:rPr>
              <w:t>Revenue</w:t>
            </w:r>
          </w:p>
        </w:tc>
        <w:tc>
          <w:tcPr>
            <w:tcW w:w="2820" w:type="dxa"/>
            <w:vAlign w:val="bottom"/>
            <w:vMerge w:val="restart"/>
          </w:tcPr>
          <w:p>
            <w:pPr>
              <w:jc w:val="center"/>
              <w:spacing w:after="0"/>
              <w:rPr>
                <w:sz w:val="20"/>
                <w:szCs w:val="20"/>
                <w:color w:val="auto"/>
              </w:rPr>
            </w:pPr>
            <w:r>
              <w:rPr>
                <w:rFonts w:ascii="Arial" w:cs="Arial" w:eastAsia="Arial" w:hAnsi="Arial"/>
                <w:sz w:val="18"/>
                <w:szCs w:val="18"/>
                <w:color w:val="auto"/>
                <w:w w:val="99"/>
              </w:rPr>
              <w:t>$6,500 million - $6,800 million</w:t>
            </w:r>
          </w:p>
        </w:tc>
        <w:tc>
          <w:tcPr>
            <w:tcW w:w="3600" w:type="dxa"/>
            <w:vAlign w:val="bottom"/>
          </w:tcPr>
          <w:p>
            <w:pPr>
              <w:jc w:val="center"/>
              <w:ind w:right="10"/>
              <w:spacing w:after="0"/>
              <w:rPr>
                <w:sz w:val="20"/>
                <w:szCs w:val="20"/>
                <w:color w:val="auto"/>
              </w:rPr>
            </w:pPr>
            <w:r>
              <w:rPr>
                <w:rFonts w:ascii="Arial" w:cs="Arial" w:eastAsia="Arial" w:hAnsi="Arial"/>
                <w:sz w:val="18"/>
                <w:szCs w:val="18"/>
                <w:color w:val="auto"/>
                <w:w w:val="99"/>
              </w:rPr>
              <w:t>+4.5% growth and +0.6% organically;</w:t>
            </w:r>
          </w:p>
        </w:tc>
        <w:tc>
          <w:tcPr>
            <w:tcW w:w="0" w:type="dxa"/>
            <w:vAlign w:val="bottom"/>
          </w:tcPr>
          <w:p>
            <w:pPr>
              <w:spacing w:after="0"/>
              <w:rPr>
                <w:sz w:val="1"/>
                <w:szCs w:val="1"/>
                <w:color w:val="auto"/>
              </w:rPr>
            </w:pPr>
          </w:p>
        </w:tc>
      </w:tr>
      <w:tr>
        <w:trPr>
          <w:trHeight w:val="207"/>
        </w:trPr>
        <w:tc>
          <w:tcPr>
            <w:tcW w:w="3020" w:type="dxa"/>
            <w:vAlign w:val="bottom"/>
            <w:vMerge w:val="continue"/>
          </w:tcPr>
          <w:p>
            <w:pPr>
              <w:spacing w:after="0"/>
              <w:rPr>
                <w:sz w:val="17"/>
                <w:szCs w:val="17"/>
                <w:color w:val="auto"/>
              </w:rPr>
            </w:pPr>
          </w:p>
        </w:tc>
        <w:tc>
          <w:tcPr>
            <w:tcW w:w="2820" w:type="dxa"/>
            <w:vAlign w:val="bottom"/>
            <w:vMerge w:val="continue"/>
          </w:tcPr>
          <w:p>
            <w:pPr>
              <w:spacing w:after="0"/>
              <w:rPr>
                <w:sz w:val="17"/>
                <w:szCs w:val="17"/>
                <w:color w:val="auto"/>
              </w:rPr>
            </w:pPr>
          </w:p>
        </w:tc>
        <w:tc>
          <w:tcPr>
            <w:tcW w:w="3600" w:type="dxa"/>
            <w:vAlign w:val="bottom"/>
          </w:tcPr>
          <w:p>
            <w:pPr>
              <w:jc w:val="center"/>
              <w:ind w:right="30"/>
              <w:spacing w:after="0"/>
              <w:rPr>
                <w:sz w:val="20"/>
                <w:szCs w:val="20"/>
                <w:color w:val="auto"/>
              </w:rPr>
            </w:pPr>
            <w:r>
              <w:rPr>
                <w:rFonts w:ascii="Arial" w:cs="Arial" w:eastAsia="Arial" w:hAnsi="Arial"/>
                <w:sz w:val="18"/>
                <w:szCs w:val="18"/>
                <w:color w:val="auto"/>
                <w:w w:val="99"/>
              </w:rPr>
              <w:t>+10.5% growth and +6% organically</w:t>
            </w:r>
          </w:p>
        </w:tc>
        <w:tc>
          <w:tcPr>
            <w:tcW w:w="0" w:type="dxa"/>
            <w:vAlign w:val="bottom"/>
          </w:tcPr>
          <w:p>
            <w:pPr>
              <w:spacing w:after="0"/>
              <w:rPr>
                <w:sz w:val="1"/>
                <w:szCs w:val="1"/>
                <w:color w:val="auto"/>
              </w:rPr>
            </w:pPr>
          </w:p>
        </w:tc>
      </w:tr>
      <w:tr>
        <w:trPr>
          <w:trHeight w:val="239"/>
        </w:trPr>
        <w:tc>
          <w:tcPr>
            <w:tcW w:w="30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rPr>
              <w:t>excluding confidential contract</w:t>
            </w:r>
          </w:p>
        </w:tc>
        <w:tc>
          <w:tcPr>
            <w:tcW w:w="0" w:type="dxa"/>
            <w:vAlign w:val="bottom"/>
          </w:tcPr>
          <w:p>
            <w:pPr>
              <w:spacing w:after="0"/>
              <w:rPr>
                <w:sz w:val="1"/>
                <w:szCs w:val="1"/>
                <w:color w:val="auto"/>
              </w:rPr>
            </w:pPr>
          </w:p>
        </w:tc>
      </w:tr>
      <w:tr>
        <w:trPr>
          <w:trHeight w:val="270"/>
        </w:trPr>
        <w:tc>
          <w:tcPr>
            <w:tcW w:w="3020" w:type="dxa"/>
            <w:vAlign w:val="bottom"/>
          </w:tcPr>
          <w:p>
            <w:pPr>
              <w:ind w:left="60"/>
              <w:spacing w:after="0"/>
              <w:rPr>
                <w:sz w:val="20"/>
                <w:szCs w:val="20"/>
                <w:color w:val="auto"/>
              </w:rPr>
            </w:pPr>
            <w:r>
              <w:rPr>
                <w:rFonts w:ascii="Arial" w:cs="Arial" w:eastAsia="Arial" w:hAnsi="Arial"/>
                <w:sz w:val="18"/>
                <w:szCs w:val="18"/>
                <w:color w:val="auto"/>
              </w:rPr>
              <w:t>Adjusted EBITDA including</w:t>
            </w:r>
          </w:p>
        </w:tc>
        <w:tc>
          <w:tcPr>
            <w:tcW w:w="2820" w:type="dxa"/>
            <w:vAlign w:val="bottom"/>
            <w:vMerge w:val="restart"/>
          </w:tcPr>
          <w:p>
            <w:pPr>
              <w:jc w:val="center"/>
              <w:spacing w:after="0"/>
              <w:rPr>
                <w:sz w:val="20"/>
                <w:szCs w:val="20"/>
                <w:color w:val="auto"/>
              </w:rPr>
            </w:pPr>
            <w:r>
              <w:rPr>
                <w:rFonts w:ascii="Arial" w:cs="Arial" w:eastAsia="Arial" w:hAnsi="Arial"/>
                <w:sz w:val="18"/>
                <w:szCs w:val="18"/>
                <w:color w:val="auto"/>
                <w:w w:val="99"/>
              </w:rPr>
              <w:t>$615 million - $675 million</w:t>
            </w:r>
          </w:p>
        </w:tc>
        <w:tc>
          <w:tcPr>
            <w:tcW w:w="3600" w:type="dxa"/>
            <w:vAlign w:val="bottom"/>
            <w:vMerge w:val="restart"/>
          </w:tcPr>
          <w:p>
            <w:pPr>
              <w:jc w:val="center"/>
              <w:spacing w:after="0"/>
              <w:rPr>
                <w:sz w:val="20"/>
                <w:szCs w:val="20"/>
                <w:color w:val="auto"/>
              </w:rPr>
            </w:pPr>
            <w:r>
              <w:rPr>
                <w:rFonts w:ascii="Arial" w:cs="Arial" w:eastAsia="Arial" w:hAnsi="Arial"/>
                <w:sz w:val="18"/>
                <w:szCs w:val="18"/>
                <w:color w:val="auto"/>
              </w:rPr>
              <w:t>+6% growth (10 bps expansion)</w:t>
            </w:r>
          </w:p>
        </w:tc>
        <w:tc>
          <w:tcPr>
            <w:tcW w:w="0" w:type="dxa"/>
            <w:vAlign w:val="bottom"/>
          </w:tcPr>
          <w:p>
            <w:pPr>
              <w:spacing w:after="0"/>
              <w:rPr>
                <w:sz w:val="1"/>
                <w:szCs w:val="1"/>
                <w:color w:val="auto"/>
              </w:rPr>
            </w:pPr>
          </w:p>
        </w:tc>
      </w:tr>
      <w:tr>
        <w:trPr>
          <w:trHeight w:val="121"/>
        </w:trPr>
        <w:tc>
          <w:tcPr>
            <w:tcW w:w="3020" w:type="dxa"/>
            <w:vAlign w:val="bottom"/>
            <w:vMerge w:val="restart"/>
          </w:tcPr>
          <w:p>
            <w:pPr>
              <w:ind w:left="60"/>
              <w:spacing w:after="0"/>
              <w:rPr>
                <w:sz w:val="20"/>
                <w:szCs w:val="20"/>
                <w:color w:val="auto"/>
              </w:rPr>
            </w:pPr>
            <w:r>
              <w:rPr>
                <w:rFonts w:ascii="Arial" w:cs="Arial" w:eastAsia="Arial" w:hAnsi="Arial"/>
                <w:sz w:val="18"/>
                <w:szCs w:val="18"/>
                <w:color w:val="auto"/>
              </w:rPr>
              <w:t>non-controlling interest</w:t>
            </w:r>
          </w:p>
        </w:tc>
        <w:tc>
          <w:tcPr>
            <w:tcW w:w="2820" w:type="dxa"/>
            <w:vAlign w:val="bottom"/>
            <w:vMerge w:val="continue"/>
          </w:tcPr>
          <w:p>
            <w:pPr>
              <w:spacing w:after="0"/>
              <w:rPr>
                <w:sz w:val="10"/>
                <w:szCs w:val="10"/>
                <w:color w:val="auto"/>
              </w:rPr>
            </w:pPr>
          </w:p>
        </w:tc>
        <w:tc>
          <w:tcPr>
            <w:tcW w:w="3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2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3020" w:type="dxa"/>
            <w:vAlign w:val="bottom"/>
          </w:tcPr>
          <w:p>
            <w:pPr>
              <w:ind w:left="60"/>
              <w:spacing w:after="0"/>
              <w:rPr>
                <w:sz w:val="20"/>
                <w:szCs w:val="20"/>
                <w:color w:val="auto"/>
              </w:rPr>
            </w:pPr>
            <w:r>
              <w:rPr>
                <w:rFonts w:ascii="Arial" w:cs="Arial" w:eastAsia="Arial" w:hAnsi="Arial"/>
                <w:sz w:val="18"/>
                <w:szCs w:val="18"/>
                <w:color w:val="auto"/>
              </w:rPr>
              <w:t>Cash Flow from Operating Activities</w:t>
            </w:r>
          </w:p>
        </w:tc>
        <w:tc>
          <w:tcPr>
            <w:tcW w:w="2820" w:type="dxa"/>
            <w:vAlign w:val="bottom"/>
          </w:tcPr>
          <w:p>
            <w:pPr>
              <w:jc w:val="center"/>
              <w:spacing w:after="0"/>
              <w:rPr>
                <w:sz w:val="20"/>
                <w:szCs w:val="20"/>
                <w:color w:val="auto"/>
              </w:rPr>
            </w:pPr>
            <w:r>
              <w:rPr>
                <w:rFonts w:ascii="Arial" w:cs="Arial" w:eastAsia="Arial" w:hAnsi="Arial"/>
                <w:sz w:val="18"/>
                <w:szCs w:val="18"/>
                <w:color w:val="auto"/>
                <w:w w:val="99"/>
              </w:rPr>
              <w:t>$470 million - $530 million</w:t>
            </w:r>
          </w:p>
        </w:tc>
        <w:tc>
          <w:tcPr>
            <w:tcW w:w="3600" w:type="dxa"/>
            <w:vAlign w:val="bottom"/>
          </w:tcPr>
          <w:p>
            <w:pPr>
              <w:jc w:val="center"/>
              <w:spacing w:after="0"/>
              <w:rPr>
                <w:sz w:val="20"/>
                <w:szCs w:val="20"/>
                <w:color w:val="auto"/>
              </w:rPr>
            </w:pPr>
            <w:r>
              <w:rPr>
                <w:rFonts w:ascii="Arial" w:cs="Arial" w:eastAsia="Arial" w:hAnsi="Arial"/>
                <w:sz w:val="18"/>
                <w:szCs w:val="18"/>
                <w:color w:val="auto"/>
              </w:rPr>
              <w:t>+5% growth</w:t>
            </w:r>
          </w:p>
        </w:tc>
        <w:tc>
          <w:tcPr>
            <w:tcW w:w="0" w:type="dxa"/>
            <w:vAlign w:val="bottom"/>
          </w:tcPr>
          <w:p>
            <w:pPr>
              <w:spacing w:after="0"/>
              <w:rPr>
                <w:sz w:val="1"/>
                <w:szCs w:val="1"/>
                <w:color w:val="auto"/>
              </w:rPr>
            </w:pPr>
          </w:p>
        </w:tc>
      </w:tr>
      <w:tr>
        <w:trPr>
          <w:trHeight w:val="23"/>
        </w:trPr>
        <w:tc>
          <w:tcPr>
            <w:tcW w:w="30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 w:right="100"/>
        <w:spacing w:after="0" w:line="244" w:lineRule="auto"/>
        <w:rPr>
          <w:sz w:val="20"/>
          <w:szCs w:val="20"/>
          <w:color w:val="auto"/>
        </w:rPr>
      </w:pPr>
      <w:r>
        <w:rPr>
          <w:rFonts w:ascii="Arial" w:cs="Arial" w:eastAsia="Arial" w:hAnsi="Arial"/>
          <w:sz w:val="18"/>
          <w:szCs w:val="18"/>
          <w:color w:val="auto"/>
        </w:rPr>
        <w:t>We have not provided a reconciliation of our Adjusted EBITDA guidance because the information needed to reconcile this measure is unavailable due to the inherent difficulty of forecasting the timing or amount of various items that have not yet occurred which may be significant. Additionally, estimating such GAAP measure and providing a meaningful reconciliation for future periods requires a level of precision that is unavailable for these future periods and cannot be accomplished without unreasonable effort.</w:t>
      </w:r>
    </w:p>
    <w:p>
      <w:pPr>
        <w:spacing w:after="0" w:line="49"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0052CC"/>
        </w:rPr>
        <w:t>Conference Call Information</w:t>
      </w:r>
    </w:p>
    <w:p>
      <w:pPr>
        <w:spacing w:after="0" w:line="83" w:lineRule="exact"/>
        <w:rPr>
          <w:sz w:val="20"/>
          <w:szCs w:val="20"/>
          <w:color w:val="auto"/>
        </w:rPr>
      </w:pPr>
    </w:p>
    <w:p>
      <w:pPr>
        <w:ind w:left="6" w:right="380"/>
        <w:spacing w:after="0" w:line="271" w:lineRule="auto"/>
        <w:rPr>
          <w:sz w:val="20"/>
          <w:szCs w:val="20"/>
          <w:color w:val="auto"/>
        </w:rPr>
      </w:pPr>
      <w:r>
        <w:rPr>
          <w:rFonts w:ascii="Arial" w:cs="Arial" w:eastAsia="Arial" w:hAnsi="Arial"/>
          <w:sz w:val="18"/>
          <w:szCs w:val="18"/>
          <w:color w:val="auto"/>
        </w:rPr>
        <w:t>Parsons will host a conference call today, April 29, 2026, at 8:00 a.m. ET to discuss the financial results for its first quarter 2026.</w:t>
      </w:r>
    </w:p>
    <w:p>
      <w:pPr>
        <w:spacing w:after="0" w:line="46" w:lineRule="exact"/>
        <w:rPr>
          <w:sz w:val="20"/>
          <w:szCs w:val="20"/>
          <w:color w:val="auto"/>
        </w:rPr>
      </w:pPr>
    </w:p>
    <w:p>
      <w:pPr>
        <w:ind w:left="6" w:right="20"/>
        <w:spacing w:after="0" w:line="253" w:lineRule="auto"/>
        <w:rPr>
          <w:sz w:val="20"/>
          <w:szCs w:val="20"/>
          <w:color w:val="auto"/>
        </w:rPr>
      </w:pPr>
      <w:r>
        <w:rPr>
          <w:rFonts w:ascii="Arial" w:cs="Arial" w:eastAsia="Arial" w:hAnsi="Arial"/>
          <w:sz w:val="18"/>
          <w:szCs w:val="18"/>
          <w:color w:val="auto"/>
        </w:rPr>
        <w:t>Access to a webcast of the live conference call can be obtained through the Investor Relations section of the company's website (https://investors.parsons.com). Those parties interested in participating via telephone may register on the Investor Relations website or by clicking here.</w:t>
      </w:r>
    </w:p>
    <w:p>
      <w:pPr>
        <w:spacing w:after="0" w:line="61" w:lineRule="exact"/>
        <w:rPr>
          <w:sz w:val="20"/>
          <w:szCs w:val="20"/>
          <w:color w:val="auto"/>
        </w:rPr>
      </w:pPr>
    </w:p>
    <w:p>
      <w:pPr>
        <w:ind w:left="6" w:right="180"/>
        <w:spacing w:after="0" w:line="271" w:lineRule="auto"/>
        <w:rPr>
          <w:sz w:val="20"/>
          <w:szCs w:val="20"/>
          <w:color w:val="auto"/>
        </w:rPr>
      </w:pPr>
      <w:r>
        <w:rPr>
          <w:rFonts w:ascii="Arial" w:cs="Arial" w:eastAsia="Arial" w:hAnsi="Arial"/>
          <w:sz w:val="18"/>
          <w:szCs w:val="18"/>
          <w:color w:val="auto"/>
        </w:rPr>
        <w:t>A replay will be available on the company's website approximately two hours after the conference call and continuing for one year.</w:t>
      </w:r>
    </w:p>
    <w:p>
      <w:pPr>
        <w:spacing w:after="0" w:line="185" w:lineRule="exact"/>
        <w:rPr>
          <w:sz w:val="20"/>
          <w:szCs w:val="20"/>
          <w:color w:val="auto"/>
        </w:rPr>
      </w:pPr>
    </w:p>
    <w:p>
      <w:pPr>
        <w:ind w:left="6"/>
        <w:spacing w:after="0"/>
        <w:tabs>
          <w:tab w:leader="none" w:pos="6026" w:val="left"/>
          <w:tab w:leader="none" w:pos="9346" w:val="left"/>
        </w:tabs>
        <w:rPr>
          <w:sz w:val="20"/>
          <w:szCs w:val="20"/>
          <w:color w:val="auto"/>
        </w:rPr>
      </w:pPr>
      <w:r>
        <w:rPr>
          <w:rFonts w:ascii="Arial" w:cs="Arial" w:eastAsia="Arial" w:hAnsi="Arial"/>
          <w:sz w:val="16"/>
          <w:szCs w:val="16"/>
          <w:color w:val="auto"/>
        </w:rPr>
        <w:t>parsons.com</w:t>
      </w:r>
      <w:r>
        <w:rPr>
          <w:sz w:val="20"/>
          <w:szCs w:val="20"/>
          <w:color w:val="auto"/>
        </w:rPr>
        <w:tab/>
      </w:r>
      <w:r>
        <w:rPr>
          <w:rFonts w:ascii="Arial" w:cs="Arial" w:eastAsia="Arial" w:hAnsi="Arial"/>
          <w:sz w:val="16"/>
          <w:szCs w:val="16"/>
          <w:color w:val="auto"/>
        </w:rPr>
        <w:t>©Parsons Corporation. All Rights Reserved.</w:t>
      </w:r>
      <w:r>
        <w:rPr>
          <w:sz w:val="20"/>
          <w:szCs w:val="20"/>
          <w:color w:val="auto"/>
        </w:rPr>
        <w:tab/>
      </w: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wp:posOffset>
            </wp:positionH>
            <wp:positionV relativeFrom="paragraph">
              <wp:posOffset>565150</wp:posOffset>
            </wp:positionV>
            <wp:extent cx="70377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446"/>
          </w:cols>
          <w:pgMar w:left="1214" w:top="1440" w:right="1239" w:bottom="1440" w:gutter="0" w:footer="0" w:header="0"/>
        </w:sectPr>
      </w:pPr>
    </w:p>
    <w:bookmarkStart w:id="8" w:name="page9"/>
    <w:bookmarkEnd w:id="8"/>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637540</wp:posOffset>
            </wp:positionV>
            <wp:extent cx="6000750"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22885"/>
                    </a:xfrm>
                    <a:prstGeom prst="rect">
                      <a:avLst/>
                    </a:prstGeom>
                    <a:noFill/>
                  </pic:spPr>
                </pic:pic>
              </a:graphicData>
            </a:graphic>
          </wp:anchor>
        </w:drawing>
      </w:r>
    </w:p>
    <w:p>
      <w:pPr>
        <w:ind w:left="800"/>
        <w:spacing w:after="0"/>
        <w:rPr>
          <w:sz w:val="20"/>
          <w:szCs w:val="20"/>
          <w:color w:val="auto"/>
        </w:rPr>
      </w:pPr>
      <w:r>
        <w:rPr>
          <w:rFonts w:ascii="Arial" w:cs="Arial" w:eastAsia="Arial" w:hAnsi="Arial"/>
          <w:sz w:val="25"/>
          <w:szCs w:val="25"/>
          <w:b w:val="1"/>
          <w:bCs w:val="1"/>
          <w:color w:val="0052CC"/>
        </w:rPr>
        <w:t>About Parsons Corporation</w:t>
      </w:r>
    </w:p>
    <w:p>
      <w:pPr>
        <w:spacing w:after="0" w:line="123" w:lineRule="exact"/>
        <w:rPr>
          <w:sz w:val="20"/>
          <w:szCs w:val="20"/>
          <w:color w:val="auto"/>
        </w:rPr>
      </w:pPr>
    </w:p>
    <w:p>
      <w:pPr>
        <w:ind w:left="800" w:right="1040"/>
        <w:spacing w:after="0" w:line="247" w:lineRule="auto"/>
        <w:rPr>
          <w:sz w:val="20"/>
          <w:szCs w:val="20"/>
          <w:color w:val="auto"/>
        </w:rPr>
      </w:pPr>
      <w:r>
        <w:rPr>
          <w:rFonts w:ascii="Arial" w:cs="Arial" w:eastAsia="Arial" w:hAnsi="Arial"/>
          <w:sz w:val="18"/>
          <w:szCs w:val="18"/>
          <w:color w:val="auto"/>
        </w:rPr>
        <w:t>Parsons (NYSE: PSN) is a leading disruptive technology provider in the national security and global infrastructure markets, with capabilities across cyber and electronic warfare, space and missile defense, transportation, water and environment, urban development, and critical infrastructure protection. Please visit Parsons.com and follow us on LinkedIn and Facebook to learn how we’re making an impact.</w:t>
      </w:r>
    </w:p>
    <w:p>
      <w:pPr>
        <w:spacing w:after="0" w:line="60" w:lineRule="exact"/>
        <w:rPr>
          <w:sz w:val="20"/>
          <w:szCs w:val="20"/>
          <w:color w:val="auto"/>
        </w:rPr>
      </w:pPr>
    </w:p>
    <w:p>
      <w:pPr>
        <w:ind w:left="800"/>
        <w:spacing w:after="0"/>
        <w:rPr>
          <w:sz w:val="20"/>
          <w:szCs w:val="20"/>
          <w:color w:val="auto"/>
        </w:rPr>
      </w:pPr>
      <w:r>
        <w:rPr>
          <w:rFonts w:ascii="Arial" w:cs="Arial" w:eastAsia="Arial" w:hAnsi="Arial"/>
          <w:sz w:val="25"/>
          <w:szCs w:val="25"/>
          <w:b w:val="1"/>
          <w:bCs w:val="1"/>
          <w:color w:val="0052CC"/>
        </w:rPr>
        <w:t>Forward-Looking Statements</w:t>
      </w:r>
    </w:p>
    <w:p>
      <w:pPr>
        <w:spacing w:after="0" w:line="66" w:lineRule="exact"/>
        <w:rPr>
          <w:sz w:val="20"/>
          <w:szCs w:val="20"/>
          <w:color w:val="auto"/>
        </w:rPr>
      </w:pPr>
    </w:p>
    <w:p>
      <w:pPr>
        <w:ind w:left="800" w:right="820"/>
        <w:spacing w:after="0" w:line="233" w:lineRule="auto"/>
        <w:rPr>
          <w:sz w:val="20"/>
          <w:szCs w:val="20"/>
          <w:color w:val="auto"/>
        </w:rPr>
      </w:pPr>
      <w:r>
        <w:rPr>
          <w:rFonts w:ascii="Arial" w:cs="Arial" w:eastAsia="Arial" w:hAnsi="Arial"/>
          <w:sz w:val="17"/>
          <w:szCs w:val="17"/>
          <w:color w:val="auto"/>
        </w:rPr>
        <w:t>This Earnings Release and materials included therewith contains forward-looking statements within the meaning of the Private Securities Litigation Reform Act of 1995, Section 27A of the Securities Act of 1933, as amended, and Section 21E of the Securities Exchange Act of 1934, as amended. Forward-looking statements are based on our current expectations, beliefs, and assumptions, and are not guarantees of future performance. Forward-looking statements are inherently subject to uncertainties, risks, changes in circumstances, trends and factors that are difficult to predict, many of which are outside of our control. Accordingly, actual performance, results and events may vary materially from those indicated in the forward-looking statements, and you should not rely on the forward-looking statements as predictions of future performance, results or events. Numerous factors could cause actual future performance, results and events to differ materially from those indicated in the forward-looking statements, including, among others: any issue that compromises our relationships with the U.S. federal government or its agencies or other state, local or foreign governments or agencies; any issues that damage our professional reputation; changes in governmental priorities that shift expenditures away from agencies or programs that we support; volatility of government budgets and funding; our dependence on the award, maintenance and renewal of long-term government contracts, which are subject to the government’s budgetary approval process; the size of our addressable markets and the amount of government spending on private contractors; failure by us or our employees to obtain and maintain necessary security clearances or certifications; failure to comply with numerous laws and regulations; changes in government procurement, contract or other practices or the adoption by governments of new laws, rules, regulations and programs in a manner adverse to us; the termination or nonrenewal of our government contracts, particularly our contracts with the U.S. federal government; our ability to compete effectively in the competitive bidding process and delays, contract terminations or cancellations caused by competitors’ protests of major contract awards received by us; our ability to generate revenue under certain of our contracts; any inability to attract, train or retain employees with the requisite skills, experience and security clearances; the loss of members of senior management or failure to develop new leaders; misconduct or other improper activities from our employees or subcontractors; our ability to realize the full value of our backlog and the timing of our receipt of revenue under contracts included in backlog; changes in the mix of our contracts and our ability to accurately estimate or otherwise recover expenses, time and resources for our contracts; changes in estimates used in recognizing revenue; internal system or service failures and security breaches; and inherent uncertainties and potential adverse developments in legal proceedings including litigation, audits, reviews and investigations, which may result in materially adverse judgments, settlements or other unfavorable outcomes. These factors are not exhaustive and additional factors could adversely affect our business and financial performance. For a discussion of additional factors that could materially adversely affect our business and financial performance, see the factors including under the caption “Risk Factors” in our Annual Report on Form 10-K filed with the Securities and Exchange Commission for the fiscal year ended December 31, 2025, and our other filings with the Securities and Exchange Commission.</w:t>
      </w:r>
    </w:p>
    <w:p>
      <w:pPr>
        <w:spacing w:after="0" w:line="84" w:lineRule="exact"/>
        <w:rPr>
          <w:sz w:val="20"/>
          <w:szCs w:val="20"/>
          <w:color w:val="auto"/>
        </w:rPr>
      </w:pPr>
    </w:p>
    <w:p>
      <w:pPr>
        <w:ind w:left="800" w:right="920"/>
        <w:spacing w:after="0" w:line="244" w:lineRule="auto"/>
        <w:rPr>
          <w:sz w:val="20"/>
          <w:szCs w:val="20"/>
          <w:color w:val="auto"/>
        </w:rPr>
      </w:pPr>
      <w:r>
        <w:rPr>
          <w:rFonts w:ascii="Arial" w:cs="Arial" w:eastAsia="Arial" w:hAnsi="Arial"/>
          <w:sz w:val="17"/>
          <w:szCs w:val="17"/>
          <w:color w:val="auto"/>
        </w:rPr>
        <w:t>All forward-looking statements are based on currently available information and speak only as of the date on which they are made. We assume no obligation to update any forward-looking statements made in this presentation that becomes untrue because of subsequent events, new information or otherwise, except to the extent we are required to do so in connection with our ongoing requirements under federal securities laws.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w w:val="96"/>
              </w:rPr>
              <w:t>Media:</w:t>
            </w:r>
          </w:p>
        </w:tc>
        <w:tc>
          <w:tcPr>
            <w:tcW w:w="3360" w:type="dxa"/>
            <w:vAlign w:val="bottom"/>
          </w:tcPr>
          <w:p>
            <w:pPr>
              <w:spacing w:after="0"/>
              <w:rPr>
                <w:sz w:val="18"/>
                <w:szCs w:val="18"/>
                <w:color w:val="auto"/>
              </w:rPr>
            </w:pPr>
          </w:p>
        </w:tc>
        <w:tc>
          <w:tcPr>
            <w:tcW w:w="6340" w:type="dxa"/>
            <w:vAlign w:val="bottom"/>
            <w:gridSpan w:val="3"/>
          </w:tcPr>
          <w:p>
            <w:pPr>
              <w:ind w:left="1460"/>
              <w:spacing w:after="0"/>
              <w:rPr>
                <w:sz w:val="20"/>
                <w:szCs w:val="20"/>
                <w:color w:val="auto"/>
              </w:rPr>
            </w:pPr>
            <w:r>
              <w:rPr>
                <w:rFonts w:ascii="Arial" w:cs="Arial" w:eastAsia="Arial" w:hAnsi="Arial"/>
                <w:sz w:val="18"/>
                <w:szCs w:val="18"/>
                <w:color w:val="auto"/>
              </w:rPr>
              <w:t>Investor Relations:</w:t>
            </w:r>
          </w:p>
        </w:tc>
      </w:tr>
      <w:tr>
        <w:trPr>
          <w:trHeight w:val="20"/>
        </w:trPr>
        <w:tc>
          <w:tcPr>
            <w:tcW w:w="8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281"/>
        </w:trPr>
        <w:tc>
          <w:tcPr>
            <w:tcW w:w="800" w:type="dxa"/>
            <w:vAlign w:val="bottom"/>
          </w:tcPr>
          <w:p>
            <w:pPr>
              <w:spacing w:after="0"/>
              <w:rPr>
                <w:sz w:val="24"/>
                <w:szCs w:val="24"/>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Bryce McDevitt</w:t>
            </w:r>
          </w:p>
        </w:tc>
        <w:tc>
          <w:tcPr>
            <w:tcW w:w="6340" w:type="dxa"/>
            <w:vAlign w:val="bottom"/>
            <w:gridSpan w:val="3"/>
          </w:tcPr>
          <w:p>
            <w:pPr>
              <w:ind w:left="1460"/>
              <w:spacing w:after="0"/>
              <w:rPr>
                <w:sz w:val="20"/>
                <w:szCs w:val="20"/>
                <w:color w:val="auto"/>
              </w:rPr>
            </w:pPr>
            <w:r>
              <w:rPr>
                <w:rFonts w:ascii="Arial" w:cs="Arial" w:eastAsia="Arial" w:hAnsi="Arial"/>
                <w:sz w:val="18"/>
                <w:szCs w:val="18"/>
                <w:color w:val="auto"/>
              </w:rPr>
              <w:t>Dave Spille</w:t>
            </w:r>
          </w:p>
        </w:tc>
      </w:tr>
      <w:tr>
        <w:trPr>
          <w:trHeight w:val="257"/>
        </w:trPr>
        <w:tc>
          <w:tcPr>
            <w:tcW w:w="800" w:type="dxa"/>
            <w:vAlign w:val="bottom"/>
          </w:tcPr>
          <w:p>
            <w:pPr>
              <w:spacing w:after="0"/>
              <w:rPr>
                <w:sz w:val="22"/>
                <w:szCs w:val="22"/>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Parsons Corporation</w:t>
            </w:r>
          </w:p>
        </w:tc>
        <w:tc>
          <w:tcPr>
            <w:tcW w:w="6340" w:type="dxa"/>
            <w:vAlign w:val="bottom"/>
            <w:gridSpan w:val="3"/>
          </w:tcPr>
          <w:p>
            <w:pPr>
              <w:ind w:left="1460"/>
              <w:spacing w:after="0"/>
              <w:rPr>
                <w:sz w:val="20"/>
                <w:szCs w:val="20"/>
                <w:color w:val="auto"/>
              </w:rPr>
            </w:pPr>
            <w:r>
              <w:rPr>
                <w:rFonts w:ascii="Arial" w:cs="Arial" w:eastAsia="Arial" w:hAnsi="Arial"/>
                <w:sz w:val="18"/>
                <w:szCs w:val="18"/>
                <w:color w:val="auto"/>
              </w:rPr>
              <w:t>Parsons Corporation</w:t>
            </w:r>
          </w:p>
        </w:tc>
      </w:tr>
      <w:tr>
        <w:trPr>
          <w:trHeight w:val="257"/>
        </w:trPr>
        <w:tc>
          <w:tcPr>
            <w:tcW w:w="4700" w:type="dxa"/>
            <w:vAlign w:val="bottom"/>
            <w:gridSpan w:val="3"/>
          </w:tcPr>
          <w:p>
            <w:pPr>
              <w:ind w:left="800"/>
              <w:spacing w:after="0"/>
              <w:rPr>
                <w:sz w:val="20"/>
                <w:szCs w:val="20"/>
                <w:color w:val="auto"/>
              </w:rPr>
            </w:pPr>
            <w:r>
              <w:rPr>
                <w:rFonts w:ascii="Arial" w:cs="Arial" w:eastAsia="Arial" w:hAnsi="Arial"/>
                <w:sz w:val="18"/>
                <w:szCs w:val="18"/>
                <w:color w:val="auto"/>
              </w:rPr>
              <w:t>(703) 851-4425</w:t>
            </w:r>
          </w:p>
        </w:tc>
        <w:tc>
          <w:tcPr>
            <w:tcW w:w="2940" w:type="dxa"/>
            <w:vAlign w:val="bottom"/>
            <w:gridSpan w:val="2"/>
          </w:tcPr>
          <w:p>
            <w:pPr>
              <w:ind w:left="1460"/>
              <w:spacing w:after="0"/>
              <w:rPr>
                <w:sz w:val="20"/>
                <w:szCs w:val="20"/>
                <w:color w:val="auto"/>
              </w:rPr>
            </w:pPr>
            <w:r>
              <w:rPr>
                <w:rFonts w:ascii="Arial" w:cs="Arial" w:eastAsia="Arial" w:hAnsi="Arial"/>
                <w:sz w:val="18"/>
                <w:szCs w:val="18"/>
                <w:color w:val="auto"/>
              </w:rPr>
              <w:t>(571) 775-0408</w:t>
            </w:r>
          </w:p>
        </w:tc>
        <w:tc>
          <w:tcPr>
            <w:tcW w:w="3400" w:type="dxa"/>
            <w:vAlign w:val="bottom"/>
          </w:tcPr>
          <w:p>
            <w:pPr>
              <w:spacing w:after="0"/>
              <w:rPr>
                <w:sz w:val="22"/>
                <w:szCs w:val="22"/>
                <w:color w:val="auto"/>
              </w:rPr>
            </w:pPr>
          </w:p>
        </w:tc>
      </w:tr>
      <w:tr>
        <w:trPr>
          <w:trHeight w:val="256"/>
        </w:trPr>
        <w:tc>
          <w:tcPr>
            <w:tcW w:w="800" w:type="dxa"/>
            <w:vAlign w:val="bottom"/>
          </w:tcPr>
          <w:p>
            <w:pPr>
              <w:spacing w:after="0"/>
              <w:rPr>
                <w:sz w:val="22"/>
                <w:szCs w:val="22"/>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Bryce.McDevitt@Parsons.com</w:t>
            </w:r>
          </w:p>
        </w:tc>
        <w:tc>
          <w:tcPr>
            <w:tcW w:w="6340" w:type="dxa"/>
            <w:vAlign w:val="bottom"/>
            <w:gridSpan w:val="3"/>
          </w:tcPr>
          <w:p>
            <w:pPr>
              <w:ind w:left="1460"/>
              <w:spacing w:after="0"/>
              <w:rPr>
                <w:sz w:val="20"/>
                <w:szCs w:val="20"/>
                <w:color w:val="auto"/>
              </w:rPr>
            </w:pPr>
            <w:r>
              <w:rPr>
                <w:rFonts w:ascii="Arial" w:cs="Arial" w:eastAsia="Arial" w:hAnsi="Arial"/>
                <w:sz w:val="18"/>
                <w:szCs w:val="18"/>
                <w:color w:val="auto"/>
              </w:rPr>
              <w:t>Dave.Spille@Parsons.us</w:t>
            </w:r>
          </w:p>
        </w:tc>
      </w:tr>
      <w:tr>
        <w:trPr>
          <w:trHeight w:val="548"/>
        </w:trPr>
        <w:tc>
          <w:tcPr>
            <w:tcW w:w="800" w:type="dxa"/>
            <w:vAlign w:val="bottom"/>
          </w:tcPr>
          <w:p>
            <w:pPr>
              <w:spacing w:after="0"/>
              <w:rPr>
                <w:sz w:val="24"/>
                <w:szCs w:val="24"/>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parsons.com</w:t>
            </w:r>
          </w:p>
        </w:tc>
        <w:tc>
          <w:tcPr>
            <w:tcW w:w="1460" w:type="dxa"/>
            <w:vAlign w:val="bottom"/>
          </w:tcPr>
          <w:p>
            <w:pPr>
              <w:spacing w:after="0"/>
              <w:rPr>
                <w:sz w:val="24"/>
                <w:szCs w:val="24"/>
                <w:color w:val="auto"/>
              </w:rPr>
            </w:pPr>
          </w:p>
        </w:tc>
        <w:tc>
          <w:tcPr>
            <w:tcW w:w="4880" w:type="dxa"/>
            <w:vAlign w:val="bottom"/>
            <w:gridSpan w:val="2"/>
          </w:tcPr>
          <w:p>
            <w:pPr>
              <w:ind w:left="680"/>
              <w:spacing w:after="0"/>
              <w:rPr>
                <w:sz w:val="20"/>
                <w:szCs w:val="20"/>
                <w:color w:val="auto"/>
              </w:rPr>
            </w:pPr>
            <w:r>
              <w:rPr>
                <w:rFonts w:ascii="Arial" w:cs="Arial" w:eastAsia="Arial" w:hAnsi="Arial"/>
                <w:sz w:val="16"/>
                <w:szCs w:val="16"/>
                <w:color w:val="auto"/>
              </w:rPr>
              <w:t>©Parsons Corporation. All Rights Reserved.  6</w:t>
            </w:r>
          </w:p>
        </w:tc>
      </w:tr>
      <w:tr>
        <w:trPr>
          <w:trHeight w:val="873"/>
        </w:trPr>
        <w:tc>
          <w:tcPr>
            <w:tcW w:w="8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sectPr>
      </w:pPr>
    </w:p>
    <w:bookmarkStart w:id="9" w:name="page10"/>
    <w:bookmarkEnd w:id="9"/>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637540</wp:posOffset>
            </wp:positionV>
            <wp:extent cx="6000750" cy="222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22885"/>
                    </a:xfrm>
                    <a:prstGeom prst="rect">
                      <a:avLst/>
                    </a:prstGeom>
                    <a:noFill/>
                  </pic:spPr>
                </pic:pic>
              </a:graphicData>
            </a:graphic>
          </wp:anchor>
        </w:drawing>
      </w:r>
    </w:p>
    <w:p>
      <w:pPr>
        <w:ind w:left="860"/>
        <w:spacing w:after="0"/>
        <w:rPr>
          <w:sz w:val="20"/>
          <w:szCs w:val="20"/>
          <w:color w:val="auto"/>
        </w:rPr>
      </w:pPr>
      <w:r>
        <w:rPr>
          <w:rFonts w:ascii="Arial" w:cs="Arial" w:eastAsia="Arial" w:hAnsi="Arial"/>
          <w:sz w:val="25"/>
          <w:szCs w:val="25"/>
          <w:b w:val="1"/>
          <w:bCs w:val="1"/>
          <w:color w:val="0052CC"/>
        </w:rPr>
        <w:t>PARSONS CORPORATION</w:t>
      </w:r>
    </w:p>
    <w:p>
      <w:pPr>
        <w:spacing w:after="0" w:line="36" w:lineRule="exact"/>
        <w:rPr>
          <w:sz w:val="20"/>
          <w:szCs w:val="20"/>
          <w:color w:val="auto"/>
        </w:rPr>
      </w:pPr>
    </w:p>
    <w:p>
      <w:pPr>
        <w:ind w:left="800"/>
        <w:spacing w:after="0"/>
        <w:rPr>
          <w:sz w:val="20"/>
          <w:szCs w:val="20"/>
          <w:color w:val="auto"/>
        </w:rPr>
      </w:pPr>
      <w:r>
        <w:rPr>
          <w:rFonts w:ascii="Arial" w:cs="Arial" w:eastAsia="Arial" w:hAnsi="Arial"/>
          <w:sz w:val="25"/>
          <w:szCs w:val="25"/>
          <w:b w:val="1"/>
          <w:bCs w:val="1"/>
          <w:color w:val="0052CC"/>
        </w:rPr>
        <w:t>CONSOLIDATED STATEMENTS OF OPERATIONS</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(In thousands, except per share data)</w:t>
      </w:r>
    </w:p>
    <w:p>
      <w:pPr>
        <w:ind w:left="800"/>
        <w:spacing w:after="0"/>
        <w:rPr>
          <w:sz w:val="20"/>
          <w:szCs w:val="20"/>
          <w:color w:val="auto"/>
        </w:rPr>
      </w:pPr>
      <w:r>
        <w:rPr>
          <w:rFonts w:ascii="Arial" w:cs="Arial" w:eastAsia="Arial" w:hAnsi="Arial"/>
          <w:sz w:val="18"/>
          <w:szCs w:val="18"/>
          <w:i w:val="1"/>
          <w:iCs w:val="1"/>
          <w:color w:val="auto"/>
        </w:rPr>
        <w:t>(Unaudited)</w:t>
      </w:r>
    </w:p>
    <w:p>
      <w:pPr>
        <w:spacing w:after="0" w:line="14" w:lineRule="exact"/>
        <w:rPr>
          <w:sz w:val="20"/>
          <w:szCs w:val="20"/>
          <w:color w:val="auto"/>
        </w:rPr>
      </w:pPr>
    </w:p>
    <w:tbl>
      <w:tblPr>
        <w:tblLayout w:type="fixed"/>
        <w:tblInd w:w="8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5"/>
          </w:tcPr>
          <w:p>
            <w:pPr>
              <w:jc w:val="right"/>
              <w:ind w:right="871"/>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March 31, 2026</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March 31, 2025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84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1,491,176</w:t>
            </w:r>
          </w:p>
        </w:tc>
        <w:tc>
          <w:tcPr>
            <w:tcW w:w="20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1,554,360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spacing w:after="0" w:line="202" w:lineRule="exact"/>
              <w:rPr>
                <w:sz w:val="20"/>
                <w:szCs w:val="20"/>
                <w:color w:val="auto"/>
              </w:rPr>
            </w:pPr>
            <w:r>
              <w:rPr>
                <w:rFonts w:ascii="Arial" w:cs="Arial" w:eastAsia="Arial" w:hAnsi="Arial"/>
                <w:sz w:val="18"/>
                <w:szCs w:val="18"/>
                <w:color w:val="auto"/>
              </w:rPr>
              <w:t>Direct cost of contracts</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1,133,756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1,200,377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Equity in earnings (losses) of unconsolidated joint ventures</w:t>
            </w: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6,156</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6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267,902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244,063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Operating income</w:t>
            </w:r>
          </w:p>
        </w:tc>
        <w:tc>
          <w:tcPr>
            <w:tcW w:w="6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95,674</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109,233</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Pr>
          <w:p>
            <w:pPr>
              <w:spacing w:after="0" w:line="196" w:lineRule="exact"/>
              <w:rPr>
                <w:sz w:val="20"/>
                <w:szCs w:val="20"/>
                <w:color w:val="auto"/>
              </w:rPr>
            </w:pPr>
            <w:r>
              <w:rPr>
                <w:rFonts w:ascii="Arial" w:cs="Arial" w:eastAsia="Arial" w:hAnsi="Arial"/>
                <w:sz w:val="18"/>
                <w:szCs w:val="18"/>
                <w:color w:val="auto"/>
              </w:rPr>
              <w:t>Interest income</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1,811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2,142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(15,998)</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(12,246)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1,635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3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other income (expense)</w:t>
            </w: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(14,376)</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(8,469)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Income before income tax expense</w:t>
            </w:r>
          </w:p>
        </w:tc>
        <w:tc>
          <w:tcPr>
            <w:tcW w:w="68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81,298</w:t>
            </w: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100,764</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Income tax benefit (expense)</w:t>
            </w: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(16,087)</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(18,977)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68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65,211</w:t>
            </w: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81,787</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(12,285)</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(15,584)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gridSpan w:val="2"/>
          </w:tcPr>
          <w:p>
            <w:pPr>
              <w:spacing w:after="0" w:line="182" w:lineRule="exact"/>
              <w:rPr>
                <w:sz w:val="20"/>
                <w:szCs w:val="20"/>
                <w:color w:val="auto"/>
              </w:rPr>
            </w:pPr>
            <w:r>
              <w:rPr>
                <w:rFonts w:ascii="Arial" w:cs="Arial" w:eastAsia="Arial" w:hAnsi="Arial"/>
                <w:sz w:val="18"/>
                <w:szCs w:val="18"/>
                <w:color w:val="auto"/>
              </w:rPr>
              <w:t>Net income attributable to Parsons Corporation</w:t>
            </w:r>
          </w:p>
        </w:tc>
        <w:tc>
          <w:tcPr>
            <w:tcW w:w="84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52,926</w:t>
            </w:r>
          </w:p>
        </w:tc>
        <w:tc>
          <w:tcPr>
            <w:tcW w:w="200" w:type="dxa"/>
            <w:vAlign w:val="bottom"/>
          </w:tcPr>
          <w:p>
            <w:pPr>
              <w:spacing w:after="0"/>
              <w:rPr>
                <w:sz w:val="17"/>
                <w:szCs w:val="17"/>
                <w:color w:val="auto"/>
              </w:rPr>
            </w:pPr>
          </w:p>
        </w:tc>
        <w:tc>
          <w:tcPr>
            <w:tcW w:w="32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66,203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34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Earnings per share:</w:t>
            </w:r>
          </w:p>
        </w:tc>
        <w:tc>
          <w:tcPr>
            <w:tcW w:w="6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240"/>
              <w:spacing w:after="0" w:line="202" w:lineRule="exact"/>
              <w:rPr>
                <w:sz w:val="20"/>
                <w:szCs w:val="20"/>
                <w:color w:val="auto"/>
              </w:rPr>
            </w:pPr>
            <w:r>
              <w:rPr>
                <w:rFonts w:ascii="Arial" w:cs="Arial" w:eastAsia="Arial" w:hAnsi="Arial"/>
                <w:sz w:val="18"/>
                <w:szCs w:val="18"/>
                <w:color w:val="auto"/>
              </w:rPr>
              <w:t>Basic</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0.49</w:t>
            </w:r>
          </w:p>
        </w:tc>
        <w:tc>
          <w:tcPr>
            <w:tcW w:w="200" w:type="dxa"/>
            <w:vAlign w:val="bottom"/>
          </w:tcPr>
          <w:p>
            <w:pPr>
              <w:spacing w:after="0"/>
              <w:rPr>
                <w:sz w:val="17"/>
                <w:szCs w:val="17"/>
                <w:color w:val="auto"/>
              </w:rPr>
            </w:pPr>
          </w:p>
        </w:tc>
        <w:tc>
          <w:tcPr>
            <w:tcW w:w="3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0.62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FF0FC"/>
          </w:tcPr>
          <w:p>
            <w:pPr>
              <w:ind w:left="240"/>
              <w:spacing w:after="0" w:line="202" w:lineRule="exact"/>
              <w:rPr>
                <w:sz w:val="20"/>
                <w:szCs w:val="20"/>
                <w:color w:val="auto"/>
              </w:rPr>
            </w:pPr>
            <w:r>
              <w:rPr>
                <w:rFonts w:ascii="Arial" w:cs="Arial" w:eastAsia="Arial" w:hAnsi="Arial"/>
                <w:sz w:val="18"/>
                <w:szCs w:val="18"/>
                <w:color w:val="auto"/>
              </w:rPr>
              <w:t>Diluted</w:t>
            </w:r>
          </w:p>
        </w:tc>
        <w:tc>
          <w:tcPr>
            <w:tcW w:w="8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0.49</w:t>
            </w:r>
          </w:p>
        </w:tc>
        <w:tc>
          <w:tcPr>
            <w:tcW w:w="20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0.60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5281930</wp:posOffset>
            </wp:positionH>
            <wp:positionV relativeFrom="paragraph">
              <wp:posOffset>-1610995</wp:posOffset>
            </wp:positionV>
            <wp:extent cx="603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-1610995</wp:posOffset>
            </wp:positionV>
            <wp:extent cx="603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5281930</wp:posOffset>
            </wp:positionH>
            <wp:positionV relativeFrom="paragraph">
              <wp:posOffset>-1079500</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-1079500</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5281930</wp:posOffset>
            </wp:positionH>
            <wp:positionV relativeFrom="paragraph">
              <wp:posOffset>-814070</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-814070</wp:posOffset>
            </wp:positionV>
            <wp:extent cx="60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5281930</wp:posOffset>
            </wp:positionH>
            <wp:positionV relativeFrom="paragraph">
              <wp:posOffset>-548005</wp:posOffset>
            </wp:positionV>
            <wp:extent cx="60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-548005</wp:posOffset>
            </wp:positionV>
            <wp:extent cx="60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4" w:lineRule="exact"/>
        <w:rPr>
          <w:sz w:val="20"/>
          <w:szCs w:val="20"/>
          <w:color w:val="auto"/>
        </w:rPr>
      </w:pPr>
    </w:p>
    <w:p>
      <w:pPr>
        <w:ind w:left="800"/>
        <w:spacing w:after="0"/>
        <w:rPr>
          <w:sz w:val="20"/>
          <w:szCs w:val="20"/>
          <w:color w:val="auto"/>
        </w:rPr>
      </w:pPr>
      <w:r>
        <w:rPr>
          <w:rFonts w:ascii="Arial" w:cs="Arial" w:eastAsia="Arial" w:hAnsi="Arial"/>
          <w:sz w:val="25"/>
          <w:szCs w:val="25"/>
          <w:b w:val="1"/>
          <w:bCs w:val="1"/>
          <w:color w:val="0052CC"/>
        </w:rPr>
        <w:t>Weighted average number shares used to compute basic and diluted EPS</w:t>
      </w:r>
    </w:p>
    <w:p>
      <w:pPr>
        <w:spacing w:after="0" w:line="33"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(In thousands) (Unaudited)</w:t>
      </w:r>
    </w:p>
    <w:p>
      <w:pPr>
        <w:spacing w:after="0" w:line="149" w:lineRule="exact"/>
        <w:rPr>
          <w:sz w:val="20"/>
          <w:szCs w:val="20"/>
          <w:color w:val="auto"/>
        </w:rPr>
      </w:pPr>
    </w:p>
    <w:tbl>
      <w:tblPr>
        <w:tblLayout w:type="fixed"/>
        <w:tblInd w:w="80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3460" w:type="dxa"/>
            <w:vAlign w:val="bottom"/>
            <w:gridSpan w:val="4"/>
          </w:tcPr>
          <w:p>
            <w:pPr>
              <w:ind w:left="960"/>
              <w:spacing w:after="0"/>
              <w:rPr>
                <w:sz w:val="20"/>
                <w:szCs w:val="20"/>
                <w:color w:val="auto"/>
              </w:rPr>
            </w:pPr>
            <w:r>
              <w:rPr>
                <w:rFonts w:ascii="Arial" w:cs="Arial" w:eastAsia="Arial" w:hAnsi="Arial"/>
                <w:sz w:val="14"/>
                <w:szCs w:val="14"/>
                <w:b w:val="1"/>
                <w:bCs w:val="1"/>
                <w:color w:val="auto"/>
              </w:rPr>
              <w:t>Three Months Ended</w:t>
            </w:r>
          </w:p>
        </w:tc>
      </w:tr>
      <w:tr>
        <w:trPr>
          <w:trHeight w:val="155"/>
        </w:trPr>
        <w:tc>
          <w:tcPr>
            <w:tcW w:w="5980" w:type="dxa"/>
            <w:vAlign w:val="bottom"/>
          </w:tcPr>
          <w:p>
            <w:pPr>
              <w:spacing w:after="0"/>
              <w:rPr>
                <w:sz w:val="13"/>
                <w:szCs w:val="13"/>
                <w:color w:val="auto"/>
              </w:rPr>
            </w:pPr>
          </w:p>
        </w:tc>
        <w:tc>
          <w:tcPr>
            <w:tcW w:w="1540" w:type="dxa"/>
            <w:vAlign w:val="bottom"/>
            <w:tcBorders>
              <w:top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March 31, 2026</w:t>
            </w:r>
          </w:p>
        </w:tc>
        <w:tc>
          <w:tcPr>
            <w:tcW w:w="22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March 31, 2025</w:t>
            </w:r>
          </w:p>
        </w:tc>
        <w:tc>
          <w:tcPr>
            <w:tcW w:w="80" w:type="dxa"/>
            <w:vAlign w:val="bottom"/>
          </w:tcPr>
          <w:p>
            <w:pPr>
              <w:spacing w:after="0"/>
              <w:rPr>
                <w:sz w:val="13"/>
                <w:szCs w:val="13"/>
                <w:color w:val="auto"/>
              </w:rPr>
            </w:pPr>
          </w:p>
        </w:tc>
      </w:tr>
      <w:tr>
        <w:trPr>
          <w:trHeight w:val="216"/>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107,182</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106,831</w:t>
            </w:r>
          </w:p>
        </w:tc>
        <w:tc>
          <w:tcPr>
            <w:tcW w:w="80" w:type="dxa"/>
            <w:vAlign w:val="bottom"/>
            <w:shd w:val="clear" w:color="auto" w:fill="CFF0FC"/>
          </w:tcPr>
          <w:p>
            <w:pPr>
              <w:spacing w:after="0"/>
              <w:rPr>
                <w:sz w:val="18"/>
                <w:szCs w:val="18"/>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Dilutive effect of stock-based awards</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1,182</w:t>
            </w:r>
          </w:p>
        </w:tc>
        <w:tc>
          <w:tcPr>
            <w:tcW w:w="1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1,637</w:t>
            </w:r>
          </w:p>
        </w:tc>
        <w:tc>
          <w:tcPr>
            <w:tcW w:w="80" w:type="dxa"/>
            <w:vAlign w:val="bottom"/>
          </w:tcPr>
          <w:p>
            <w:pPr>
              <w:spacing w:after="0"/>
              <w:rPr>
                <w:sz w:val="17"/>
                <w:szCs w:val="17"/>
                <w:color w:val="auto"/>
              </w:rPr>
            </w:pPr>
          </w:p>
        </w:tc>
      </w:tr>
      <w:tr>
        <w:trPr>
          <w:trHeight w:val="202"/>
        </w:trPr>
        <w:tc>
          <w:tcPr>
            <w:tcW w:w="5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Dilutive effect of warrants</w:t>
            </w: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w:t>
            </w:r>
          </w:p>
        </w:tc>
        <w:tc>
          <w:tcPr>
            <w:tcW w:w="18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440</w:t>
            </w:r>
          </w:p>
        </w:tc>
        <w:tc>
          <w:tcPr>
            <w:tcW w:w="80" w:type="dxa"/>
            <w:vAlign w:val="bottom"/>
            <w:shd w:val="clear" w:color="auto" w:fill="CFF0FC"/>
          </w:tcPr>
          <w:p>
            <w:pPr>
              <w:spacing w:after="0"/>
              <w:rPr>
                <w:sz w:val="17"/>
                <w:szCs w:val="17"/>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Dilutive effect of convertible senior notes</w:t>
            </w: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2,118</w:t>
            </w:r>
          </w:p>
        </w:tc>
        <w:tc>
          <w:tcPr>
            <w:tcW w:w="80" w:type="dxa"/>
            <w:vAlign w:val="bottom"/>
          </w:tcPr>
          <w:p>
            <w:pPr>
              <w:spacing w:after="0"/>
              <w:rPr>
                <w:sz w:val="17"/>
                <w:szCs w:val="17"/>
                <w:color w:val="auto"/>
              </w:rPr>
            </w:pPr>
          </w:p>
        </w:tc>
      </w:tr>
      <w:tr>
        <w:trPr>
          <w:trHeight w:val="236"/>
        </w:trPr>
        <w:tc>
          <w:tcPr>
            <w:tcW w:w="59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Diluted weighted average number of shares outstanding</w:t>
            </w:r>
          </w:p>
        </w:tc>
        <w:tc>
          <w:tcPr>
            <w:tcW w:w="1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108,392</w:t>
            </w:r>
          </w:p>
        </w:tc>
        <w:tc>
          <w:tcPr>
            <w:tcW w:w="22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111,026</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5281930</wp:posOffset>
            </wp:positionH>
            <wp:positionV relativeFrom="paragraph">
              <wp:posOffset>-24765</wp:posOffset>
            </wp:positionV>
            <wp:extent cx="60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5281930</wp:posOffset>
            </wp:positionH>
            <wp:positionV relativeFrom="paragraph">
              <wp:posOffset>-7620</wp:posOffset>
            </wp:positionV>
            <wp:extent cx="60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-24765</wp:posOffset>
            </wp:positionV>
            <wp:extent cx="60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-7620</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4" w:lineRule="exact"/>
        <w:rPr>
          <w:sz w:val="20"/>
          <w:szCs w:val="20"/>
          <w:color w:val="auto"/>
        </w:rPr>
      </w:pPr>
    </w:p>
    <w:p>
      <w:pPr>
        <w:jc w:val="both"/>
        <w:ind w:left="800" w:right="900"/>
        <w:spacing w:after="0" w:line="254" w:lineRule="auto"/>
        <w:rPr>
          <w:sz w:val="20"/>
          <w:szCs w:val="20"/>
          <w:color w:val="auto"/>
        </w:rPr>
      </w:pPr>
      <w:r>
        <w:rPr>
          <w:rFonts w:ascii="Arial" w:cs="Arial" w:eastAsia="Arial" w:hAnsi="Arial"/>
          <w:sz w:val="25"/>
          <w:szCs w:val="25"/>
          <w:b w:val="1"/>
          <w:bCs w:val="1"/>
          <w:color w:val="0052CC"/>
        </w:rPr>
        <w:t>Net income available to shareholders used to compute diluted EPS as a result of adopting the if-converted method in connection with the Convertible Senior Notes</w:t>
      </w:r>
    </w:p>
    <w:p>
      <w:pPr>
        <w:spacing w:after="0" w:line="2"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 xml:space="preserve">(In thousands) </w:t>
      </w:r>
      <w:r>
        <w:rPr>
          <w:rFonts w:ascii="Arial" w:cs="Arial" w:eastAsia="Arial" w:hAnsi="Arial"/>
          <w:sz w:val="18"/>
          <w:szCs w:val="18"/>
          <w:color w:val="auto"/>
        </w:rPr>
        <w:t>(</w:t>
      </w:r>
      <w:r>
        <w:rPr>
          <w:rFonts w:ascii="Arial" w:cs="Arial" w:eastAsia="Arial" w:hAnsi="Arial"/>
          <w:sz w:val="18"/>
          <w:szCs w:val="18"/>
          <w:i w:val="1"/>
          <w:iCs w:val="1"/>
          <w:color w:val="auto"/>
        </w:rPr>
        <w:t>Unaudited</w:t>
      </w:r>
      <w:r>
        <w:rPr>
          <w:rFonts w:ascii="Arial" w:cs="Arial" w:eastAsia="Arial" w:hAnsi="Arial"/>
          <w:sz w:val="18"/>
          <w:szCs w:val="18"/>
          <w:color w:val="auto"/>
        </w:rPr>
        <w: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100" w:type="dxa"/>
            <w:vAlign w:val="bottom"/>
            <w:gridSpan w:val="6"/>
          </w:tcPr>
          <w:p>
            <w:pPr>
              <w:ind w:left="800"/>
              <w:spacing w:after="0"/>
              <w:rPr>
                <w:sz w:val="20"/>
                <w:szCs w:val="20"/>
                <w:color w:val="auto"/>
              </w:rPr>
            </w:pPr>
            <w:r>
              <w:rPr>
                <w:rFonts w:ascii="Arial" w:cs="Arial" w:eastAsia="Arial" w:hAnsi="Arial"/>
                <w:sz w:val="14"/>
                <w:szCs w:val="14"/>
                <w:b w:val="1"/>
                <w:bCs w:val="1"/>
                <w:color w:val="auto"/>
              </w:rPr>
              <w:t>Three Months Ended</w:t>
            </w:r>
          </w:p>
        </w:tc>
      </w:tr>
      <w:tr>
        <w:trPr>
          <w:trHeight w:val="155"/>
        </w:trPr>
        <w:tc>
          <w:tcPr>
            <w:tcW w:w="80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March 31, 2026</w:t>
            </w:r>
          </w:p>
        </w:tc>
        <w:tc>
          <w:tcPr>
            <w:tcW w:w="26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March 31, 2025</w:t>
            </w:r>
          </w:p>
        </w:tc>
        <w:tc>
          <w:tcPr>
            <w:tcW w:w="880" w:type="dxa"/>
            <w:vAlign w:val="bottom"/>
            <w:gridSpan w:val="2"/>
          </w:tcPr>
          <w:p>
            <w:pPr>
              <w:spacing w:after="0"/>
              <w:rPr>
                <w:sz w:val="13"/>
                <w:szCs w:val="13"/>
                <w:color w:val="auto"/>
              </w:rPr>
            </w:pPr>
          </w:p>
        </w:tc>
      </w:tr>
      <w:tr>
        <w:trPr>
          <w:trHeight w:val="196"/>
        </w:trPr>
        <w:tc>
          <w:tcPr>
            <w:tcW w:w="800" w:type="dxa"/>
            <w:vAlign w:val="bottom"/>
          </w:tcPr>
          <w:p>
            <w:pPr>
              <w:spacing w:after="0"/>
              <w:rPr>
                <w:sz w:val="17"/>
                <w:szCs w:val="17"/>
                <w:color w:val="auto"/>
              </w:rPr>
            </w:pPr>
          </w:p>
        </w:tc>
        <w:tc>
          <w:tcPr>
            <w:tcW w:w="55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attributable to Parsons Corporation</w:t>
            </w:r>
          </w:p>
        </w:tc>
        <w:tc>
          <w:tcPr>
            <w:tcW w:w="5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52,926</w:t>
            </w:r>
          </w:p>
        </w:tc>
        <w:tc>
          <w:tcPr>
            <w:tcW w:w="4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66,203</w:t>
            </w:r>
          </w:p>
        </w:tc>
        <w:tc>
          <w:tcPr>
            <w:tcW w:w="80" w:type="dxa"/>
            <w:vAlign w:val="bottom"/>
            <w:shd w:val="clear" w:color="auto" w:fill="CFF0FC"/>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5560" w:type="dxa"/>
            <w:vAlign w:val="bottom"/>
          </w:tcPr>
          <w:p>
            <w:pPr>
              <w:spacing w:after="0" w:line="202" w:lineRule="exact"/>
              <w:rPr>
                <w:sz w:val="20"/>
                <w:szCs w:val="20"/>
                <w:color w:val="auto"/>
              </w:rPr>
            </w:pPr>
            <w:r>
              <w:rPr>
                <w:rFonts w:ascii="Arial" w:cs="Arial" w:eastAsia="Arial" w:hAnsi="Arial"/>
                <w:sz w:val="18"/>
                <w:szCs w:val="18"/>
                <w:color w:val="auto"/>
              </w:rPr>
              <w:t>Convertible senior notes if-converted method interest adjustment</w:t>
            </w:r>
          </w:p>
        </w:tc>
        <w:tc>
          <w:tcPr>
            <w:tcW w:w="4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800" w:type="dxa"/>
            <w:vAlign w:val="bottom"/>
          </w:tcPr>
          <w:p>
            <w:pPr>
              <w:spacing w:after="0"/>
              <w:rPr>
                <w:sz w:val="18"/>
                <w:szCs w:val="18"/>
                <w:color w:val="auto"/>
              </w:rPr>
            </w:pPr>
          </w:p>
        </w:tc>
        <w:tc>
          <w:tcPr>
            <w:tcW w:w="55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Diluted net income attributable to Parsons Corporation</w:t>
            </w:r>
          </w:p>
        </w:tc>
        <w:tc>
          <w:tcPr>
            <w:tcW w:w="5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52,926</w:t>
            </w:r>
          </w:p>
        </w:tc>
        <w:tc>
          <w:tcPr>
            <w:tcW w:w="4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66,257</w:t>
            </w:r>
          </w:p>
        </w:tc>
        <w:tc>
          <w:tcPr>
            <w:tcW w:w="80" w:type="dxa"/>
            <w:vAlign w:val="bottom"/>
            <w:shd w:val="clear" w:color="auto" w:fill="CFF0FC"/>
          </w:tcPr>
          <w:p>
            <w:pPr>
              <w:spacing w:after="0"/>
              <w:rPr>
                <w:sz w:val="18"/>
                <w:szCs w:val="18"/>
                <w:color w:val="auto"/>
              </w:rPr>
            </w:pPr>
          </w:p>
        </w:tc>
        <w:tc>
          <w:tcPr>
            <w:tcW w:w="80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55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545"/>
        </w:trPr>
        <w:tc>
          <w:tcPr>
            <w:tcW w:w="6360" w:type="dxa"/>
            <w:vAlign w:val="bottom"/>
            <w:gridSpan w:val="2"/>
          </w:tcPr>
          <w:p>
            <w:pPr>
              <w:ind w:left="800"/>
              <w:spacing w:after="0"/>
              <w:rPr>
                <w:sz w:val="20"/>
                <w:szCs w:val="20"/>
                <w:color w:val="auto"/>
              </w:rPr>
            </w:pPr>
            <w:r>
              <w:rPr>
                <w:rFonts w:ascii="Arial" w:cs="Arial" w:eastAsia="Arial" w:hAnsi="Arial"/>
                <w:sz w:val="16"/>
                <w:szCs w:val="16"/>
                <w:color w:val="auto"/>
              </w:rPr>
              <w:t>parsons.com</w:t>
            </w:r>
          </w:p>
        </w:tc>
        <w:tc>
          <w:tcPr>
            <w:tcW w:w="400" w:type="dxa"/>
            <w:vAlign w:val="bottom"/>
          </w:tcPr>
          <w:p>
            <w:pPr>
              <w:spacing w:after="0"/>
              <w:rPr>
                <w:sz w:val="24"/>
                <w:szCs w:val="24"/>
                <w:color w:val="auto"/>
              </w:rPr>
            </w:pPr>
          </w:p>
        </w:tc>
        <w:tc>
          <w:tcPr>
            <w:tcW w:w="4280" w:type="dxa"/>
            <w:vAlign w:val="bottom"/>
            <w:gridSpan w:val="7"/>
          </w:tcPr>
          <w:p>
            <w:pPr>
              <w:ind w:left="80"/>
              <w:spacing w:after="0"/>
              <w:rPr>
                <w:sz w:val="20"/>
                <w:szCs w:val="20"/>
                <w:color w:val="auto"/>
              </w:rPr>
            </w:pPr>
            <w:r>
              <w:rPr>
                <w:rFonts w:ascii="Arial" w:cs="Arial" w:eastAsia="Arial" w:hAnsi="Arial"/>
                <w:sz w:val="16"/>
                <w:szCs w:val="16"/>
                <w:color w:val="auto"/>
              </w:rPr>
              <w:t>©Parsons Corporation. All Rights Reserved.  7</w:t>
            </w:r>
          </w:p>
        </w:tc>
      </w:tr>
      <w:tr>
        <w:trPr>
          <w:trHeight w:val="873"/>
        </w:trPr>
        <w:tc>
          <w:tcPr>
            <w:tcW w:w="80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5273675</wp:posOffset>
            </wp:positionH>
            <wp:positionV relativeFrom="paragraph">
              <wp:posOffset>-951230</wp:posOffset>
            </wp:positionV>
            <wp:extent cx="603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5273675</wp:posOffset>
            </wp:positionH>
            <wp:positionV relativeFrom="paragraph">
              <wp:posOffset>-933450</wp:posOffset>
            </wp:positionV>
            <wp:extent cx="603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-951230</wp:posOffset>
            </wp:positionV>
            <wp:extent cx="603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-933450</wp:posOffset>
            </wp:positionV>
            <wp:extent cx="60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sectPr>
      </w:pPr>
    </w:p>
    <w:bookmarkStart w:id="10" w:name="page11"/>
    <w:bookmarkEnd w:id="10"/>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637540</wp:posOffset>
            </wp:positionV>
            <wp:extent cx="6000750" cy="2228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22885"/>
                    </a:xfrm>
                    <a:prstGeom prst="rect">
                      <a:avLst/>
                    </a:prstGeom>
                    <a:noFill/>
                  </pic:spPr>
                </pic:pic>
              </a:graphicData>
            </a:graphic>
          </wp:anchor>
        </w:drawing>
      </w:r>
    </w:p>
    <w:p>
      <w:pPr>
        <w:ind w:left="800"/>
        <w:spacing w:after="0"/>
        <w:rPr>
          <w:sz w:val="20"/>
          <w:szCs w:val="20"/>
          <w:color w:val="auto"/>
        </w:rPr>
      </w:pPr>
      <w:r>
        <w:rPr>
          <w:rFonts w:ascii="Arial" w:cs="Arial" w:eastAsia="Arial" w:hAnsi="Arial"/>
          <w:sz w:val="25"/>
          <w:szCs w:val="25"/>
          <w:b w:val="1"/>
          <w:bCs w:val="1"/>
          <w:color w:val="0052CC"/>
        </w:rPr>
        <w:t>PARSONS CORPORATION</w:t>
      </w:r>
    </w:p>
    <w:p>
      <w:pPr>
        <w:spacing w:after="0" w:line="36" w:lineRule="exact"/>
        <w:rPr>
          <w:sz w:val="20"/>
          <w:szCs w:val="20"/>
          <w:color w:val="auto"/>
        </w:rPr>
      </w:pPr>
    </w:p>
    <w:p>
      <w:pPr>
        <w:ind w:left="800"/>
        <w:spacing w:after="0"/>
        <w:rPr>
          <w:sz w:val="20"/>
          <w:szCs w:val="20"/>
          <w:color w:val="auto"/>
        </w:rPr>
      </w:pPr>
      <w:r>
        <w:rPr>
          <w:rFonts w:ascii="Arial" w:cs="Arial" w:eastAsia="Arial" w:hAnsi="Arial"/>
          <w:sz w:val="25"/>
          <w:szCs w:val="25"/>
          <w:b w:val="1"/>
          <w:bCs w:val="1"/>
          <w:color w:val="0052CC"/>
        </w:rPr>
        <w:t>CONSOLIDATED BALANCE SHEETS</w:t>
      </w:r>
    </w:p>
    <w:p>
      <w:pPr>
        <w:spacing w:after="0" w:line="7"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(In thousands, except share information)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March 31, 2026</w:t>
            </w:r>
          </w:p>
        </w:tc>
        <w:tc>
          <w:tcPr>
            <w:tcW w:w="10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31, 2025</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2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Arial" w:cs="Arial" w:eastAsia="Arial" w:hAnsi="Arial"/>
                <w:sz w:val="14"/>
                <w:szCs w:val="14"/>
                <w:color w:val="auto"/>
              </w:rPr>
              <w:t>Current assets:</w:t>
            </w: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706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Cash and cash equivalents (including $90,488 and $153,144 Cash of consolidated joint ventures)</w:t>
            </w:r>
          </w:p>
        </w:tc>
        <w:tc>
          <w:tcPr>
            <w:tcW w:w="34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283,921</w:t>
            </w: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466,388</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00" w:type="dxa"/>
            <w:vAlign w:val="bottom"/>
          </w:tcPr>
          <w:p>
            <w:pPr>
              <w:spacing w:after="0"/>
              <w:rPr>
                <w:sz w:val="13"/>
                <w:szCs w:val="13"/>
                <w:color w:val="auto"/>
              </w:rPr>
            </w:pPr>
          </w:p>
        </w:tc>
        <w:tc>
          <w:tcPr>
            <w:tcW w:w="7060" w:type="dxa"/>
            <w:vAlign w:val="bottom"/>
            <w:gridSpan w:val="2"/>
          </w:tcPr>
          <w:p>
            <w:pPr>
              <w:ind w:left="180"/>
              <w:spacing w:after="0" w:line="153" w:lineRule="exact"/>
              <w:rPr>
                <w:sz w:val="20"/>
                <w:szCs w:val="20"/>
                <w:color w:val="auto"/>
              </w:rPr>
            </w:pPr>
            <w:r>
              <w:rPr>
                <w:rFonts w:ascii="Arial" w:cs="Arial" w:eastAsia="Arial" w:hAnsi="Arial"/>
                <w:sz w:val="14"/>
                <w:szCs w:val="14"/>
                <w:color w:val="auto"/>
              </w:rPr>
              <w:t>Accounts receivable, net (including $323,655 and $337,270 Accounts receivable of consolidated joint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5060" w:type="dxa"/>
            <w:vAlign w:val="bottom"/>
          </w:tcPr>
          <w:p>
            <w:pPr>
              <w:ind w:left="140"/>
              <w:spacing w:after="0"/>
              <w:rPr>
                <w:sz w:val="20"/>
                <w:szCs w:val="20"/>
                <w:color w:val="auto"/>
              </w:rPr>
            </w:pPr>
            <w:r>
              <w:rPr>
                <w:rFonts w:ascii="Arial" w:cs="Arial" w:eastAsia="Arial" w:hAnsi="Arial"/>
                <w:sz w:val="14"/>
                <w:szCs w:val="14"/>
                <w:color w:val="auto"/>
              </w:rPr>
              <w:t>ventures)</w:t>
            </w: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1,096,575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1,124,417</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706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Contract assets (including $38,585 and $41,318 Contract assets of consolidated joint ventures)</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1,021,848</w:t>
            </w: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915,806</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00" w:type="dxa"/>
            <w:vAlign w:val="bottom"/>
          </w:tcPr>
          <w:p>
            <w:pPr>
              <w:spacing w:after="0"/>
              <w:rPr>
                <w:sz w:val="13"/>
                <w:szCs w:val="13"/>
                <w:color w:val="auto"/>
              </w:rPr>
            </w:pPr>
          </w:p>
        </w:tc>
        <w:tc>
          <w:tcPr>
            <w:tcW w:w="7060" w:type="dxa"/>
            <w:vAlign w:val="bottom"/>
            <w:gridSpan w:val="2"/>
          </w:tcPr>
          <w:p>
            <w:pPr>
              <w:ind w:left="180"/>
              <w:spacing w:after="0" w:line="153" w:lineRule="exact"/>
              <w:rPr>
                <w:sz w:val="20"/>
                <w:szCs w:val="20"/>
                <w:color w:val="auto"/>
              </w:rPr>
            </w:pPr>
            <w:r>
              <w:rPr>
                <w:rFonts w:ascii="Arial" w:cs="Arial" w:eastAsia="Arial" w:hAnsi="Arial"/>
                <w:sz w:val="14"/>
                <w:szCs w:val="14"/>
                <w:color w:val="auto"/>
              </w:rPr>
              <w:t>Prepaid expenses and other current assets (including $16,139 and $11,145 Prepaid expenses and other</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191,796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176,932</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0" w:type="dxa"/>
            <w:vAlign w:val="bottom"/>
          </w:tcPr>
          <w:p>
            <w:pPr>
              <w:spacing w:after="0"/>
              <w:rPr>
                <w:sz w:val="13"/>
                <w:szCs w:val="13"/>
                <w:color w:val="auto"/>
              </w:rPr>
            </w:pPr>
          </w:p>
        </w:tc>
        <w:tc>
          <w:tcPr>
            <w:tcW w:w="5060" w:type="dxa"/>
            <w:vAlign w:val="bottom"/>
          </w:tcPr>
          <w:p>
            <w:pPr>
              <w:ind w:left="140"/>
              <w:spacing w:after="0" w:line="158" w:lineRule="exact"/>
              <w:rPr>
                <w:sz w:val="20"/>
                <w:szCs w:val="20"/>
                <w:color w:val="auto"/>
              </w:rPr>
            </w:pPr>
            <w:r>
              <w:rPr>
                <w:rFonts w:ascii="Arial" w:cs="Arial" w:eastAsia="Arial" w:hAnsi="Arial"/>
                <w:sz w:val="14"/>
                <w:szCs w:val="14"/>
                <w:color w:val="auto"/>
              </w:rPr>
              <w:t>current assets of consolidated joint ventures)</w:t>
            </w: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5060" w:type="dxa"/>
            <w:vAlign w:val="bottom"/>
            <w:tcBorders>
              <w:bottom w:val="single" w:sz="8" w:color="CFF0FC"/>
            </w:tcBorders>
            <w:shd w:val="clear" w:color="auto" w:fill="CFF0FC"/>
          </w:tcPr>
          <w:p>
            <w:pPr>
              <w:ind w:left="320"/>
              <w:spacing w:after="0" w:line="155" w:lineRule="exact"/>
              <w:rPr>
                <w:sz w:val="20"/>
                <w:szCs w:val="20"/>
                <w:color w:val="auto"/>
              </w:rPr>
            </w:pPr>
            <w:r>
              <w:rPr>
                <w:rFonts w:ascii="Arial" w:cs="Arial" w:eastAsia="Arial" w:hAnsi="Arial"/>
                <w:sz w:val="14"/>
                <w:szCs w:val="14"/>
                <w:color w:val="auto"/>
              </w:rPr>
              <w:t>Total current assets</w:t>
            </w:r>
          </w:p>
        </w:tc>
        <w:tc>
          <w:tcPr>
            <w:tcW w:w="20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2,594,140</w:t>
            </w:r>
          </w:p>
        </w:tc>
        <w:tc>
          <w:tcPr>
            <w:tcW w:w="180" w:type="dxa"/>
            <w:vAlign w:val="bottom"/>
            <w:tcBorders>
              <w:bottom w:val="single" w:sz="8" w:color="CFF0FC"/>
              <w:right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2,683,543</w:t>
            </w:r>
          </w:p>
        </w:tc>
        <w:tc>
          <w:tcPr>
            <w:tcW w:w="80" w:type="dxa"/>
            <w:vAlign w:val="bottom"/>
            <w:tcBorders>
              <w:bottom w:val="single" w:sz="8" w:color="CFF0FC"/>
            </w:tcBorders>
            <w:shd w:val="clear" w:color="auto" w:fill="CFF0FC"/>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70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00" w:type="dxa"/>
            <w:vAlign w:val="bottom"/>
          </w:tcPr>
          <w:p>
            <w:pPr>
              <w:spacing w:after="0"/>
              <w:rPr>
                <w:sz w:val="13"/>
                <w:szCs w:val="13"/>
                <w:color w:val="auto"/>
              </w:rPr>
            </w:pPr>
          </w:p>
        </w:tc>
        <w:tc>
          <w:tcPr>
            <w:tcW w:w="7060" w:type="dxa"/>
            <w:vAlign w:val="bottom"/>
            <w:gridSpan w:val="2"/>
            <w:shd w:val="clear" w:color="auto" w:fill="CFF0FC"/>
          </w:tcPr>
          <w:p>
            <w:pPr>
              <w:ind w:left="140"/>
              <w:spacing w:after="0" w:line="153" w:lineRule="exact"/>
              <w:rPr>
                <w:sz w:val="20"/>
                <w:szCs w:val="20"/>
                <w:color w:val="auto"/>
              </w:rPr>
            </w:pPr>
            <w:r>
              <w:rPr>
                <w:rFonts w:ascii="Arial" w:cs="Arial" w:eastAsia="Arial" w:hAnsi="Arial"/>
                <w:sz w:val="14"/>
                <w:szCs w:val="14"/>
                <w:color w:val="auto"/>
              </w:rPr>
              <w:t>Property and Equipment, net (including $2,462 and $2,488 Property and equipment of consolidated joint</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50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ventures)</w:t>
            </w:r>
          </w:p>
        </w:tc>
        <w:tc>
          <w:tcPr>
            <w:tcW w:w="2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154,586</w:t>
            </w: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151,061</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00" w:type="dxa"/>
            <w:vAlign w:val="bottom"/>
          </w:tcPr>
          <w:p>
            <w:pPr>
              <w:spacing w:after="0"/>
              <w:rPr>
                <w:sz w:val="13"/>
                <w:szCs w:val="13"/>
                <w:color w:val="auto"/>
              </w:rPr>
            </w:pPr>
          </w:p>
        </w:tc>
        <w:tc>
          <w:tcPr>
            <w:tcW w:w="7060" w:type="dxa"/>
            <w:vAlign w:val="bottom"/>
            <w:gridSpan w:val="2"/>
          </w:tcPr>
          <w:p>
            <w:pPr>
              <w:ind w:left="140"/>
              <w:spacing w:after="0" w:line="153" w:lineRule="exact"/>
              <w:rPr>
                <w:sz w:val="20"/>
                <w:szCs w:val="20"/>
                <w:color w:val="auto"/>
              </w:rPr>
            </w:pPr>
            <w:r>
              <w:rPr>
                <w:rFonts w:ascii="Arial" w:cs="Arial" w:eastAsia="Arial" w:hAnsi="Arial"/>
                <w:sz w:val="14"/>
                <w:szCs w:val="14"/>
                <w:color w:val="auto"/>
              </w:rPr>
              <w:t>Right of use assets, operating leases (including $3,895 and $4,482 Right of use assets, operating leases of</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5060" w:type="dxa"/>
            <w:vAlign w:val="bottom"/>
          </w:tcPr>
          <w:p>
            <w:pPr>
              <w:ind w:left="140"/>
              <w:spacing w:after="0"/>
              <w:rPr>
                <w:sz w:val="20"/>
                <w:szCs w:val="20"/>
                <w:color w:val="auto"/>
              </w:rPr>
            </w:pPr>
            <w:r>
              <w:rPr>
                <w:rFonts w:ascii="Arial" w:cs="Arial" w:eastAsia="Arial" w:hAnsi="Arial"/>
                <w:sz w:val="14"/>
                <w:szCs w:val="14"/>
                <w:color w:val="auto"/>
              </w:rPr>
              <w:t>consolidated joint ventures)</w:t>
            </w: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151,669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126,770</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Goodwill</w:t>
            </w:r>
          </w:p>
        </w:tc>
        <w:tc>
          <w:tcPr>
            <w:tcW w:w="2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2,423,561</w:t>
            </w: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2,186,650</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60" w:type="dxa"/>
            <w:vAlign w:val="bottom"/>
          </w:tcPr>
          <w:p>
            <w:pPr>
              <w:ind w:left="140"/>
              <w:spacing w:after="0"/>
              <w:rPr>
                <w:sz w:val="20"/>
                <w:szCs w:val="20"/>
                <w:color w:val="auto"/>
              </w:rPr>
            </w:pPr>
            <w:r>
              <w:rPr>
                <w:rFonts w:ascii="Arial" w:cs="Arial" w:eastAsia="Arial" w:hAnsi="Arial"/>
                <w:sz w:val="14"/>
                <w:szCs w:val="14"/>
                <w:color w:val="auto"/>
              </w:rPr>
              <w:t>Investments in and advances to unconsolidated joint ventures</w:t>
            </w: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162,296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148,640</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Intangible assets, net</w:t>
            </w:r>
          </w:p>
        </w:tc>
        <w:tc>
          <w:tcPr>
            <w:tcW w:w="2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407,859</w:t>
            </w: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325,880</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60" w:type="dxa"/>
            <w:vAlign w:val="bottom"/>
          </w:tcPr>
          <w:p>
            <w:pPr>
              <w:ind w:left="140"/>
              <w:spacing w:after="0"/>
              <w:rPr>
                <w:sz w:val="20"/>
                <w:szCs w:val="20"/>
                <w:color w:val="auto"/>
              </w:rPr>
            </w:pPr>
            <w:r>
              <w:rPr>
                <w:rFonts w:ascii="Arial" w:cs="Arial" w:eastAsia="Arial" w:hAnsi="Arial"/>
                <w:sz w:val="14"/>
                <w:szCs w:val="14"/>
                <w:color w:val="auto"/>
              </w:rPr>
              <w:t>Deferred tax assets</w:t>
            </w: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60,254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88,191</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4"/>
                <w:szCs w:val="14"/>
                <w:color w:val="auto"/>
              </w:rPr>
              <w:t>Other noncurrent assets</w:t>
            </w:r>
          </w:p>
        </w:tc>
        <w:tc>
          <w:tcPr>
            <w:tcW w:w="20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57,743</w:t>
            </w:r>
          </w:p>
        </w:tc>
        <w:tc>
          <w:tcPr>
            <w:tcW w:w="180" w:type="dxa"/>
            <w:vAlign w:val="bottom"/>
            <w:tcBorders>
              <w:bottom w:val="single" w:sz="8" w:color="CFF0FC"/>
              <w:right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58,799</w:t>
            </w:r>
          </w:p>
        </w:tc>
        <w:tc>
          <w:tcPr>
            <w:tcW w:w="80" w:type="dxa"/>
            <w:vAlign w:val="bottom"/>
            <w:tcBorders>
              <w:bottom w:val="single" w:sz="8" w:color="CFF0FC"/>
            </w:tcBorders>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5060" w:type="dxa"/>
            <w:vAlign w:val="bottom"/>
          </w:tcPr>
          <w:p>
            <w:pPr>
              <w:ind w:left="320"/>
              <w:spacing w:after="0" w:line="155" w:lineRule="exact"/>
              <w:rPr>
                <w:sz w:val="20"/>
                <w:szCs w:val="20"/>
                <w:color w:val="auto"/>
              </w:rPr>
            </w:pPr>
            <w:r>
              <w:rPr>
                <w:rFonts w:ascii="Arial" w:cs="Arial" w:eastAsia="Arial" w:hAnsi="Arial"/>
                <w:sz w:val="14"/>
                <w:szCs w:val="14"/>
                <w:color w:val="auto"/>
              </w:rPr>
              <w:t>Total assets</w:t>
            </w:r>
          </w:p>
        </w:tc>
        <w:tc>
          <w:tcPr>
            <w:tcW w:w="2000" w:type="dxa"/>
            <w:vAlign w:val="bottom"/>
          </w:tcPr>
          <w:p>
            <w:pPr>
              <w:spacing w:after="0"/>
              <w:rPr>
                <w:sz w:val="13"/>
                <w:szCs w:val="13"/>
                <w:color w:val="auto"/>
              </w:rPr>
            </w:pPr>
          </w:p>
        </w:tc>
        <w:tc>
          <w:tcPr>
            <w:tcW w:w="34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6,012,108</w:t>
            </w:r>
          </w:p>
        </w:tc>
        <w:tc>
          <w:tcPr>
            <w:tcW w:w="180" w:type="dxa"/>
            <w:vAlign w:val="bottom"/>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5,769,534</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0" w:type="dxa"/>
            <w:vAlign w:val="bottom"/>
            <w:vMerge w:val="restart"/>
          </w:tcPr>
          <w:p>
            <w:pPr>
              <w:spacing w:after="0"/>
              <w:rPr>
                <w:sz w:val="12"/>
                <w:szCs w:val="12"/>
                <w:color w:val="auto"/>
              </w:rPr>
            </w:pPr>
          </w:p>
        </w:tc>
        <w:tc>
          <w:tcPr>
            <w:tcW w:w="5060" w:type="dxa"/>
            <w:vAlign w:val="bottom"/>
            <w:shd w:val="clear" w:color="auto" w:fill="CFF0FC"/>
          </w:tcPr>
          <w:p>
            <w:pPr>
              <w:spacing w:after="0"/>
              <w:rPr>
                <w:sz w:val="12"/>
                <w:szCs w:val="12"/>
                <w:color w:val="auto"/>
              </w:rPr>
            </w:pPr>
          </w:p>
        </w:tc>
        <w:tc>
          <w:tcPr>
            <w:tcW w:w="2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0" w:type="dxa"/>
            <w:vAlign w:val="bottom"/>
            <w:vMerge w:val="continue"/>
          </w:tcPr>
          <w:p>
            <w:pPr>
              <w:spacing w:after="0"/>
              <w:rPr>
                <w:sz w:val="14"/>
                <w:szCs w:val="14"/>
                <w:color w:val="auto"/>
              </w:rPr>
            </w:pPr>
          </w:p>
        </w:tc>
        <w:tc>
          <w:tcPr>
            <w:tcW w:w="5060" w:type="dxa"/>
            <w:vAlign w:val="bottom"/>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4"/>
                <w:szCs w:val="14"/>
                <w:color w:val="auto"/>
              </w:rPr>
              <w:t>Current liabilities:</w:t>
            </w:r>
          </w:p>
        </w:tc>
        <w:tc>
          <w:tcPr>
            <w:tcW w:w="2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7060" w:type="dxa"/>
            <w:vAlign w:val="bottom"/>
            <w:gridSpan w:val="2"/>
          </w:tcPr>
          <w:p>
            <w:pPr>
              <w:ind w:left="140"/>
              <w:spacing w:after="0"/>
              <w:rPr>
                <w:sz w:val="20"/>
                <w:szCs w:val="20"/>
                <w:color w:val="auto"/>
              </w:rPr>
            </w:pPr>
            <w:r>
              <w:rPr>
                <w:rFonts w:ascii="Arial" w:cs="Arial" w:eastAsia="Arial" w:hAnsi="Arial"/>
                <w:sz w:val="14"/>
                <w:szCs w:val="14"/>
                <w:color w:val="auto"/>
              </w:rPr>
              <w:t>Accounts payable (including $21,234 and $58,914 Accounts payable of consolidated joint ventures)</w:t>
            </w:r>
          </w:p>
        </w:tc>
        <w:tc>
          <w:tcPr>
            <w:tcW w:w="3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232,588</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250,514</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00" w:type="dxa"/>
            <w:vAlign w:val="bottom"/>
          </w:tcPr>
          <w:p>
            <w:pPr>
              <w:spacing w:after="0"/>
              <w:rPr>
                <w:sz w:val="13"/>
                <w:szCs w:val="13"/>
                <w:color w:val="auto"/>
              </w:rPr>
            </w:pPr>
          </w:p>
        </w:tc>
        <w:tc>
          <w:tcPr>
            <w:tcW w:w="7060" w:type="dxa"/>
            <w:vAlign w:val="bottom"/>
            <w:gridSpan w:val="2"/>
            <w:shd w:val="clear" w:color="auto" w:fill="CFF0FC"/>
          </w:tcPr>
          <w:p>
            <w:pPr>
              <w:ind w:left="140"/>
              <w:spacing w:after="0" w:line="153" w:lineRule="exact"/>
              <w:rPr>
                <w:sz w:val="20"/>
                <w:szCs w:val="20"/>
                <w:color w:val="auto"/>
              </w:rPr>
            </w:pPr>
            <w:r>
              <w:rPr>
                <w:rFonts w:ascii="Arial" w:cs="Arial" w:eastAsia="Arial" w:hAnsi="Arial"/>
                <w:sz w:val="14"/>
                <w:szCs w:val="14"/>
                <w:color w:val="auto"/>
              </w:rPr>
              <w:t>Accrued expenses and other current liabilities (including $191,847 and $195,747 Accrued expenses and</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50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other current liabilities of consolidated joint ventures)</w:t>
            </w:r>
          </w:p>
        </w:tc>
        <w:tc>
          <w:tcPr>
            <w:tcW w:w="2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831,532</w:t>
            </w: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884,445</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7060" w:type="dxa"/>
            <w:vAlign w:val="bottom"/>
            <w:gridSpan w:val="2"/>
          </w:tcPr>
          <w:p>
            <w:pPr>
              <w:ind w:left="140"/>
              <w:spacing w:after="0"/>
              <w:rPr>
                <w:sz w:val="20"/>
                <w:szCs w:val="20"/>
                <w:color w:val="auto"/>
              </w:rPr>
            </w:pPr>
            <w:r>
              <w:rPr>
                <w:rFonts w:ascii="Arial" w:cs="Arial" w:eastAsia="Arial" w:hAnsi="Arial"/>
                <w:sz w:val="14"/>
                <w:szCs w:val="14"/>
                <w:color w:val="auto"/>
              </w:rPr>
              <w:t>Contract liabilities (including $48,749 and $44,802 Contract liabilities of consolidated joint ventures)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359,760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340,113</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00" w:type="dxa"/>
            <w:vAlign w:val="bottom"/>
          </w:tcPr>
          <w:p>
            <w:pPr>
              <w:spacing w:after="0"/>
              <w:rPr>
                <w:sz w:val="13"/>
                <w:szCs w:val="13"/>
                <w:color w:val="auto"/>
              </w:rPr>
            </w:pPr>
          </w:p>
        </w:tc>
        <w:tc>
          <w:tcPr>
            <w:tcW w:w="7060" w:type="dxa"/>
            <w:vAlign w:val="bottom"/>
            <w:gridSpan w:val="2"/>
            <w:shd w:val="clear" w:color="auto" w:fill="CFF0FC"/>
          </w:tcPr>
          <w:p>
            <w:pPr>
              <w:ind w:left="140"/>
              <w:spacing w:after="0" w:line="153" w:lineRule="exact"/>
              <w:rPr>
                <w:sz w:val="20"/>
                <w:szCs w:val="20"/>
                <w:color w:val="auto"/>
              </w:rPr>
            </w:pPr>
            <w:r>
              <w:rPr>
                <w:rFonts w:ascii="Arial" w:cs="Arial" w:eastAsia="Arial" w:hAnsi="Arial"/>
                <w:sz w:val="14"/>
                <w:szCs w:val="14"/>
                <w:color w:val="auto"/>
              </w:rPr>
              <w:t>Short-term lease liabilities, operating leases (including $2,004 and $2,395 Short-term lease liabilities,</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50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operating leases of consolidated joint ventures)</w:t>
            </w:r>
          </w:p>
        </w:tc>
        <w:tc>
          <w:tcPr>
            <w:tcW w:w="2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42,760</w:t>
            </w: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45,353</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60" w:type="dxa"/>
            <w:vAlign w:val="bottom"/>
            <w:tcBorders>
              <w:bottom w:val="single" w:sz="8" w:color="CFF0FC"/>
            </w:tcBorders>
          </w:tcPr>
          <w:p>
            <w:pPr>
              <w:ind w:left="140"/>
              <w:spacing w:after="0"/>
              <w:rPr>
                <w:sz w:val="20"/>
                <w:szCs w:val="20"/>
                <w:color w:val="auto"/>
              </w:rPr>
            </w:pPr>
            <w:r>
              <w:rPr>
                <w:rFonts w:ascii="Arial" w:cs="Arial" w:eastAsia="Arial" w:hAnsi="Arial"/>
                <w:sz w:val="14"/>
                <w:szCs w:val="14"/>
                <w:color w:val="auto"/>
              </w:rPr>
              <w:t>Income taxes payable</w:t>
            </w:r>
          </w:p>
        </w:tc>
        <w:tc>
          <w:tcPr>
            <w:tcW w:w="20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12,903</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11,239</w:t>
            </w:r>
          </w:p>
        </w:tc>
        <w:tc>
          <w:tcPr>
            <w:tcW w:w="80" w:type="dxa"/>
            <w:vAlign w:val="bottom"/>
            <w:tcBorders>
              <w:bottom w:val="single" w:sz="8" w:color="CFF0FC"/>
            </w:tcBorders>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5060" w:type="dxa"/>
            <w:vAlign w:val="bottom"/>
            <w:tcBorders>
              <w:bottom w:val="single" w:sz="8" w:color="CFF0FC"/>
            </w:tcBorders>
            <w:shd w:val="clear" w:color="auto" w:fill="CFF0FC"/>
          </w:tcPr>
          <w:p>
            <w:pPr>
              <w:ind w:left="320"/>
              <w:spacing w:after="0" w:line="155" w:lineRule="exact"/>
              <w:rPr>
                <w:sz w:val="20"/>
                <w:szCs w:val="20"/>
                <w:color w:val="auto"/>
              </w:rPr>
            </w:pPr>
            <w:r>
              <w:rPr>
                <w:rFonts w:ascii="Arial" w:cs="Arial" w:eastAsia="Arial" w:hAnsi="Arial"/>
                <w:sz w:val="14"/>
                <w:szCs w:val="14"/>
                <w:color w:val="auto"/>
              </w:rPr>
              <w:t>Total current liabilities</w:t>
            </w:r>
          </w:p>
        </w:tc>
        <w:tc>
          <w:tcPr>
            <w:tcW w:w="20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1,479,543</w:t>
            </w:r>
          </w:p>
        </w:tc>
        <w:tc>
          <w:tcPr>
            <w:tcW w:w="180" w:type="dxa"/>
            <w:vAlign w:val="bottom"/>
            <w:tcBorders>
              <w:bottom w:val="single" w:sz="8" w:color="CFF0FC"/>
              <w:right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1,531,664</w:t>
            </w:r>
          </w:p>
        </w:tc>
        <w:tc>
          <w:tcPr>
            <w:tcW w:w="80" w:type="dxa"/>
            <w:vAlign w:val="bottom"/>
            <w:tcBorders>
              <w:bottom w:val="single" w:sz="8" w:color="CFF0FC"/>
            </w:tcBorders>
            <w:shd w:val="clear" w:color="auto" w:fill="CFF0FC"/>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Long-term employee incentives</w:t>
            </w:r>
          </w:p>
        </w:tc>
        <w:tc>
          <w:tcPr>
            <w:tcW w:w="2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27,870</w:t>
            </w: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30,834</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60" w:type="dxa"/>
            <w:vAlign w:val="bottom"/>
          </w:tcPr>
          <w:p>
            <w:pPr>
              <w:ind w:left="140"/>
              <w:spacing w:after="0"/>
              <w:rPr>
                <w:sz w:val="20"/>
                <w:szCs w:val="20"/>
                <w:color w:val="auto"/>
              </w:rPr>
            </w:pPr>
            <w:r>
              <w:rPr>
                <w:rFonts w:ascii="Arial" w:cs="Arial" w:eastAsia="Arial" w:hAnsi="Arial"/>
                <w:sz w:val="14"/>
                <w:szCs w:val="14"/>
                <w:color w:val="auto"/>
              </w:rPr>
              <w:t>Long-term debt</w:t>
            </w: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1,512,921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1,237,816</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00" w:type="dxa"/>
            <w:vAlign w:val="bottom"/>
          </w:tcPr>
          <w:p>
            <w:pPr>
              <w:spacing w:after="0"/>
              <w:rPr>
                <w:sz w:val="13"/>
                <w:szCs w:val="13"/>
                <w:color w:val="auto"/>
              </w:rPr>
            </w:pPr>
          </w:p>
        </w:tc>
        <w:tc>
          <w:tcPr>
            <w:tcW w:w="7060" w:type="dxa"/>
            <w:vAlign w:val="bottom"/>
            <w:gridSpan w:val="2"/>
            <w:shd w:val="clear" w:color="auto" w:fill="CFF0FC"/>
          </w:tcPr>
          <w:p>
            <w:pPr>
              <w:ind w:left="140"/>
              <w:spacing w:after="0" w:line="153" w:lineRule="exact"/>
              <w:rPr>
                <w:sz w:val="20"/>
                <w:szCs w:val="20"/>
                <w:color w:val="auto"/>
              </w:rPr>
            </w:pPr>
            <w:r>
              <w:rPr>
                <w:rFonts w:ascii="Arial" w:cs="Arial" w:eastAsia="Arial" w:hAnsi="Arial"/>
                <w:sz w:val="14"/>
                <w:szCs w:val="14"/>
                <w:color w:val="auto"/>
              </w:rPr>
              <w:t>Long-term lease liabilities, operating leases (including $1,888 and $2,083 Long-term lease liabilities,</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50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operating leases of consolidated joint ventures)</w:t>
            </w:r>
          </w:p>
        </w:tc>
        <w:tc>
          <w:tcPr>
            <w:tcW w:w="2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121,309</w:t>
            </w: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94,044</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60" w:type="dxa"/>
            <w:vAlign w:val="bottom"/>
          </w:tcPr>
          <w:p>
            <w:pPr>
              <w:ind w:left="140"/>
              <w:spacing w:after="0"/>
              <w:rPr>
                <w:sz w:val="20"/>
                <w:szCs w:val="20"/>
                <w:color w:val="auto"/>
              </w:rPr>
            </w:pPr>
            <w:r>
              <w:rPr>
                <w:rFonts w:ascii="Arial" w:cs="Arial" w:eastAsia="Arial" w:hAnsi="Arial"/>
                <w:sz w:val="14"/>
                <w:szCs w:val="14"/>
                <w:color w:val="auto"/>
              </w:rPr>
              <w:t>Deferred tax liabilities</w:t>
            </w: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11,900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12,159</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4"/>
                <w:szCs w:val="14"/>
                <w:color w:val="auto"/>
              </w:rPr>
              <w:t>Other long-term liabilities</w:t>
            </w:r>
          </w:p>
        </w:tc>
        <w:tc>
          <w:tcPr>
            <w:tcW w:w="20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104,408</w:t>
            </w:r>
          </w:p>
        </w:tc>
        <w:tc>
          <w:tcPr>
            <w:tcW w:w="180" w:type="dxa"/>
            <w:vAlign w:val="bottom"/>
            <w:tcBorders>
              <w:bottom w:val="single" w:sz="8" w:color="CFF0FC"/>
              <w:right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95,345</w:t>
            </w:r>
          </w:p>
        </w:tc>
        <w:tc>
          <w:tcPr>
            <w:tcW w:w="80" w:type="dxa"/>
            <w:vAlign w:val="bottom"/>
            <w:tcBorders>
              <w:bottom w:val="single" w:sz="8" w:color="CFF0FC"/>
            </w:tcBorders>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5060" w:type="dxa"/>
            <w:vAlign w:val="bottom"/>
          </w:tcPr>
          <w:p>
            <w:pPr>
              <w:ind w:left="320"/>
              <w:spacing w:after="0" w:line="155" w:lineRule="exact"/>
              <w:rPr>
                <w:sz w:val="20"/>
                <w:szCs w:val="20"/>
                <w:color w:val="auto"/>
              </w:rPr>
            </w:pPr>
            <w:r>
              <w:rPr>
                <w:rFonts w:ascii="Arial" w:cs="Arial" w:eastAsia="Arial" w:hAnsi="Arial"/>
                <w:sz w:val="14"/>
                <w:szCs w:val="14"/>
                <w:color w:val="auto"/>
              </w:rPr>
              <w:t>Total liabilities</w:t>
            </w:r>
          </w:p>
        </w:tc>
        <w:tc>
          <w:tcPr>
            <w:tcW w:w="2000" w:type="dxa"/>
            <w:vAlign w:val="bottom"/>
          </w:tcPr>
          <w:p>
            <w:pPr>
              <w:spacing w:after="0"/>
              <w:rPr>
                <w:sz w:val="13"/>
                <w:szCs w:val="13"/>
                <w:color w:val="auto"/>
              </w:rPr>
            </w:pPr>
          </w:p>
        </w:tc>
        <w:tc>
          <w:tcPr>
            <w:tcW w:w="34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3,257,951</w:t>
            </w:r>
          </w:p>
        </w:tc>
        <w:tc>
          <w:tcPr>
            <w:tcW w:w="180" w:type="dxa"/>
            <w:vAlign w:val="bottom"/>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3,001,862</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0" w:type="dxa"/>
            <w:vAlign w:val="bottom"/>
          </w:tcPr>
          <w:p>
            <w:pPr>
              <w:spacing w:after="0"/>
              <w:rPr>
                <w:sz w:val="12"/>
                <w:szCs w:val="12"/>
                <w:color w:val="auto"/>
              </w:rPr>
            </w:pPr>
          </w:p>
        </w:tc>
        <w:tc>
          <w:tcPr>
            <w:tcW w:w="50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Contingencies (Note 12)</w:t>
            </w:r>
          </w:p>
        </w:tc>
        <w:tc>
          <w:tcPr>
            <w:tcW w:w="2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Arial" w:cs="Arial" w:eastAsia="Arial" w:hAnsi="Arial"/>
                <w:sz w:val="14"/>
                <w:szCs w:val="14"/>
                <w:color w:val="auto"/>
              </w:rPr>
              <w:t>Shareholders' equity:</w:t>
            </w: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00" w:type="dxa"/>
            <w:vAlign w:val="bottom"/>
          </w:tcPr>
          <w:p>
            <w:pPr>
              <w:spacing w:after="0"/>
              <w:rPr>
                <w:sz w:val="13"/>
                <w:szCs w:val="13"/>
                <w:color w:val="auto"/>
              </w:rPr>
            </w:pPr>
          </w:p>
        </w:tc>
        <w:tc>
          <w:tcPr>
            <w:tcW w:w="7060" w:type="dxa"/>
            <w:vAlign w:val="bottom"/>
            <w:gridSpan w:val="2"/>
            <w:shd w:val="clear" w:color="auto" w:fill="CFF0FC"/>
          </w:tcPr>
          <w:p>
            <w:pPr>
              <w:ind w:left="140"/>
              <w:spacing w:after="0" w:line="153" w:lineRule="exact"/>
              <w:rPr>
                <w:sz w:val="20"/>
                <w:szCs w:val="20"/>
                <w:color w:val="auto"/>
              </w:rPr>
            </w:pPr>
            <w:r>
              <w:rPr>
                <w:rFonts w:ascii="Arial" w:cs="Arial" w:eastAsia="Arial" w:hAnsi="Arial"/>
                <w:sz w:val="14"/>
                <w:szCs w:val="14"/>
                <w:color w:val="auto"/>
              </w:rPr>
              <w:t>Common stock, $1 par value; authorized 1,000,000,000 shares; 145,677,597 and 145,676,335 shares</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706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issued; 56,923,103 and 56,103,965 public shares outstanding; 50,046,241 and 50,864,117 ESOP shares</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50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outstanding</w:t>
            </w:r>
          </w:p>
        </w:tc>
        <w:tc>
          <w:tcPr>
            <w:tcW w:w="2000" w:type="dxa"/>
            <w:vAlign w:val="bottom"/>
            <w:shd w:val="clear" w:color="auto" w:fill="CFF0FC"/>
          </w:tcPr>
          <w:p>
            <w:pPr>
              <w:spacing w:after="0"/>
              <w:rPr>
                <w:sz w:val="14"/>
                <w:szCs w:val="14"/>
                <w:color w:val="auto"/>
              </w:rPr>
            </w:pPr>
          </w:p>
        </w:tc>
        <w:tc>
          <w:tcPr>
            <w:tcW w:w="34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145,678</w:t>
            </w: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145,676</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60" w:type="dxa"/>
            <w:vAlign w:val="bottom"/>
          </w:tcPr>
          <w:p>
            <w:pPr>
              <w:ind w:left="140"/>
              <w:spacing w:after="0"/>
              <w:rPr>
                <w:sz w:val="20"/>
                <w:szCs w:val="20"/>
                <w:color w:val="auto"/>
              </w:rPr>
            </w:pPr>
            <w:r>
              <w:rPr>
                <w:rFonts w:ascii="Arial" w:cs="Arial" w:eastAsia="Arial" w:hAnsi="Arial"/>
                <w:sz w:val="14"/>
                <w:szCs w:val="14"/>
                <w:color w:val="auto"/>
              </w:rPr>
              <w:t>Treasury stock, 38,708,253 shares at cost</w:t>
            </w: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(793,002)</w:t>
            </w:r>
          </w:p>
        </w:tc>
        <w:tc>
          <w:tcPr>
            <w:tcW w:w="10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(792,638)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Additional paid-in capital</w:t>
            </w:r>
          </w:p>
        </w:tc>
        <w:tc>
          <w:tcPr>
            <w:tcW w:w="2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2,610,651</w:t>
            </w: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2,648,730</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60" w:type="dxa"/>
            <w:vAlign w:val="bottom"/>
          </w:tcPr>
          <w:p>
            <w:pPr>
              <w:ind w:left="140"/>
              <w:spacing w:after="0"/>
              <w:rPr>
                <w:sz w:val="20"/>
                <w:szCs w:val="20"/>
                <w:color w:val="auto"/>
              </w:rPr>
            </w:pPr>
            <w:r>
              <w:rPr>
                <w:rFonts w:ascii="Arial" w:cs="Arial" w:eastAsia="Arial" w:hAnsi="Arial"/>
                <w:sz w:val="14"/>
                <w:szCs w:val="14"/>
                <w:color w:val="auto"/>
              </w:rPr>
              <w:t>Retained earnings</w:t>
            </w: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709,725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661,173</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Accumulated other comprehensive loss</w:t>
            </w:r>
          </w:p>
        </w:tc>
        <w:tc>
          <w:tcPr>
            <w:tcW w:w="2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(23,439)</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(20,921)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5060" w:type="dxa"/>
            <w:vAlign w:val="bottom"/>
            <w:tcBorders>
              <w:top w:val="single" w:sz="8" w:color="CFF0FC"/>
            </w:tcBorders>
          </w:tcPr>
          <w:p>
            <w:pPr>
              <w:ind w:left="140"/>
              <w:spacing w:after="0" w:line="155" w:lineRule="exact"/>
              <w:rPr>
                <w:sz w:val="20"/>
                <w:szCs w:val="20"/>
                <w:color w:val="auto"/>
              </w:rPr>
            </w:pPr>
            <w:r>
              <w:rPr>
                <w:rFonts w:ascii="Arial" w:cs="Arial" w:eastAsia="Arial" w:hAnsi="Arial"/>
                <w:sz w:val="14"/>
                <w:szCs w:val="14"/>
                <w:color w:val="auto"/>
              </w:rPr>
              <w:t>Total Parsons Corporation shareholders' equity</w:t>
            </w:r>
          </w:p>
        </w:tc>
        <w:tc>
          <w:tcPr>
            <w:tcW w:w="200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2,649,613</w:t>
            </w:r>
          </w:p>
        </w:tc>
        <w:tc>
          <w:tcPr>
            <w:tcW w:w="18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2,642,020</w:t>
            </w:r>
          </w:p>
        </w:tc>
        <w:tc>
          <w:tcPr>
            <w:tcW w:w="80" w:type="dxa"/>
            <w:vAlign w:val="bottom"/>
            <w:tcBorders>
              <w:top w:val="single" w:sz="8" w:color="CFF0FC"/>
            </w:tcBorders>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0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4"/>
                <w:szCs w:val="14"/>
                <w:color w:val="auto"/>
              </w:rPr>
              <w:t>Noncontrolling interests</w:t>
            </w:r>
          </w:p>
        </w:tc>
        <w:tc>
          <w:tcPr>
            <w:tcW w:w="20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104,544</w:t>
            </w:r>
          </w:p>
        </w:tc>
        <w:tc>
          <w:tcPr>
            <w:tcW w:w="180" w:type="dxa"/>
            <w:vAlign w:val="bottom"/>
            <w:tcBorders>
              <w:bottom w:val="single" w:sz="8" w:color="CFF0FC"/>
              <w:right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125,652</w:t>
            </w:r>
          </w:p>
        </w:tc>
        <w:tc>
          <w:tcPr>
            <w:tcW w:w="80" w:type="dxa"/>
            <w:vAlign w:val="bottom"/>
            <w:tcBorders>
              <w:bottom w:val="single" w:sz="8" w:color="CFF0FC"/>
            </w:tcBorders>
            <w:shd w:val="clear" w:color="auto" w:fill="CFF0FC"/>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5060" w:type="dxa"/>
            <w:vAlign w:val="bottom"/>
          </w:tcPr>
          <w:p>
            <w:pPr>
              <w:ind w:left="140"/>
              <w:spacing w:after="0" w:line="155" w:lineRule="exact"/>
              <w:rPr>
                <w:sz w:val="20"/>
                <w:szCs w:val="20"/>
                <w:color w:val="auto"/>
              </w:rPr>
            </w:pPr>
            <w:r>
              <w:rPr>
                <w:rFonts w:ascii="Arial" w:cs="Arial" w:eastAsia="Arial" w:hAnsi="Arial"/>
                <w:sz w:val="14"/>
                <w:szCs w:val="14"/>
                <w:color w:val="auto"/>
              </w:rPr>
              <w:t>Total shareholders' equity</w:t>
            </w: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2,754,157</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2,767,672</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5060" w:type="dxa"/>
            <w:vAlign w:val="bottom"/>
            <w:shd w:val="clear" w:color="auto" w:fill="CFF0FC"/>
          </w:tcPr>
          <w:p>
            <w:pPr>
              <w:ind w:left="320"/>
              <w:spacing w:after="0" w:line="155" w:lineRule="exact"/>
              <w:rPr>
                <w:sz w:val="20"/>
                <w:szCs w:val="20"/>
                <w:color w:val="auto"/>
              </w:rPr>
            </w:pPr>
            <w:r>
              <w:rPr>
                <w:rFonts w:ascii="Arial" w:cs="Arial" w:eastAsia="Arial" w:hAnsi="Arial"/>
                <w:sz w:val="14"/>
                <w:szCs w:val="14"/>
                <w:color w:val="auto"/>
              </w:rPr>
              <w:t>Total liabilities and shareholders' equity</w:t>
            </w:r>
          </w:p>
        </w:tc>
        <w:tc>
          <w:tcPr>
            <w:tcW w:w="2000" w:type="dxa"/>
            <w:vAlign w:val="bottom"/>
            <w:shd w:val="clear" w:color="auto" w:fill="CFF0FC"/>
          </w:tcPr>
          <w:p>
            <w:pPr>
              <w:spacing w:after="0"/>
              <w:rPr>
                <w:sz w:val="15"/>
                <w:szCs w:val="15"/>
                <w:color w:val="auto"/>
              </w:rPr>
            </w:pPr>
          </w:p>
        </w:tc>
        <w:tc>
          <w:tcPr>
            <w:tcW w:w="340" w:type="dxa"/>
            <w:vAlign w:val="bottom"/>
            <w:gridSpan w:val="2"/>
            <w:shd w:val="clear" w:color="auto" w:fill="CFF0FC"/>
          </w:tcPr>
          <w:p>
            <w:pPr>
              <w:ind w:left="100"/>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6,012,108</w:t>
            </w:r>
          </w:p>
        </w:tc>
        <w:tc>
          <w:tcPr>
            <w:tcW w:w="1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5,769,534</w:t>
            </w:r>
          </w:p>
        </w:tc>
        <w:tc>
          <w:tcPr>
            <w:tcW w:w="80" w:type="dxa"/>
            <w:vAlign w:val="bottom"/>
            <w:shd w:val="clear" w:color="auto" w:fill="CFF0FC"/>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060" w:type="dxa"/>
            <w:vAlign w:val="bottom"/>
            <w:tcBorders>
              <w:top w:val="single" w:sz="8" w:color="CFF0FC"/>
            </w:tcBorders>
            <w:shd w:val="clear" w:color="auto" w:fill="CFF0FC"/>
          </w:tcPr>
          <w:p>
            <w:pPr>
              <w:spacing w:after="0" w:line="20" w:lineRule="exact"/>
              <w:rPr>
                <w:sz w:val="1"/>
                <w:szCs w:val="1"/>
                <w:color w:val="auto"/>
              </w:rPr>
            </w:pPr>
          </w:p>
        </w:tc>
        <w:tc>
          <w:tcPr>
            <w:tcW w:w="20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5860" w:type="dxa"/>
            <w:vAlign w:val="bottom"/>
            <w:gridSpan w:val="2"/>
          </w:tcPr>
          <w:p>
            <w:pPr>
              <w:ind w:left="800"/>
              <w:spacing w:after="0"/>
              <w:rPr>
                <w:sz w:val="20"/>
                <w:szCs w:val="20"/>
                <w:color w:val="auto"/>
              </w:rPr>
            </w:pPr>
            <w:r>
              <w:rPr>
                <w:rFonts w:ascii="Arial" w:cs="Arial" w:eastAsia="Arial" w:hAnsi="Arial"/>
                <w:sz w:val="16"/>
                <w:szCs w:val="16"/>
                <w:color w:val="auto"/>
              </w:rPr>
              <w:t>parsons.com</w:t>
            </w:r>
          </w:p>
        </w:tc>
        <w:tc>
          <w:tcPr>
            <w:tcW w:w="5180" w:type="dxa"/>
            <w:vAlign w:val="bottom"/>
            <w:gridSpan w:val="9"/>
          </w:tcPr>
          <w:p>
            <w:pPr>
              <w:ind w:left="980"/>
              <w:spacing w:after="0"/>
              <w:rPr>
                <w:sz w:val="20"/>
                <w:szCs w:val="20"/>
                <w:color w:val="auto"/>
              </w:rPr>
            </w:pPr>
            <w:r>
              <w:rPr>
                <w:rFonts w:ascii="Arial" w:cs="Arial" w:eastAsia="Arial" w:hAnsi="Arial"/>
                <w:sz w:val="16"/>
                <w:szCs w:val="16"/>
                <w:color w:val="auto"/>
              </w:rPr>
              <w:t>©Parsons Corporation. All Rights Reserved.  8</w:t>
            </w:r>
          </w:p>
        </w:tc>
        <w:tc>
          <w:tcPr>
            <w:tcW w:w="0" w:type="dxa"/>
            <w:vAlign w:val="bottom"/>
          </w:tcPr>
          <w:p>
            <w:pPr>
              <w:spacing w:after="0"/>
              <w:rPr>
                <w:sz w:val="1"/>
                <w:szCs w:val="1"/>
                <w:color w:val="auto"/>
              </w:rPr>
            </w:pPr>
          </w:p>
        </w:tc>
      </w:tr>
      <w:tr>
        <w:trPr>
          <w:trHeight w:val="873"/>
        </w:trPr>
        <w:tc>
          <w:tcPr>
            <w:tcW w:w="80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5727700</wp:posOffset>
            </wp:positionH>
            <wp:positionV relativeFrom="paragraph">
              <wp:posOffset>-5494020</wp:posOffset>
            </wp:positionV>
            <wp:extent cx="603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-5494020</wp:posOffset>
            </wp:positionV>
            <wp:extent cx="603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5727700</wp:posOffset>
            </wp:positionH>
            <wp:positionV relativeFrom="paragraph">
              <wp:posOffset>-4457065</wp:posOffset>
            </wp:positionV>
            <wp:extent cx="603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-4457065</wp:posOffset>
            </wp:positionV>
            <wp:extent cx="603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5715000</wp:posOffset>
            </wp:positionH>
            <wp:positionV relativeFrom="paragraph">
              <wp:posOffset>-3303905</wp:posOffset>
            </wp:positionV>
            <wp:extent cx="85725"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-3303905</wp:posOffset>
            </wp:positionV>
            <wp:extent cx="85725"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5727700</wp:posOffset>
            </wp:positionH>
            <wp:positionV relativeFrom="paragraph">
              <wp:posOffset>-2451100</wp:posOffset>
            </wp:positionV>
            <wp:extent cx="603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-2451100</wp:posOffset>
            </wp:positionV>
            <wp:extent cx="603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5727700</wp:posOffset>
            </wp:positionH>
            <wp:positionV relativeFrom="paragraph">
              <wp:posOffset>-1388110</wp:posOffset>
            </wp:positionV>
            <wp:extent cx="603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-1388110</wp:posOffset>
            </wp:positionV>
            <wp:extent cx="603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5727700</wp:posOffset>
            </wp:positionH>
            <wp:positionV relativeFrom="paragraph">
              <wp:posOffset>-1173480</wp:posOffset>
            </wp:positionV>
            <wp:extent cx="603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-1173480</wp:posOffset>
            </wp:positionV>
            <wp:extent cx="603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5727700</wp:posOffset>
            </wp:positionH>
            <wp:positionV relativeFrom="paragraph">
              <wp:posOffset>-951230</wp:posOffset>
            </wp:positionV>
            <wp:extent cx="603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5727700</wp:posOffset>
            </wp:positionH>
            <wp:positionV relativeFrom="paragraph">
              <wp:posOffset>-933450</wp:posOffset>
            </wp:positionV>
            <wp:extent cx="603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-951230</wp:posOffset>
            </wp:positionV>
            <wp:extent cx="603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-933450</wp:posOffset>
            </wp:positionV>
            <wp:extent cx="603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sectPr>
      </w:pPr>
    </w:p>
    <w:bookmarkStart w:id="11" w:name="page12"/>
    <w:bookmarkEnd w:id="11"/>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637540</wp:posOffset>
            </wp:positionV>
            <wp:extent cx="6000750" cy="2228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22885"/>
                    </a:xfrm>
                    <a:prstGeom prst="rect">
                      <a:avLst/>
                    </a:prstGeom>
                    <a:noFill/>
                  </pic:spPr>
                </pic:pic>
              </a:graphicData>
            </a:graphic>
          </wp:anchor>
        </w:drawing>
      </w:r>
    </w:p>
    <w:p>
      <w:pPr>
        <w:ind w:left="800"/>
        <w:spacing w:after="0"/>
        <w:rPr>
          <w:sz w:val="20"/>
          <w:szCs w:val="20"/>
          <w:color w:val="auto"/>
        </w:rPr>
      </w:pPr>
      <w:r>
        <w:rPr>
          <w:rFonts w:ascii="Arial" w:cs="Arial" w:eastAsia="Arial" w:hAnsi="Arial"/>
          <w:sz w:val="25"/>
          <w:szCs w:val="25"/>
          <w:b w:val="1"/>
          <w:bCs w:val="1"/>
          <w:color w:val="0052CC"/>
        </w:rPr>
        <w:t>PARSONS CORPORATION</w:t>
      </w:r>
    </w:p>
    <w:p>
      <w:pPr>
        <w:spacing w:after="0" w:line="36" w:lineRule="exact"/>
        <w:rPr>
          <w:sz w:val="20"/>
          <w:szCs w:val="20"/>
          <w:color w:val="auto"/>
        </w:rPr>
      </w:pPr>
    </w:p>
    <w:p>
      <w:pPr>
        <w:ind w:left="800"/>
        <w:spacing w:after="0"/>
        <w:rPr>
          <w:sz w:val="20"/>
          <w:szCs w:val="20"/>
          <w:color w:val="auto"/>
        </w:rPr>
      </w:pPr>
      <w:r>
        <w:rPr>
          <w:rFonts w:ascii="Arial" w:cs="Arial" w:eastAsia="Arial" w:hAnsi="Arial"/>
          <w:sz w:val="25"/>
          <w:szCs w:val="25"/>
          <w:b w:val="1"/>
          <w:bCs w:val="1"/>
          <w:color w:val="0052CC"/>
        </w:rPr>
        <w:t>CONSOLIDATED STATEMENTS OF CASH FLOWS</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(In thousands,</w:t>
      </w:r>
    </w:p>
    <w:p>
      <w:pPr>
        <w:ind w:left="800"/>
        <w:spacing w:after="0"/>
        <w:rPr>
          <w:sz w:val="20"/>
          <w:szCs w:val="20"/>
          <w:color w:val="auto"/>
        </w:rPr>
      </w:pPr>
      <w:r>
        <w:rPr>
          <w:rFonts w:ascii="Arial" w:cs="Arial" w:eastAsia="Arial" w:hAnsi="Arial"/>
          <w:sz w:val="18"/>
          <w:szCs w:val="18"/>
          <w:i w:val="1"/>
          <w:iCs w:val="1"/>
          <w:color w:val="auto"/>
        </w:rPr>
        <w:t>(Unaudited)</w:t>
      </w:r>
    </w:p>
    <w:tbl>
      <w:tblPr>
        <w:tblLayout w:type="fixed"/>
        <w:tblInd w:w="0" w:type="dxa"/>
        <w:tblCellMar>
          <w:top w:w="0" w:type="dxa"/>
          <w:left w:w="0" w:type="dxa"/>
          <w:bottom w:w="0" w:type="dxa"/>
          <w:right w:w="0" w:type="dxa"/>
        </w:tblCellMar>
      </w:tblPr>
      <w:tr>
        <w:trPr>
          <w:trHeight w:val="158"/>
        </w:trPr>
        <w:tc>
          <w:tcPr>
            <w:tcW w:w="80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900" w:type="dxa"/>
            <w:vAlign w:val="bottom"/>
            <w:gridSpan w:val="7"/>
          </w:tcPr>
          <w:p>
            <w:pPr>
              <w:ind w:left="460"/>
              <w:spacing w:after="0" w:line="159" w:lineRule="exact"/>
              <w:rPr>
                <w:sz w:val="20"/>
                <w:szCs w:val="20"/>
                <w:color w:val="auto"/>
              </w:rPr>
            </w:pPr>
            <w:r>
              <w:rPr>
                <w:rFonts w:ascii="Arial" w:cs="Arial" w:eastAsia="Arial" w:hAnsi="Arial"/>
                <w:sz w:val="14"/>
                <w:szCs w:val="14"/>
                <w:b w:val="1"/>
                <w:bCs w:val="1"/>
                <w:color w:val="auto"/>
              </w:rPr>
              <w:t>For the Three Months Ended</w:t>
            </w:r>
          </w:p>
        </w:tc>
      </w:tr>
      <w:tr>
        <w:trPr>
          <w:trHeight w:val="155"/>
        </w:trPr>
        <w:tc>
          <w:tcPr>
            <w:tcW w:w="80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March 31, 2026</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March 31, 2025</w:t>
            </w:r>
          </w:p>
        </w:tc>
        <w:tc>
          <w:tcPr>
            <w:tcW w:w="880" w:type="dxa"/>
            <w:vAlign w:val="bottom"/>
            <w:gridSpan w:val="2"/>
          </w:tcPr>
          <w:p>
            <w:pPr>
              <w:spacing w:after="0"/>
              <w:rPr>
                <w:sz w:val="13"/>
                <w:szCs w:val="13"/>
                <w:color w:val="auto"/>
              </w:rPr>
            </w:pPr>
          </w:p>
        </w:tc>
      </w:tr>
      <w:tr>
        <w:trPr>
          <w:trHeight w:val="156"/>
        </w:trPr>
        <w:tc>
          <w:tcPr>
            <w:tcW w:w="800" w:type="dxa"/>
            <w:vAlign w:val="bottom"/>
          </w:tcPr>
          <w:p>
            <w:pPr>
              <w:spacing w:after="0"/>
              <w:rPr>
                <w:sz w:val="13"/>
                <w:szCs w:val="13"/>
                <w:color w:val="auto"/>
              </w:rPr>
            </w:pPr>
          </w:p>
        </w:tc>
        <w:tc>
          <w:tcPr>
            <w:tcW w:w="55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66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32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36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tcPr>
          <w:p>
            <w:pPr>
              <w:spacing w:after="0"/>
              <w:rPr>
                <w:sz w:val="13"/>
                <w:szCs w:val="13"/>
                <w:color w:val="auto"/>
              </w:rPr>
            </w:pPr>
          </w:p>
        </w:tc>
      </w:tr>
      <w:tr>
        <w:trPr>
          <w:trHeight w:val="162"/>
        </w:trPr>
        <w:tc>
          <w:tcPr>
            <w:tcW w:w="800" w:type="dxa"/>
            <w:vAlign w:val="bottom"/>
          </w:tcPr>
          <w:p>
            <w:pPr>
              <w:spacing w:after="0"/>
              <w:rPr>
                <w:sz w:val="14"/>
                <w:szCs w:val="14"/>
                <w:color w:val="auto"/>
              </w:rPr>
            </w:pPr>
          </w:p>
        </w:tc>
        <w:tc>
          <w:tcPr>
            <w:tcW w:w="5540" w:type="dxa"/>
            <w:vAlign w:val="bottom"/>
          </w:tcPr>
          <w:p>
            <w:pPr>
              <w:ind w:left="240"/>
              <w:spacing w:after="0"/>
              <w:rPr>
                <w:sz w:val="20"/>
                <w:szCs w:val="20"/>
                <w:color w:val="auto"/>
              </w:rPr>
            </w:pPr>
            <w:r>
              <w:rPr>
                <w:rFonts w:ascii="Arial" w:cs="Arial" w:eastAsia="Arial" w:hAnsi="Arial"/>
                <w:sz w:val="14"/>
                <w:szCs w:val="14"/>
                <w:color w:val="auto"/>
              </w:rPr>
              <w:t>Net income including noncontrolling interests</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65,211</w:t>
            </w:r>
          </w:p>
        </w:tc>
        <w:tc>
          <w:tcPr>
            <w:tcW w:w="120" w:type="dxa"/>
            <w:vAlign w:val="bottom"/>
          </w:tcPr>
          <w:p>
            <w:pPr>
              <w:spacing w:after="0"/>
              <w:rPr>
                <w:sz w:val="14"/>
                <w:szCs w:val="14"/>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81,787</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55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Adjustments to reconcile net income to net cash used in operating activities</w:t>
            </w: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554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35,926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27,403</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5540" w:type="dxa"/>
            <w:vAlign w:val="bottom"/>
            <w:shd w:val="clear" w:color="auto" w:fill="CFF0FC"/>
          </w:tcPr>
          <w:p>
            <w:pPr>
              <w:ind w:left="340"/>
              <w:spacing w:after="0"/>
              <w:rPr>
                <w:sz w:val="20"/>
                <w:szCs w:val="20"/>
                <w:color w:val="auto"/>
              </w:rPr>
            </w:pPr>
            <w:r>
              <w:rPr>
                <w:rFonts w:ascii="Arial" w:cs="Arial" w:eastAsia="Arial" w:hAnsi="Arial"/>
                <w:sz w:val="14"/>
                <w:szCs w:val="14"/>
                <w:color w:val="auto"/>
              </w:rPr>
              <w:t>Amortization of debt issue costs</w:t>
            </w: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1,223</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5540" w:type="dxa"/>
            <w:vAlign w:val="bottom"/>
          </w:tcPr>
          <w:p>
            <w:pPr>
              <w:ind w:left="340"/>
              <w:spacing w:after="0"/>
              <w:rPr>
                <w:sz w:val="20"/>
                <w:szCs w:val="20"/>
                <w:color w:val="auto"/>
              </w:rPr>
            </w:pPr>
            <w:r>
              <w:rPr>
                <w:rFonts w:ascii="Arial" w:cs="Arial" w:eastAsia="Arial" w:hAnsi="Arial"/>
                <w:sz w:val="14"/>
                <w:szCs w:val="14"/>
                <w:color w:val="auto"/>
              </w:rPr>
              <w:t>Loss (gain) on disposal of property and equipment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5540" w:type="dxa"/>
            <w:vAlign w:val="bottom"/>
            <w:shd w:val="clear" w:color="auto" w:fill="CFF0FC"/>
          </w:tcPr>
          <w:p>
            <w:pPr>
              <w:ind w:left="340"/>
              <w:spacing w:after="0"/>
              <w:rPr>
                <w:sz w:val="20"/>
                <w:szCs w:val="20"/>
                <w:color w:val="auto"/>
              </w:rPr>
            </w:pPr>
            <w:r>
              <w:rPr>
                <w:rFonts w:ascii="Arial" w:cs="Arial" w:eastAsia="Arial" w:hAnsi="Arial"/>
                <w:sz w:val="14"/>
                <w:szCs w:val="14"/>
                <w:color w:val="auto"/>
              </w:rPr>
              <w:t>Deferred taxes</w:t>
            </w: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4,528</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1,555</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5540" w:type="dxa"/>
            <w:vAlign w:val="bottom"/>
          </w:tcPr>
          <w:p>
            <w:pPr>
              <w:ind w:left="340"/>
              <w:spacing w:after="0"/>
              <w:rPr>
                <w:sz w:val="20"/>
                <w:szCs w:val="20"/>
                <w:color w:val="auto"/>
              </w:rPr>
            </w:pPr>
            <w:r>
              <w:rPr>
                <w:rFonts w:ascii="Arial" w:cs="Arial" w:eastAsia="Arial" w:hAnsi="Arial"/>
                <w:sz w:val="14"/>
                <w:szCs w:val="14"/>
                <w:color w:val="auto"/>
              </w:rPr>
              <w:t>Foreign currency transaction gains and losses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1,012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4"/>
                <w:szCs w:val="14"/>
                <w:color w:val="auto"/>
              </w:rPr>
              <w:t>(786)</w:t>
            </w:r>
          </w:p>
        </w:tc>
        <w:tc>
          <w:tcPr>
            <w:tcW w:w="80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5540" w:type="dxa"/>
            <w:vAlign w:val="bottom"/>
            <w:shd w:val="clear" w:color="auto" w:fill="CFF0FC"/>
          </w:tcPr>
          <w:p>
            <w:pPr>
              <w:ind w:left="340"/>
              <w:spacing w:after="0"/>
              <w:rPr>
                <w:sz w:val="20"/>
                <w:szCs w:val="20"/>
                <w:color w:val="auto"/>
              </w:rPr>
            </w:pPr>
            <w:r>
              <w:rPr>
                <w:rFonts w:ascii="Arial" w:cs="Arial" w:eastAsia="Arial" w:hAnsi="Arial"/>
                <w:sz w:val="14"/>
                <w:szCs w:val="14"/>
                <w:color w:val="auto"/>
              </w:rPr>
              <w:t>Equity in losses (earnings) of unconsolidated joint ventures</w:t>
            </w: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(6,156)</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687</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5540" w:type="dxa"/>
            <w:vAlign w:val="bottom"/>
          </w:tcPr>
          <w:p>
            <w:pPr>
              <w:ind w:left="340"/>
              <w:spacing w:after="0"/>
              <w:rPr>
                <w:sz w:val="20"/>
                <w:szCs w:val="20"/>
                <w:color w:val="auto"/>
              </w:rPr>
            </w:pPr>
            <w:r>
              <w:rPr>
                <w:rFonts w:ascii="Arial" w:cs="Arial" w:eastAsia="Arial" w:hAnsi="Arial"/>
                <w:sz w:val="14"/>
                <w:szCs w:val="14"/>
                <w:color w:val="auto"/>
              </w:rPr>
              <w:t>Return on investments in unconsolidated joint ventures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7,208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12,963</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5540" w:type="dxa"/>
            <w:vAlign w:val="bottom"/>
            <w:shd w:val="clear" w:color="auto" w:fill="CFF0FC"/>
          </w:tcPr>
          <w:p>
            <w:pPr>
              <w:ind w:left="340"/>
              <w:spacing w:after="0"/>
              <w:rPr>
                <w:sz w:val="20"/>
                <w:szCs w:val="20"/>
                <w:color w:val="auto"/>
              </w:rPr>
            </w:pPr>
            <w:r>
              <w:rPr>
                <w:rFonts w:ascii="Arial" w:cs="Arial" w:eastAsia="Arial" w:hAnsi="Arial"/>
                <w:sz w:val="14"/>
                <w:szCs w:val="14"/>
                <w:color w:val="auto"/>
              </w:rPr>
              <w:t>Stock-based compensation</w:t>
            </w: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11,242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10,979</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5540" w:type="dxa"/>
            <w:vAlign w:val="bottom"/>
          </w:tcPr>
          <w:p>
            <w:pPr>
              <w:ind w:left="340"/>
              <w:spacing w:after="0"/>
              <w:rPr>
                <w:sz w:val="20"/>
                <w:szCs w:val="20"/>
                <w:color w:val="auto"/>
              </w:rPr>
            </w:pPr>
            <w:r>
              <w:rPr>
                <w:rFonts w:ascii="Arial" w:cs="Arial" w:eastAsia="Arial" w:hAnsi="Arial"/>
                <w:sz w:val="14"/>
                <w:szCs w:val="14"/>
                <w:color w:val="auto"/>
              </w:rPr>
              <w:t>Contributions of treasury 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19,347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17,764</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53"/>
        </w:trPr>
        <w:tc>
          <w:tcPr>
            <w:tcW w:w="800" w:type="dxa"/>
            <w:vAlign w:val="bottom"/>
          </w:tcPr>
          <w:p>
            <w:pPr>
              <w:spacing w:after="0"/>
              <w:rPr>
                <w:sz w:val="13"/>
                <w:szCs w:val="13"/>
                <w:color w:val="auto"/>
              </w:rPr>
            </w:pPr>
          </w:p>
        </w:tc>
        <w:tc>
          <w:tcPr>
            <w:tcW w:w="5540" w:type="dxa"/>
            <w:vAlign w:val="bottom"/>
            <w:shd w:val="clear" w:color="auto" w:fill="CFF0FC"/>
          </w:tcPr>
          <w:p>
            <w:pPr>
              <w:ind w:left="240"/>
              <w:spacing w:after="0" w:line="153" w:lineRule="exact"/>
              <w:rPr>
                <w:sz w:val="20"/>
                <w:szCs w:val="20"/>
                <w:color w:val="auto"/>
              </w:rPr>
            </w:pPr>
            <w:r>
              <w:rPr>
                <w:rFonts w:ascii="Arial" w:cs="Arial" w:eastAsia="Arial" w:hAnsi="Arial"/>
                <w:sz w:val="14"/>
                <w:szCs w:val="14"/>
                <w:color w:val="auto"/>
              </w:rPr>
              <w:t>Changes in assets and liabilities, net of acquisitions and consolidated</w:t>
            </w:r>
          </w:p>
        </w:tc>
        <w:tc>
          <w:tcPr>
            <w:tcW w:w="6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tcPr>
          <w:p>
            <w:pPr>
              <w:spacing w:after="0"/>
              <w:rPr>
                <w:sz w:val="13"/>
                <w:szCs w:val="13"/>
                <w:color w:val="auto"/>
              </w:rPr>
            </w:pPr>
          </w:p>
        </w:tc>
      </w:tr>
      <w:tr>
        <w:trPr>
          <w:trHeight w:val="171"/>
        </w:trPr>
        <w:tc>
          <w:tcPr>
            <w:tcW w:w="800" w:type="dxa"/>
            <w:vAlign w:val="bottom"/>
          </w:tcPr>
          <w:p>
            <w:pPr>
              <w:spacing w:after="0"/>
              <w:rPr>
                <w:sz w:val="14"/>
                <w:szCs w:val="14"/>
                <w:color w:val="auto"/>
              </w:rPr>
            </w:pPr>
          </w:p>
        </w:tc>
        <w:tc>
          <w:tcPr>
            <w:tcW w:w="5540" w:type="dxa"/>
            <w:vAlign w:val="bottom"/>
            <w:shd w:val="clear" w:color="auto" w:fill="CFF0FC"/>
          </w:tcPr>
          <w:p>
            <w:pPr>
              <w:ind w:left="360"/>
              <w:spacing w:after="0"/>
              <w:rPr>
                <w:sz w:val="20"/>
                <w:szCs w:val="20"/>
                <w:color w:val="auto"/>
              </w:rPr>
            </w:pPr>
            <w:r>
              <w:rPr>
                <w:rFonts w:ascii="Arial" w:cs="Arial" w:eastAsia="Arial" w:hAnsi="Arial"/>
                <w:sz w:val="14"/>
                <w:szCs w:val="14"/>
                <w:color w:val="auto"/>
              </w:rPr>
              <w:t>joint ventures:</w:t>
            </w: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5540" w:type="dxa"/>
            <w:vAlign w:val="bottom"/>
          </w:tcPr>
          <w:p>
            <w:pPr>
              <w:ind w:left="340"/>
              <w:spacing w:after="0"/>
              <w:rPr>
                <w:sz w:val="20"/>
                <w:szCs w:val="20"/>
                <w:color w:val="auto"/>
              </w:rPr>
            </w:pPr>
            <w:r>
              <w:rPr>
                <w:rFonts w:ascii="Arial" w:cs="Arial" w:eastAsia="Arial" w:hAnsi="Arial"/>
                <w:sz w:val="14"/>
                <w:szCs w:val="14"/>
                <w:color w:val="auto"/>
              </w:rPr>
              <w:t>Accounts receivable</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47,235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4"/>
                <w:szCs w:val="14"/>
                <w:color w:val="auto"/>
              </w:rPr>
              <w:t>(21,015)</w:t>
            </w:r>
          </w:p>
        </w:tc>
        <w:tc>
          <w:tcPr>
            <w:tcW w:w="80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5540" w:type="dxa"/>
            <w:vAlign w:val="bottom"/>
            <w:shd w:val="clear" w:color="auto" w:fill="CFF0FC"/>
          </w:tcPr>
          <w:p>
            <w:pPr>
              <w:ind w:left="340"/>
              <w:spacing w:after="0"/>
              <w:rPr>
                <w:sz w:val="20"/>
                <w:szCs w:val="20"/>
                <w:color w:val="auto"/>
              </w:rPr>
            </w:pPr>
            <w:r>
              <w:rPr>
                <w:rFonts w:ascii="Arial" w:cs="Arial" w:eastAsia="Arial" w:hAnsi="Arial"/>
                <w:sz w:val="14"/>
                <w:szCs w:val="14"/>
                <w:color w:val="auto"/>
              </w:rPr>
              <w:t>Contract assets</w:t>
            </w: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(94,998)</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(78,015)</w:t>
            </w:r>
          </w:p>
        </w:tc>
        <w:tc>
          <w:tcPr>
            <w:tcW w:w="80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5540" w:type="dxa"/>
            <w:vAlign w:val="bottom"/>
          </w:tcPr>
          <w:p>
            <w:pPr>
              <w:ind w:left="340"/>
              <w:spacing w:after="0"/>
              <w:rPr>
                <w:sz w:val="20"/>
                <w:szCs w:val="20"/>
                <w:color w:val="auto"/>
              </w:rPr>
            </w:pPr>
            <w:r>
              <w:rPr>
                <w:rFonts w:ascii="Arial" w:cs="Arial" w:eastAsia="Arial" w:hAnsi="Arial"/>
                <w:sz w:val="14"/>
                <w:szCs w:val="14"/>
                <w:color w:val="auto"/>
              </w:rPr>
              <w:t>Prepaid expenses and other assets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(12,552)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4"/>
                <w:szCs w:val="14"/>
                <w:color w:val="auto"/>
              </w:rPr>
              <w:t>(17,171)</w:t>
            </w:r>
          </w:p>
        </w:tc>
        <w:tc>
          <w:tcPr>
            <w:tcW w:w="80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5540" w:type="dxa"/>
            <w:vAlign w:val="bottom"/>
            <w:shd w:val="clear" w:color="auto" w:fill="CFF0FC"/>
          </w:tcPr>
          <w:p>
            <w:pPr>
              <w:ind w:left="340"/>
              <w:spacing w:after="0"/>
              <w:rPr>
                <w:sz w:val="20"/>
                <w:szCs w:val="20"/>
                <w:color w:val="auto"/>
              </w:rPr>
            </w:pPr>
            <w:r>
              <w:rPr>
                <w:rFonts w:ascii="Arial" w:cs="Arial" w:eastAsia="Arial" w:hAnsi="Arial"/>
                <w:sz w:val="14"/>
                <w:szCs w:val="14"/>
                <w:color w:val="auto"/>
              </w:rPr>
              <w:t>Accounts payable</w:t>
            </w: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(21,430)</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79,659</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5540" w:type="dxa"/>
            <w:vAlign w:val="bottom"/>
          </w:tcPr>
          <w:p>
            <w:pPr>
              <w:ind w:left="340"/>
              <w:spacing w:after="0"/>
              <w:rPr>
                <w:sz w:val="20"/>
                <w:szCs w:val="20"/>
                <w:color w:val="auto"/>
              </w:rPr>
            </w:pPr>
            <w:r>
              <w:rPr>
                <w:rFonts w:ascii="Arial" w:cs="Arial" w:eastAsia="Arial" w:hAnsi="Arial"/>
                <w:sz w:val="14"/>
                <w:szCs w:val="14"/>
                <w:color w:val="auto"/>
              </w:rPr>
              <w:t>Accrued expenses and other current liabilities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(75,250)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4"/>
                <w:szCs w:val="14"/>
                <w:color w:val="auto"/>
              </w:rPr>
              <w:t>(132,892)</w:t>
            </w:r>
          </w:p>
        </w:tc>
        <w:tc>
          <w:tcPr>
            <w:tcW w:w="80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5540" w:type="dxa"/>
            <w:vAlign w:val="bottom"/>
            <w:shd w:val="clear" w:color="auto" w:fill="CFF0FC"/>
          </w:tcPr>
          <w:p>
            <w:pPr>
              <w:ind w:left="340"/>
              <w:spacing w:after="0"/>
              <w:rPr>
                <w:sz w:val="20"/>
                <w:szCs w:val="20"/>
                <w:color w:val="auto"/>
              </w:rPr>
            </w:pPr>
            <w:r>
              <w:rPr>
                <w:rFonts w:ascii="Arial" w:cs="Arial" w:eastAsia="Arial" w:hAnsi="Arial"/>
                <w:sz w:val="14"/>
                <w:szCs w:val="14"/>
                <w:color w:val="auto"/>
              </w:rPr>
              <w:t>Contract liabilities</w:t>
            </w: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19,247</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3,153</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5540" w:type="dxa"/>
            <w:vAlign w:val="bottom"/>
          </w:tcPr>
          <w:p>
            <w:pPr>
              <w:ind w:left="340"/>
              <w:spacing w:after="0"/>
              <w:rPr>
                <w:sz w:val="20"/>
                <w:szCs w:val="20"/>
                <w:color w:val="auto"/>
              </w:rPr>
            </w:pPr>
            <w:r>
              <w:rPr>
                <w:rFonts w:ascii="Arial" w:cs="Arial" w:eastAsia="Arial" w:hAnsi="Arial"/>
                <w:sz w:val="14"/>
                <w:szCs w:val="14"/>
                <w:color w:val="auto"/>
              </w:rPr>
              <w:t>Income taxes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589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80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5540" w:type="dxa"/>
            <w:vAlign w:val="bottom"/>
            <w:shd w:val="clear" w:color="auto" w:fill="CFF0FC"/>
          </w:tcPr>
          <w:p>
            <w:pPr>
              <w:ind w:left="340"/>
              <w:spacing w:after="0"/>
              <w:rPr>
                <w:sz w:val="20"/>
                <w:szCs w:val="20"/>
                <w:color w:val="auto"/>
              </w:rPr>
            </w:pPr>
            <w:r>
              <w:rPr>
                <w:rFonts w:ascii="Arial" w:cs="Arial" w:eastAsia="Arial" w:hAnsi="Arial"/>
                <w:sz w:val="14"/>
                <w:szCs w:val="14"/>
                <w:color w:val="auto"/>
              </w:rPr>
              <w:t>Other long-term liabilities</w:t>
            </w: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(6,193)</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906</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r>
      <w:tr>
        <w:trPr>
          <w:trHeight w:val="20"/>
        </w:trPr>
        <w:tc>
          <w:tcPr>
            <w:tcW w:w="800" w:type="dxa"/>
            <w:vAlign w:val="bottom"/>
          </w:tcPr>
          <w:p>
            <w:pPr>
              <w:spacing w:after="0" w:line="20" w:lineRule="exact"/>
              <w:rPr>
                <w:sz w:val="1"/>
                <w:szCs w:val="1"/>
                <w:color w:val="auto"/>
              </w:rPr>
            </w:pPr>
          </w:p>
        </w:tc>
        <w:tc>
          <w:tcPr>
            <w:tcW w:w="554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5"/>
        </w:trPr>
        <w:tc>
          <w:tcPr>
            <w:tcW w:w="800" w:type="dxa"/>
            <w:vAlign w:val="bottom"/>
          </w:tcPr>
          <w:p>
            <w:pPr>
              <w:spacing w:after="0"/>
              <w:rPr>
                <w:sz w:val="13"/>
                <w:szCs w:val="13"/>
                <w:color w:val="auto"/>
              </w:rPr>
            </w:pPr>
          </w:p>
        </w:tc>
        <w:tc>
          <w:tcPr>
            <w:tcW w:w="5540" w:type="dxa"/>
            <w:vAlign w:val="bottom"/>
          </w:tcPr>
          <w:p>
            <w:pPr>
              <w:ind w:left="240"/>
              <w:spacing w:after="0" w:line="155" w:lineRule="exact"/>
              <w:rPr>
                <w:sz w:val="20"/>
                <w:szCs w:val="20"/>
                <w:color w:val="auto"/>
              </w:rPr>
            </w:pPr>
            <w:r>
              <w:rPr>
                <w:rFonts w:ascii="Arial" w:cs="Arial" w:eastAsia="Arial" w:hAnsi="Arial"/>
                <w:sz w:val="14"/>
                <w:szCs w:val="14"/>
                <w:color w:val="auto"/>
              </w:rPr>
              <w:t>Net cash used in operating activities</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(3,700)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(11,787)</w:t>
            </w:r>
          </w:p>
        </w:tc>
        <w:tc>
          <w:tcPr>
            <w:tcW w:w="800" w:type="dxa"/>
            <w:vAlign w:val="bottom"/>
          </w:tcPr>
          <w:p>
            <w:pPr>
              <w:spacing w:after="0"/>
              <w:rPr>
                <w:sz w:val="13"/>
                <w:szCs w:val="13"/>
                <w:color w:val="auto"/>
              </w:rPr>
            </w:pPr>
          </w:p>
        </w:tc>
      </w:tr>
      <w:tr>
        <w:trPr>
          <w:trHeight w:val="155"/>
        </w:trPr>
        <w:tc>
          <w:tcPr>
            <w:tcW w:w="800" w:type="dxa"/>
            <w:vAlign w:val="bottom"/>
          </w:tcPr>
          <w:p>
            <w:pPr>
              <w:spacing w:after="0"/>
              <w:rPr>
                <w:sz w:val="13"/>
                <w:szCs w:val="13"/>
                <w:color w:val="auto"/>
              </w:rPr>
            </w:pPr>
          </w:p>
        </w:tc>
        <w:tc>
          <w:tcPr>
            <w:tcW w:w="55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66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32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36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tcPr>
          <w:p>
            <w:pPr>
              <w:spacing w:after="0"/>
              <w:rPr>
                <w:sz w:val="13"/>
                <w:szCs w:val="13"/>
                <w:color w:val="auto"/>
              </w:rPr>
            </w:pPr>
          </w:p>
        </w:tc>
      </w:tr>
      <w:tr>
        <w:trPr>
          <w:trHeight w:val="162"/>
        </w:trPr>
        <w:tc>
          <w:tcPr>
            <w:tcW w:w="800" w:type="dxa"/>
            <w:vAlign w:val="bottom"/>
          </w:tcPr>
          <w:p>
            <w:pPr>
              <w:spacing w:after="0"/>
              <w:rPr>
                <w:sz w:val="14"/>
                <w:szCs w:val="14"/>
                <w:color w:val="auto"/>
              </w:rPr>
            </w:pPr>
          </w:p>
        </w:tc>
        <w:tc>
          <w:tcPr>
            <w:tcW w:w="5540" w:type="dxa"/>
            <w:vAlign w:val="bottom"/>
          </w:tcPr>
          <w:p>
            <w:pPr>
              <w:ind w:left="240"/>
              <w:spacing w:after="0"/>
              <w:rPr>
                <w:sz w:val="20"/>
                <w:szCs w:val="20"/>
                <w:color w:val="auto"/>
              </w:rPr>
            </w:pPr>
            <w:r>
              <w:rPr>
                <w:rFonts w:ascii="Arial" w:cs="Arial" w:eastAsia="Arial" w:hAnsi="Arial"/>
                <w:sz w:val="14"/>
                <w:szCs w:val="14"/>
                <w:color w:val="auto"/>
              </w:rPr>
              <w:t>Capital expenditures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(14,921)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4"/>
                <w:szCs w:val="14"/>
                <w:color w:val="auto"/>
              </w:rPr>
              <w:t>(13,473)</w:t>
            </w:r>
          </w:p>
        </w:tc>
        <w:tc>
          <w:tcPr>
            <w:tcW w:w="80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55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Payments for acquisitions, net of cash acquired</w:t>
            </w: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(333,511)</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(31,612)</w:t>
            </w:r>
          </w:p>
        </w:tc>
        <w:tc>
          <w:tcPr>
            <w:tcW w:w="80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5540" w:type="dxa"/>
            <w:vAlign w:val="bottom"/>
          </w:tcPr>
          <w:p>
            <w:pPr>
              <w:ind w:left="240"/>
              <w:spacing w:after="0"/>
              <w:rPr>
                <w:sz w:val="20"/>
                <w:szCs w:val="20"/>
                <w:color w:val="auto"/>
              </w:rPr>
            </w:pPr>
            <w:r>
              <w:rPr>
                <w:rFonts w:ascii="Arial" w:cs="Arial" w:eastAsia="Arial" w:hAnsi="Arial"/>
                <w:sz w:val="14"/>
                <w:szCs w:val="14"/>
                <w:color w:val="auto"/>
              </w:rPr>
              <w:t>Investments in unconsolidated joint ventures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(23,695)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4"/>
                <w:szCs w:val="14"/>
                <w:color w:val="auto"/>
              </w:rPr>
              <w:t>(16,585)</w:t>
            </w:r>
          </w:p>
        </w:tc>
        <w:tc>
          <w:tcPr>
            <w:tcW w:w="80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55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Return of investments in unconsolidated joint ventures</w:t>
            </w:r>
          </w:p>
        </w:tc>
        <w:tc>
          <w:tcPr>
            <w:tcW w:w="6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7,540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r>
      <w:tr>
        <w:trPr>
          <w:trHeight w:val="155"/>
        </w:trPr>
        <w:tc>
          <w:tcPr>
            <w:tcW w:w="800" w:type="dxa"/>
            <w:vAlign w:val="bottom"/>
          </w:tcPr>
          <w:p>
            <w:pPr>
              <w:spacing w:after="0"/>
              <w:rPr>
                <w:sz w:val="13"/>
                <w:szCs w:val="13"/>
                <w:color w:val="auto"/>
              </w:rPr>
            </w:pPr>
          </w:p>
        </w:tc>
        <w:tc>
          <w:tcPr>
            <w:tcW w:w="5540" w:type="dxa"/>
            <w:vAlign w:val="bottom"/>
          </w:tcPr>
          <w:p>
            <w:pPr>
              <w:ind w:left="240"/>
              <w:spacing w:after="0" w:line="155" w:lineRule="exact"/>
              <w:rPr>
                <w:sz w:val="20"/>
                <w:szCs w:val="20"/>
                <w:color w:val="auto"/>
              </w:rPr>
            </w:pPr>
            <w:r>
              <w:rPr>
                <w:rFonts w:ascii="Arial" w:cs="Arial" w:eastAsia="Arial" w:hAnsi="Arial"/>
                <w:sz w:val="14"/>
                <w:szCs w:val="14"/>
                <w:color w:val="auto"/>
              </w:rPr>
              <w:t>Net cash used in investing activities</w:t>
            </w:r>
          </w:p>
        </w:tc>
        <w:tc>
          <w:tcPr>
            <w:tcW w:w="6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(364,587)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(61,670)</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5"/>
        </w:trPr>
        <w:tc>
          <w:tcPr>
            <w:tcW w:w="800" w:type="dxa"/>
            <w:vAlign w:val="bottom"/>
          </w:tcPr>
          <w:p>
            <w:pPr>
              <w:spacing w:after="0"/>
              <w:rPr>
                <w:sz w:val="13"/>
                <w:szCs w:val="13"/>
                <w:color w:val="auto"/>
              </w:rPr>
            </w:pPr>
          </w:p>
        </w:tc>
        <w:tc>
          <w:tcPr>
            <w:tcW w:w="55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6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tcPr>
          <w:p>
            <w:pPr>
              <w:spacing w:after="0"/>
              <w:rPr>
                <w:sz w:val="13"/>
                <w:szCs w:val="13"/>
                <w:color w:val="auto"/>
              </w:rPr>
            </w:pPr>
          </w:p>
        </w:tc>
      </w:tr>
      <w:tr>
        <w:trPr>
          <w:trHeight w:val="162"/>
        </w:trPr>
        <w:tc>
          <w:tcPr>
            <w:tcW w:w="800" w:type="dxa"/>
            <w:vAlign w:val="bottom"/>
          </w:tcPr>
          <w:p>
            <w:pPr>
              <w:spacing w:after="0"/>
              <w:rPr>
                <w:sz w:val="14"/>
                <w:szCs w:val="14"/>
                <w:color w:val="auto"/>
              </w:rPr>
            </w:pPr>
          </w:p>
        </w:tc>
        <w:tc>
          <w:tcPr>
            <w:tcW w:w="5540" w:type="dxa"/>
            <w:vAlign w:val="bottom"/>
          </w:tcPr>
          <w:p>
            <w:pPr>
              <w:ind w:left="240"/>
              <w:spacing w:after="0"/>
              <w:rPr>
                <w:sz w:val="20"/>
                <w:szCs w:val="20"/>
                <w:color w:val="auto"/>
              </w:rPr>
            </w:pPr>
            <w:r>
              <w:rPr>
                <w:rFonts w:ascii="Arial" w:cs="Arial" w:eastAsia="Arial" w:hAnsi="Arial"/>
                <w:sz w:val="14"/>
                <w:szCs w:val="14"/>
                <w:color w:val="auto"/>
              </w:rPr>
              <w:t>Proceeds from borrowings under credit agreement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350,000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145,900</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55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Repayments of borrowings under credit agreement</w:t>
            </w: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(76,000)</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(145,900)</w:t>
            </w:r>
          </w:p>
        </w:tc>
        <w:tc>
          <w:tcPr>
            <w:tcW w:w="80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5540" w:type="dxa"/>
            <w:vAlign w:val="bottom"/>
          </w:tcPr>
          <w:p>
            <w:pPr>
              <w:ind w:left="240"/>
              <w:spacing w:after="0"/>
              <w:rPr>
                <w:sz w:val="20"/>
                <w:szCs w:val="20"/>
                <w:color w:val="auto"/>
              </w:rPr>
            </w:pPr>
            <w:r>
              <w:rPr>
                <w:rFonts w:ascii="Arial" w:cs="Arial" w:eastAsia="Arial" w:hAnsi="Arial"/>
                <w:sz w:val="14"/>
                <w:szCs w:val="14"/>
                <w:color w:val="auto"/>
              </w:rPr>
              <w:t>Repurchases of convertible notes due 2025</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4"/>
                <w:szCs w:val="14"/>
                <w:color w:val="auto"/>
              </w:rPr>
              <w:t>(28,480)</w:t>
            </w:r>
          </w:p>
        </w:tc>
        <w:tc>
          <w:tcPr>
            <w:tcW w:w="80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55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Contributions by noncontrolling interests</w:t>
            </w: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w:t>
            </w: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5540" w:type="dxa"/>
            <w:vAlign w:val="bottom"/>
          </w:tcPr>
          <w:p>
            <w:pPr>
              <w:ind w:left="240"/>
              <w:spacing w:after="0"/>
              <w:rPr>
                <w:sz w:val="20"/>
                <w:szCs w:val="20"/>
                <w:color w:val="auto"/>
              </w:rPr>
            </w:pPr>
            <w:r>
              <w:rPr>
                <w:rFonts w:ascii="Arial" w:cs="Arial" w:eastAsia="Arial" w:hAnsi="Arial"/>
                <w:sz w:val="14"/>
                <w:szCs w:val="14"/>
                <w:color w:val="auto"/>
              </w:rPr>
              <w:t>Distributions to noncontrolling interests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(33,628)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4"/>
                <w:szCs w:val="14"/>
                <w:color w:val="auto"/>
              </w:rPr>
              <w:t>(42,009)</w:t>
            </w:r>
          </w:p>
        </w:tc>
        <w:tc>
          <w:tcPr>
            <w:tcW w:w="80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55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Repurchases of common stock</w:t>
            </w: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(34,989)</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(24,995)</w:t>
            </w:r>
          </w:p>
        </w:tc>
        <w:tc>
          <w:tcPr>
            <w:tcW w:w="80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5540" w:type="dxa"/>
            <w:vAlign w:val="bottom"/>
          </w:tcPr>
          <w:p>
            <w:pPr>
              <w:ind w:left="240"/>
              <w:spacing w:after="0"/>
              <w:rPr>
                <w:sz w:val="20"/>
                <w:szCs w:val="20"/>
                <w:color w:val="auto"/>
              </w:rPr>
            </w:pPr>
            <w:r>
              <w:rPr>
                <w:rFonts w:ascii="Arial" w:cs="Arial" w:eastAsia="Arial" w:hAnsi="Arial"/>
                <w:sz w:val="14"/>
                <w:szCs w:val="14"/>
                <w:color w:val="auto"/>
              </w:rPr>
              <w:t>Taxes paid on vested 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(19,702)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4"/>
                <w:szCs w:val="14"/>
                <w:color w:val="auto"/>
              </w:rPr>
              <w:t>(15,640)</w:t>
            </w:r>
          </w:p>
        </w:tc>
        <w:tc>
          <w:tcPr>
            <w:tcW w:w="80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55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4"/>
                <w:szCs w:val="14"/>
                <w:color w:val="auto"/>
              </w:rPr>
              <w:t>Proceeds from issuance of common stock</w:t>
            </w:r>
          </w:p>
        </w:tc>
        <w:tc>
          <w:tcPr>
            <w:tcW w:w="6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572</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4"/>
                <w:szCs w:val="14"/>
                <w:color w:val="auto"/>
              </w:rPr>
            </w:pPr>
          </w:p>
        </w:tc>
        <w:tc>
          <w:tcPr>
            <w:tcW w:w="800" w:type="dxa"/>
            <w:vAlign w:val="bottom"/>
          </w:tcPr>
          <w:p>
            <w:pPr>
              <w:spacing w:after="0"/>
              <w:rPr>
                <w:sz w:val="14"/>
                <w:szCs w:val="14"/>
                <w:color w:val="auto"/>
              </w:rPr>
            </w:pPr>
          </w:p>
        </w:tc>
      </w:tr>
      <w:tr>
        <w:trPr>
          <w:trHeight w:val="155"/>
        </w:trPr>
        <w:tc>
          <w:tcPr>
            <w:tcW w:w="800" w:type="dxa"/>
            <w:vAlign w:val="bottom"/>
          </w:tcPr>
          <w:p>
            <w:pPr>
              <w:spacing w:after="0"/>
              <w:rPr>
                <w:sz w:val="13"/>
                <w:szCs w:val="13"/>
                <w:color w:val="auto"/>
              </w:rPr>
            </w:pPr>
          </w:p>
        </w:tc>
        <w:tc>
          <w:tcPr>
            <w:tcW w:w="5540" w:type="dxa"/>
            <w:vAlign w:val="bottom"/>
          </w:tcPr>
          <w:p>
            <w:pPr>
              <w:ind w:left="240"/>
              <w:spacing w:after="0" w:line="155" w:lineRule="exact"/>
              <w:rPr>
                <w:sz w:val="20"/>
                <w:szCs w:val="20"/>
                <w:color w:val="auto"/>
              </w:rPr>
            </w:pPr>
            <w:r>
              <w:rPr>
                <w:rFonts w:ascii="Arial" w:cs="Arial" w:eastAsia="Arial" w:hAnsi="Arial"/>
                <w:sz w:val="14"/>
                <w:szCs w:val="14"/>
                <w:color w:val="auto"/>
              </w:rPr>
              <w:t>Net cash (used in) provided by financing activities</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4"/>
                <w:szCs w:val="14"/>
                <w:color w:val="auto"/>
              </w:rPr>
              <w:t>186,487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(110,864)</w:t>
            </w:r>
          </w:p>
        </w:tc>
        <w:tc>
          <w:tcPr>
            <w:tcW w:w="800" w:type="dxa"/>
            <w:vAlign w:val="bottom"/>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5"/>
        </w:trPr>
        <w:tc>
          <w:tcPr>
            <w:tcW w:w="800" w:type="dxa"/>
            <w:vAlign w:val="bottom"/>
          </w:tcPr>
          <w:p>
            <w:pPr>
              <w:spacing w:after="0"/>
              <w:rPr>
                <w:sz w:val="13"/>
                <w:szCs w:val="13"/>
                <w:color w:val="auto"/>
              </w:rPr>
            </w:pPr>
          </w:p>
        </w:tc>
        <w:tc>
          <w:tcPr>
            <w:tcW w:w="5540" w:type="dxa"/>
            <w:vAlign w:val="bottom"/>
            <w:shd w:val="clear" w:color="auto" w:fill="CFF0FC"/>
          </w:tcPr>
          <w:p>
            <w:pPr>
              <w:ind w:left="240"/>
              <w:spacing w:after="0" w:line="155" w:lineRule="exact"/>
              <w:rPr>
                <w:sz w:val="20"/>
                <w:szCs w:val="20"/>
                <w:color w:val="auto"/>
              </w:rPr>
            </w:pPr>
            <w:r>
              <w:rPr>
                <w:rFonts w:ascii="Arial" w:cs="Arial" w:eastAsia="Arial" w:hAnsi="Arial"/>
                <w:sz w:val="14"/>
                <w:szCs w:val="14"/>
                <w:color w:val="auto"/>
              </w:rPr>
              <w:t>Effect of exchange rate changes</w:t>
            </w:r>
          </w:p>
        </w:tc>
        <w:tc>
          <w:tcPr>
            <w:tcW w:w="6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(667)</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518</w:t>
            </w:r>
          </w:p>
        </w:tc>
        <w:tc>
          <w:tcPr>
            <w:tcW w:w="80" w:type="dxa"/>
            <w:vAlign w:val="bottom"/>
            <w:shd w:val="clear" w:color="auto" w:fill="CFF0FC"/>
          </w:tcPr>
          <w:p>
            <w:pPr>
              <w:spacing w:after="0"/>
              <w:rPr>
                <w:sz w:val="13"/>
                <w:szCs w:val="13"/>
                <w:color w:val="auto"/>
              </w:rPr>
            </w:pPr>
          </w:p>
        </w:tc>
        <w:tc>
          <w:tcPr>
            <w:tcW w:w="800" w:type="dxa"/>
            <w:vAlign w:val="bottom"/>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554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5"/>
        </w:trPr>
        <w:tc>
          <w:tcPr>
            <w:tcW w:w="800" w:type="dxa"/>
            <w:vAlign w:val="bottom"/>
          </w:tcPr>
          <w:p>
            <w:pPr>
              <w:spacing w:after="0"/>
              <w:rPr>
                <w:sz w:val="13"/>
                <w:szCs w:val="13"/>
                <w:color w:val="auto"/>
              </w:rPr>
            </w:pPr>
          </w:p>
        </w:tc>
        <w:tc>
          <w:tcPr>
            <w:tcW w:w="5540" w:type="dxa"/>
            <w:vAlign w:val="bottom"/>
          </w:tcPr>
          <w:p>
            <w:pPr>
              <w:ind w:left="240"/>
              <w:spacing w:after="0" w:line="155" w:lineRule="exact"/>
              <w:rPr>
                <w:sz w:val="20"/>
                <w:szCs w:val="20"/>
                <w:color w:val="auto"/>
              </w:rPr>
            </w:pPr>
            <w:r>
              <w:rPr>
                <w:rFonts w:ascii="Arial" w:cs="Arial" w:eastAsia="Arial" w:hAnsi="Arial"/>
                <w:sz w:val="14"/>
                <w:szCs w:val="14"/>
                <w:color w:val="auto"/>
              </w:rPr>
              <w:t>Net increase (decrease) in cash, cash equivalents, and restricted cash</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(182,467)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(183,803)</w:t>
            </w:r>
          </w:p>
        </w:tc>
        <w:tc>
          <w:tcPr>
            <w:tcW w:w="800" w:type="dxa"/>
            <w:vAlign w:val="bottom"/>
          </w:tcPr>
          <w:p>
            <w:pPr>
              <w:spacing w:after="0"/>
              <w:rPr>
                <w:sz w:val="13"/>
                <w:szCs w:val="13"/>
                <w:color w:val="auto"/>
              </w:rPr>
            </w:pPr>
          </w:p>
        </w:tc>
      </w:tr>
      <w:tr>
        <w:trPr>
          <w:trHeight w:val="162"/>
        </w:trPr>
        <w:tc>
          <w:tcPr>
            <w:tcW w:w="800" w:type="dxa"/>
            <w:vAlign w:val="bottom"/>
          </w:tcPr>
          <w:p>
            <w:pPr>
              <w:spacing w:after="0"/>
              <w:rPr>
                <w:sz w:val="14"/>
                <w:szCs w:val="14"/>
                <w:color w:val="auto"/>
              </w:rPr>
            </w:pPr>
          </w:p>
        </w:tc>
        <w:tc>
          <w:tcPr>
            <w:tcW w:w="55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Cash, cash equivalents and restricted cash:</w:t>
            </w: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5540" w:type="dxa"/>
            <w:vAlign w:val="bottom"/>
          </w:tcPr>
          <w:p>
            <w:pPr>
              <w:ind w:left="240"/>
              <w:spacing w:after="0"/>
              <w:rPr>
                <w:sz w:val="20"/>
                <w:szCs w:val="20"/>
                <w:color w:val="auto"/>
              </w:rPr>
            </w:pPr>
            <w:r>
              <w:rPr>
                <w:rFonts w:ascii="Arial" w:cs="Arial" w:eastAsia="Arial" w:hAnsi="Arial"/>
                <w:sz w:val="14"/>
                <w:szCs w:val="14"/>
                <w:color w:val="auto"/>
              </w:rPr>
              <w:t>Beginning of year</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466,388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453,548</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5"/>
        </w:trPr>
        <w:tc>
          <w:tcPr>
            <w:tcW w:w="800" w:type="dxa"/>
            <w:vAlign w:val="bottom"/>
          </w:tcPr>
          <w:p>
            <w:pPr>
              <w:spacing w:after="0"/>
              <w:rPr>
                <w:sz w:val="15"/>
                <w:szCs w:val="15"/>
                <w:color w:val="auto"/>
              </w:rPr>
            </w:pPr>
          </w:p>
        </w:tc>
        <w:tc>
          <w:tcPr>
            <w:tcW w:w="5540" w:type="dxa"/>
            <w:vAlign w:val="bottom"/>
            <w:shd w:val="clear" w:color="auto" w:fill="CFF0FC"/>
          </w:tcPr>
          <w:p>
            <w:pPr>
              <w:ind w:left="240"/>
              <w:spacing w:after="0" w:line="155" w:lineRule="exact"/>
              <w:rPr>
                <w:sz w:val="20"/>
                <w:szCs w:val="20"/>
                <w:color w:val="auto"/>
              </w:rPr>
            </w:pPr>
            <w:r>
              <w:rPr>
                <w:rFonts w:ascii="Arial" w:cs="Arial" w:eastAsia="Arial" w:hAnsi="Arial"/>
                <w:sz w:val="14"/>
                <w:szCs w:val="14"/>
                <w:color w:val="auto"/>
              </w:rPr>
              <w:t>End of period</w:t>
            </w:r>
          </w:p>
        </w:tc>
        <w:tc>
          <w:tcPr>
            <w:tcW w:w="80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283,921</w:t>
            </w:r>
          </w:p>
        </w:tc>
        <w:tc>
          <w:tcPr>
            <w:tcW w:w="12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269,745</w:t>
            </w:r>
          </w:p>
        </w:tc>
        <w:tc>
          <w:tcPr>
            <w:tcW w:w="80" w:type="dxa"/>
            <w:vAlign w:val="bottom"/>
            <w:shd w:val="clear" w:color="auto" w:fill="CFF0FC"/>
          </w:tcPr>
          <w:p>
            <w:pPr>
              <w:spacing w:after="0"/>
              <w:rPr>
                <w:sz w:val="15"/>
                <w:szCs w:val="15"/>
                <w:color w:val="auto"/>
              </w:rPr>
            </w:pPr>
          </w:p>
        </w:tc>
        <w:tc>
          <w:tcPr>
            <w:tcW w:w="80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554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545"/>
        </w:trPr>
        <w:tc>
          <w:tcPr>
            <w:tcW w:w="6340" w:type="dxa"/>
            <w:vAlign w:val="bottom"/>
            <w:gridSpan w:val="2"/>
          </w:tcPr>
          <w:p>
            <w:pPr>
              <w:ind w:left="800"/>
              <w:spacing w:after="0"/>
              <w:rPr>
                <w:sz w:val="20"/>
                <w:szCs w:val="20"/>
                <w:color w:val="auto"/>
              </w:rPr>
            </w:pPr>
            <w:r>
              <w:rPr>
                <w:rFonts w:ascii="Arial" w:cs="Arial" w:eastAsia="Arial" w:hAnsi="Arial"/>
                <w:sz w:val="16"/>
                <w:szCs w:val="16"/>
                <w:color w:val="auto"/>
              </w:rPr>
              <w:t>parsons.com</w:t>
            </w:r>
          </w:p>
        </w:tc>
        <w:tc>
          <w:tcPr>
            <w:tcW w:w="4700" w:type="dxa"/>
            <w:vAlign w:val="bottom"/>
            <w:gridSpan w:val="9"/>
          </w:tcPr>
          <w:p>
            <w:pPr>
              <w:ind w:left="500"/>
              <w:spacing w:after="0"/>
              <w:rPr>
                <w:sz w:val="20"/>
                <w:szCs w:val="20"/>
                <w:color w:val="auto"/>
              </w:rPr>
            </w:pPr>
            <w:r>
              <w:rPr>
                <w:rFonts w:ascii="Arial" w:cs="Arial" w:eastAsia="Arial" w:hAnsi="Arial"/>
                <w:sz w:val="16"/>
                <w:szCs w:val="16"/>
                <w:color w:val="auto"/>
              </w:rPr>
              <w:t>©Parsons Corporation. All Rights Reserved.  9</w:t>
            </w:r>
          </w:p>
        </w:tc>
      </w:tr>
      <w:tr>
        <w:trPr>
          <w:trHeight w:val="873"/>
        </w:trPr>
        <w:tc>
          <w:tcPr>
            <w:tcW w:w="80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5376545</wp:posOffset>
            </wp:positionH>
            <wp:positionV relativeFrom="paragraph">
              <wp:posOffset>-3282315</wp:posOffset>
            </wp:positionV>
            <wp:extent cx="60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-3282315</wp:posOffset>
            </wp:positionV>
            <wp:extent cx="603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5363845</wp:posOffset>
            </wp:positionH>
            <wp:positionV relativeFrom="paragraph">
              <wp:posOffset>-2660650</wp:posOffset>
            </wp:positionV>
            <wp:extent cx="85725"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-2660650</wp:posOffset>
            </wp:positionV>
            <wp:extent cx="85725"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5376545</wp:posOffset>
            </wp:positionH>
            <wp:positionV relativeFrom="paragraph">
              <wp:posOffset>-1602105</wp:posOffset>
            </wp:positionV>
            <wp:extent cx="603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-1602105</wp:posOffset>
            </wp:positionV>
            <wp:extent cx="603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5376545</wp:posOffset>
            </wp:positionH>
            <wp:positionV relativeFrom="paragraph">
              <wp:posOffset>-1379220</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-1379220</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5376545</wp:posOffset>
            </wp:positionH>
            <wp:positionV relativeFrom="paragraph">
              <wp:posOffset>-950595</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5376545</wp:posOffset>
            </wp:positionH>
            <wp:positionV relativeFrom="paragraph">
              <wp:posOffset>-933450</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-950595</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-933450</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sectPr>
      </w:pPr>
    </w:p>
    <w:bookmarkStart w:id="12" w:name="page13"/>
    <w:bookmarkEnd w:id="12"/>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637540</wp:posOffset>
            </wp:positionV>
            <wp:extent cx="6000750" cy="2228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22885"/>
                    </a:xfrm>
                    <a:prstGeom prst="rect">
                      <a:avLst/>
                    </a:prstGeom>
                    <a:noFill/>
                  </pic:spPr>
                </pic:pic>
              </a:graphicData>
            </a:graphic>
          </wp:anchor>
        </w:drawing>
      </w:r>
    </w:p>
    <w:p>
      <w:pPr>
        <w:ind w:left="6"/>
        <w:spacing w:after="0"/>
        <w:rPr>
          <w:sz w:val="20"/>
          <w:szCs w:val="20"/>
          <w:color w:val="auto"/>
        </w:rPr>
      </w:pPr>
      <w:r>
        <w:rPr>
          <w:rFonts w:ascii="Arial" w:cs="Arial" w:eastAsia="Arial" w:hAnsi="Arial"/>
          <w:sz w:val="25"/>
          <w:szCs w:val="25"/>
          <w:b w:val="1"/>
          <w:bCs w:val="1"/>
          <w:color w:val="0052CC"/>
        </w:rPr>
        <w:t>Contract Awards</w:t>
      </w:r>
    </w:p>
    <w:p>
      <w:pPr>
        <w:spacing w:after="0" w:line="33"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(in thousands)</w:t>
      </w:r>
    </w:p>
    <w:p>
      <w:pPr>
        <w:spacing w:after="0" w:line="95"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00" w:type="dxa"/>
            <w:vAlign w:val="bottom"/>
            <w:gridSpan w:val="5"/>
          </w:tcPr>
          <w:p>
            <w:pPr>
              <w:ind w:left="720"/>
              <w:spacing w:after="0"/>
              <w:rPr>
                <w:sz w:val="20"/>
                <w:szCs w:val="20"/>
                <w:color w:val="auto"/>
              </w:rPr>
            </w:pPr>
            <w:r>
              <w:rPr>
                <w:rFonts w:ascii="Arial" w:cs="Arial" w:eastAsia="Arial" w:hAnsi="Arial"/>
                <w:sz w:val="14"/>
                <w:szCs w:val="14"/>
                <w:b w:val="1"/>
                <w:bCs w:val="1"/>
                <w:color w:val="auto"/>
              </w:rPr>
              <w:t>Three Months Ended</w:t>
            </w:r>
          </w:p>
        </w:tc>
      </w:tr>
      <w:tr>
        <w:trPr>
          <w:trHeight w:val="155"/>
        </w:trPr>
        <w:tc>
          <w:tcPr>
            <w:tcW w:w="39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rPr>
              <w:t>March 31, 2026</w:t>
            </w: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March 31, 2025</w:t>
            </w:r>
          </w:p>
        </w:tc>
        <w:tc>
          <w:tcPr>
            <w:tcW w:w="80" w:type="dxa"/>
            <w:vAlign w:val="bottom"/>
          </w:tcPr>
          <w:p>
            <w:pPr>
              <w:spacing w:after="0"/>
              <w:rPr>
                <w:sz w:val="13"/>
                <w:szCs w:val="13"/>
                <w:color w:val="auto"/>
              </w:rPr>
            </w:pPr>
          </w:p>
        </w:tc>
      </w:tr>
      <w:tr>
        <w:trPr>
          <w:trHeight w:val="196"/>
        </w:trPr>
        <w:tc>
          <w:tcPr>
            <w:tcW w:w="3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 Solutions</w:t>
            </w:r>
          </w:p>
        </w:tc>
        <w:tc>
          <w:tcPr>
            <w:tcW w:w="24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1,031,334</w:t>
            </w:r>
          </w:p>
        </w:tc>
        <w:tc>
          <w:tcPr>
            <w:tcW w:w="4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744,709</w:t>
            </w:r>
          </w:p>
        </w:tc>
        <w:tc>
          <w:tcPr>
            <w:tcW w:w="80" w:type="dxa"/>
            <w:vAlign w:val="bottom"/>
            <w:shd w:val="clear" w:color="auto" w:fill="CFF0FC"/>
          </w:tcPr>
          <w:p>
            <w:pPr>
              <w:spacing w:after="0"/>
              <w:rPr>
                <w:sz w:val="17"/>
                <w:szCs w:val="17"/>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Critical Infrastructure</w:t>
            </w:r>
          </w:p>
        </w:tc>
        <w:tc>
          <w:tcPr>
            <w:tcW w:w="2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1,027,075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1,021,797</w:t>
            </w:r>
          </w:p>
        </w:tc>
        <w:tc>
          <w:tcPr>
            <w:tcW w:w="80" w:type="dxa"/>
            <w:vAlign w:val="bottom"/>
          </w:tcPr>
          <w:p>
            <w:pPr>
              <w:spacing w:after="0"/>
              <w:rPr>
                <w:sz w:val="17"/>
                <w:szCs w:val="17"/>
                <w:color w:val="auto"/>
              </w:rPr>
            </w:pPr>
          </w:p>
        </w:tc>
      </w:tr>
      <w:tr>
        <w:trPr>
          <w:trHeight w:val="20"/>
        </w:trPr>
        <w:tc>
          <w:tcPr>
            <w:tcW w:w="3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3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Awards</w:t>
            </w:r>
          </w:p>
        </w:tc>
        <w:tc>
          <w:tcPr>
            <w:tcW w:w="24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2,058,409</w:t>
            </w:r>
          </w:p>
        </w:tc>
        <w:tc>
          <w:tcPr>
            <w:tcW w:w="4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1,766,506</w:t>
            </w:r>
          </w:p>
        </w:tc>
        <w:tc>
          <w:tcPr>
            <w:tcW w:w="80" w:type="dxa"/>
            <w:vAlign w:val="bottom"/>
            <w:shd w:val="clear" w:color="auto" w:fill="CFF0FC"/>
          </w:tcPr>
          <w:p>
            <w:pPr>
              <w:spacing w:after="0"/>
              <w:rPr>
                <w:sz w:val="18"/>
                <w:szCs w:val="18"/>
                <w:color w:val="auto"/>
              </w:rPr>
            </w:pPr>
          </w:p>
        </w:tc>
      </w:tr>
      <w:tr>
        <w:trPr>
          <w:trHeight w:val="20"/>
        </w:trPr>
        <w:tc>
          <w:tcPr>
            <w:tcW w:w="3920" w:type="dxa"/>
            <w:vAlign w:val="bottom"/>
            <w:tcBorders>
              <w:top w:val="single" w:sz="8" w:color="CFF0FC"/>
            </w:tcBorders>
            <w:shd w:val="clear" w:color="auto" w:fill="CFF0FC"/>
          </w:tcPr>
          <w:p>
            <w:pPr>
              <w:spacing w:after="0" w:line="20" w:lineRule="exact"/>
              <w:rPr>
                <w:sz w:val="1"/>
                <w:szCs w:val="1"/>
                <w:color w:val="auto"/>
              </w:rPr>
            </w:pPr>
          </w:p>
        </w:tc>
        <w:tc>
          <w:tcPr>
            <w:tcW w:w="2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4829810</wp:posOffset>
            </wp:positionH>
            <wp:positionV relativeFrom="paragraph">
              <wp:posOffset>-24765</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4829810</wp:posOffset>
            </wp:positionH>
            <wp:positionV relativeFrom="paragraph">
              <wp:posOffset>-7620</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-24765</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-7620</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53"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0052CC"/>
        </w:rPr>
        <w:t>Backlog</w:t>
      </w:r>
    </w:p>
    <w:p>
      <w:pPr>
        <w:spacing w:after="0" w:line="33"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(in thousands)</w:t>
      </w:r>
    </w:p>
    <w:p>
      <w:pPr>
        <w:spacing w:after="0" w:line="95"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 2026</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 Solutions:</w:t>
            </w:r>
          </w:p>
        </w:tc>
        <w:tc>
          <w:tcPr>
            <w:tcW w:w="18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240"/>
              <w:spacing w:after="0" w:line="202" w:lineRule="exact"/>
              <w:rPr>
                <w:sz w:val="20"/>
                <w:szCs w:val="20"/>
                <w:color w:val="auto"/>
              </w:rPr>
            </w:pPr>
            <w:r>
              <w:rPr>
                <w:rFonts w:ascii="Arial" w:cs="Arial" w:eastAsia="Arial" w:hAnsi="Arial"/>
                <w:sz w:val="18"/>
                <w:szCs w:val="18"/>
                <w:color w:val="auto"/>
              </w:rPr>
              <w:t>Funded</w:t>
            </w:r>
          </w:p>
        </w:tc>
        <w:tc>
          <w:tcPr>
            <w:tcW w:w="2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1,862,047</w:t>
            </w:r>
          </w:p>
        </w:tc>
        <w:tc>
          <w:tcPr>
            <w:tcW w:w="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1,770,655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FF0FC"/>
          </w:tcPr>
          <w:p>
            <w:pPr>
              <w:ind w:left="240"/>
              <w:spacing w:after="0" w:line="202" w:lineRule="exact"/>
              <w:rPr>
                <w:sz w:val="20"/>
                <w:szCs w:val="20"/>
                <w:color w:val="auto"/>
              </w:rPr>
            </w:pPr>
            <w:r>
              <w:rPr>
                <w:rFonts w:ascii="Arial" w:cs="Arial" w:eastAsia="Arial" w:hAnsi="Arial"/>
                <w:sz w:val="18"/>
                <w:szCs w:val="18"/>
                <w:color w:val="auto"/>
              </w:rPr>
              <w:t>Unfunded</w:t>
            </w:r>
          </w:p>
        </w:tc>
        <w:tc>
          <w:tcPr>
            <w:tcW w:w="1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2,616,068</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2,799,723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FF0FC"/>
          </w:tcPr>
          <w:p>
            <w:pPr>
              <w:spacing w:after="0" w:line="20" w:lineRule="exact"/>
              <w:rPr>
                <w:sz w:val="1"/>
                <w:szCs w:val="1"/>
                <w:color w:val="auto"/>
              </w:rPr>
            </w:pPr>
          </w:p>
        </w:tc>
        <w:tc>
          <w:tcPr>
            <w:tcW w:w="18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20" w:type="dxa"/>
            <w:vAlign w:val="bottom"/>
          </w:tcPr>
          <w:p>
            <w:pPr>
              <w:spacing w:after="0" w:line="196" w:lineRule="exact"/>
              <w:rPr>
                <w:sz w:val="20"/>
                <w:szCs w:val="20"/>
                <w:color w:val="auto"/>
              </w:rPr>
            </w:pPr>
            <w:r>
              <w:rPr>
                <w:rFonts w:ascii="Arial" w:cs="Arial" w:eastAsia="Arial" w:hAnsi="Arial"/>
                <w:sz w:val="18"/>
                <w:szCs w:val="18"/>
                <w:color w:val="auto"/>
              </w:rPr>
              <w:t>Total Federal Solutions</w:t>
            </w:r>
          </w:p>
        </w:tc>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4,478,115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4,570,378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Critical Infrastructure:</w:t>
            </w:r>
          </w:p>
        </w:tc>
        <w:tc>
          <w:tcPr>
            <w:tcW w:w="18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240"/>
              <w:spacing w:after="0" w:line="202" w:lineRule="exact"/>
              <w:rPr>
                <w:sz w:val="20"/>
                <w:szCs w:val="20"/>
                <w:color w:val="auto"/>
              </w:rPr>
            </w:pPr>
            <w:r>
              <w:rPr>
                <w:rFonts w:ascii="Arial" w:cs="Arial" w:eastAsia="Arial" w:hAnsi="Arial"/>
                <w:sz w:val="18"/>
                <w:szCs w:val="18"/>
                <w:color w:val="auto"/>
              </w:rPr>
              <w:t>Funded</w:t>
            </w:r>
          </w:p>
        </w:tc>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4,787,648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4,451,234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FF0FC"/>
          </w:tcPr>
          <w:p>
            <w:pPr>
              <w:ind w:left="240"/>
              <w:spacing w:after="0" w:line="202" w:lineRule="exact"/>
              <w:rPr>
                <w:sz w:val="20"/>
                <w:szCs w:val="20"/>
                <w:color w:val="auto"/>
              </w:rPr>
            </w:pPr>
            <w:r>
              <w:rPr>
                <w:rFonts w:ascii="Arial" w:cs="Arial" w:eastAsia="Arial" w:hAnsi="Arial"/>
                <w:sz w:val="18"/>
                <w:szCs w:val="18"/>
                <w:color w:val="auto"/>
              </w:rPr>
              <w:t>Unfunded</w:t>
            </w:r>
          </w:p>
        </w:tc>
        <w:tc>
          <w:tcPr>
            <w:tcW w:w="1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40,163</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49,614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FF0FC"/>
          </w:tcPr>
          <w:p>
            <w:pPr>
              <w:spacing w:after="0" w:line="20" w:lineRule="exact"/>
              <w:rPr>
                <w:sz w:val="1"/>
                <w:szCs w:val="1"/>
                <w:color w:val="auto"/>
              </w:rPr>
            </w:pPr>
          </w:p>
        </w:tc>
        <w:tc>
          <w:tcPr>
            <w:tcW w:w="18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20" w:type="dxa"/>
            <w:vAlign w:val="bottom"/>
          </w:tcPr>
          <w:p>
            <w:pPr>
              <w:spacing w:after="0" w:line="196" w:lineRule="exact"/>
              <w:rPr>
                <w:sz w:val="20"/>
                <w:szCs w:val="20"/>
                <w:color w:val="auto"/>
              </w:rPr>
            </w:pPr>
            <w:r>
              <w:rPr>
                <w:rFonts w:ascii="Arial" w:cs="Arial" w:eastAsia="Arial" w:hAnsi="Arial"/>
                <w:sz w:val="18"/>
                <w:szCs w:val="18"/>
                <w:color w:val="auto"/>
              </w:rPr>
              <w:t>Total Critical Infrastructure</w:t>
            </w:r>
          </w:p>
        </w:tc>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4,827,811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4,500,848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Backlog</w:t>
            </w:r>
          </w:p>
        </w:tc>
        <w:tc>
          <w:tcPr>
            <w:tcW w:w="20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9,305,926</w:t>
            </w:r>
          </w:p>
        </w:tc>
        <w:tc>
          <w:tcPr>
            <w:tcW w:w="3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9,071,226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FF0FC"/>
            </w:tcBorders>
            <w:shd w:val="clear" w:color="auto" w:fill="CFF0FC"/>
          </w:tcPr>
          <w:p>
            <w:pPr>
              <w:spacing w:after="0" w:line="20" w:lineRule="exact"/>
              <w:rPr>
                <w:sz w:val="1"/>
                <w:szCs w:val="1"/>
                <w:color w:val="auto"/>
              </w:rPr>
            </w:pPr>
          </w:p>
        </w:tc>
        <w:tc>
          <w:tcPr>
            <w:tcW w:w="18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4718050</wp:posOffset>
            </wp:positionH>
            <wp:positionV relativeFrom="paragraph">
              <wp:posOffset>-830580</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-830580</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4718050</wp:posOffset>
            </wp:positionH>
            <wp:positionV relativeFrom="paragraph">
              <wp:posOffset>-299085</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-299085</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4718050</wp:posOffset>
            </wp:positionH>
            <wp:positionV relativeFrom="paragraph">
              <wp:posOffset>-24765</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4718050</wp:posOffset>
            </wp:positionH>
            <wp:positionV relativeFrom="paragraph">
              <wp:posOffset>-7620</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-24765</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-7620</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53"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0052CC"/>
        </w:rPr>
        <w:t>Book-To-Bill Ratio</w:t>
      </w:r>
      <w:r>
        <w:rPr>
          <w:rFonts w:ascii="Arial" w:cs="Arial" w:eastAsia="Arial" w:hAnsi="Arial"/>
          <w:sz w:val="12"/>
          <w:szCs w:val="12"/>
          <w:b w:val="1"/>
          <w:bCs w:val="1"/>
          <w:color w:val="0052CC"/>
        </w:rPr>
        <w:t>1</w:t>
      </w:r>
      <w:r>
        <w:rPr>
          <w:rFonts w:ascii="Arial" w:cs="Arial" w:eastAsia="Arial" w:hAnsi="Arial"/>
          <w:sz w:val="25"/>
          <w:szCs w:val="25"/>
          <w:b w:val="1"/>
          <w:bCs w:val="1"/>
          <w:color w:val="0052CC"/>
        </w:rPr>
        <w:t>:</w:t>
      </w:r>
    </w:p>
    <w:p>
      <w:pPr>
        <w:spacing w:after="0" w:line="35"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3220" w:type="dxa"/>
            <w:vAlign w:val="bottom"/>
            <w:gridSpan w:val="4"/>
          </w:tcPr>
          <w:p>
            <w:pPr>
              <w:ind w:left="860"/>
              <w:spacing w:after="0"/>
              <w:rPr>
                <w:sz w:val="20"/>
                <w:szCs w:val="20"/>
                <w:color w:val="auto"/>
              </w:rPr>
            </w:pPr>
            <w:r>
              <w:rPr>
                <w:rFonts w:ascii="Arial" w:cs="Arial" w:eastAsia="Arial" w:hAnsi="Arial"/>
                <w:sz w:val="14"/>
                <w:szCs w:val="14"/>
                <w:b w:val="1"/>
                <w:bCs w:val="1"/>
                <w:color w:val="auto"/>
              </w:rPr>
              <w:t>Three Months Ended</w:t>
            </w:r>
          </w:p>
        </w:tc>
      </w:tr>
      <w:tr>
        <w:trPr>
          <w:trHeight w:val="155"/>
        </w:trPr>
        <w:tc>
          <w:tcPr>
            <w:tcW w:w="6220" w:type="dxa"/>
            <w:vAlign w:val="bottom"/>
          </w:tcPr>
          <w:p>
            <w:pPr>
              <w:spacing w:after="0"/>
              <w:rPr>
                <w:sz w:val="13"/>
                <w:szCs w:val="13"/>
                <w:color w:val="auto"/>
              </w:rPr>
            </w:pPr>
          </w:p>
        </w:tc>
        <w:tc>
          <w:tcPr>
            <w:tcW w:w="1400" w:type="dxa"/>
            <w:vAlign w:val="bottom"/>
            <w:tcBorders>
              <w:top w:val="single" w:sz="8" w:color="auto"/>
              <w:bottom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rPr>
              <w:t>March 31, 2026</w:t>
            </w:r>
          </w:p>
        </w:tc>
        <w:tc>
          <w:tcPr>
            <w:tcW w:w="200" w:type="dxa"/>
            <w:vAlign w:val="bottom"/>
            <w:tcBorders>
              <w:top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March 31, 2025</w:t>
            </w:r>
          </w:p>
        </w:tc>
        <w:tc>
          <w:tcPr>
            <w:tcW w:w="80" w:type="dxa"/>
            <w:vAlign w:val="bottom"/>
          </w:tcPr>
          <w:p>
            <w:pPr>
              <w:spacing w:after="0"/>
              <w:rPr>
                <w:sz w:val="13"/>
                <w:szCs w:val="13"/>
                <w:color w:val="auto"/>
              </w:rPr>
            </w:pPr>
          </w:p>
        </w:tc>
      </w:tr>
      <w:tr>
        <w:trPr>
          <w:trHeight w:val="196"/>
        </w:trPr>
        <w:tc>
          <w:tcPr>
            <w:tcW w:w="6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 Solutions</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w:t>
            </w:r>
          </w:p>
        </w:tc>
        <w:tc>
          <w:tcPr>
            <w:tcW w:w="17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0.9</w:t>
            </w:r>
          </w:p>
        </w:tc>
        <w:tc>
          <w:tcPr>
            <w:tcW w:w="80" w:type="dxa"/>
            <w:vAlign w:val="bottom"/>
            <w:shd w:val="clear" w:color="auto" w:fill="CFF0FC"/>
          </w:tcPr>
          <w:p>
            <w:pPr>
              <w:spacing w:after="0"/>
              <w:rPr>
                <w:sz w:val="17"/>
                <w:szCs w:val="17"/>
                <w:color w:val="auto"/>
              </w:rPr>
            </w:pP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color w:val="auto"/>
              </w:rPr>
              <w:t>Critical Infrastructure</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1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w:t>
            </w:r>
          </w:p>
        </w:tc>
        <w:tc>
          <w:tcPr>
            <w:tcW w:w="80" w:type="dxa"/>
            <w:vAlign w:val="bottom"/>
          </w:tcPr>
          <w:p>
            <w:pPr>
              <w:spacing w:after="0"/>
              <w:rPr>
                <w:sz w:val="17"/>
                <w:szCs w:val="17"/>
                <w:color w:val="auto"/>
              </w:rPr>
            </w:pPr>
          </w:p>
        </w:tc>
      </w:tr>
      <w:tr>
        <w:trPr>
          <w:trHeight w:val="203"/>
        </w:trPr>
        <w:tc>
          <w:tcPr>
            <w:tcW w:w="6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Overall</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c>
          <w:tcPr>
            <w:tcW w:w="17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7"/>
                <w:szCs w:val="17"/>
                <w:color w:val="auto"/>
              </w:rPr>
            </w:pPr>
          </w:p>
        </w:tc>
      </w:tr>
    </w:tbl>
    <w:p>
      <w:pPr>
        <w:spacing w:after="0" w:line="273"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0052CC"/>
        </w:rPr>
        <w:t>Non-GAAP Financial Information</w:t>
      </w:r>
    </w:p>
    <w:p>
      <w:pPr>
        <w:spacing w:after="0" w:line="33" w:lineRule="exact"/>
        <w:rPr>
          <w:sz w:val="20"/>
          <w:szCs w:val="20"/>
          <w:color w:val="auto"/>
        </w:rPr>
      </w:pPr>
    </w:p>
    <w:p>
      <w:pPr>
        <w:ind w:left="6"/>
        <w:spacing w:after="0" w:line="236" w:lineRule="auto"/>
        <w:rPr>
          <w:sz w:val="20"/>
          <w:szCs w:val="20"/>
          <w:color w:val="auto"/>
        </w:rPr>
      </w:pPr>
      <w:r>
        <w:rPr>
          <w:rFonts w:ascii="Arial" w:cs="Arial" w:eastAsia="Arial" w:hAnsi="Arial"/>
          <w:sz w:val="18"/>
          <w:szCs w:val="18"/>
          <w:color w:val="auto"/>
        </w:rPr>
        <w:t>The tables under "Parsons Corporation Inc. Reconciliation of Non-GAAP Measures" present Adjusted Net Income attributable to Parsons Corporation, Adjusted Earnings per Share, Earnings before Interest, Taxes, Depreciation, and Amortization (“EBITDA”), Adjusted EBITDA, EBITDA Margin, and Adjusted EBITDA Margin, reconciled to their most directly comparable GAAP measure. These financial measures are calculated and presented on the basis of methodologies other than in accordance with U.S. generally accepted accounting principles ("Non-GAAP Measures"). Parsons has provided these Non-GAAP Measures to adjust for, among other things, the impact of amortization expenses related to our acquisitions, costs associated with a loss or gain on the disposal or sale of property, plant and equipment, restructuring and related expenses, costs associated with mergers and acquisitions, software implementation costs, legal and settlement costs, and other costs considered non-operational in nature. These items have been Adjusted because they are not considered core to the company’s business or otherwise not considered operational or because these charges are non-cash or non-recurring. The company presents these Non-GAAP Measures because management believes that they are meaningful to understanding Parsons’s performance during the periods presented and the company’s ongoing business. Non-GAAP Measures are not prepared in accordance with GAAP and therefore are not necessarily comparable to similarly titled metrics or the financial results of other companies. These Non-GAAP Measures should be considered a supplement to, not a substitute for, or superior to, the corresponding financial measures calculated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18859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151" w:lineRule="exact"/>
        <w:rPr>
          <w:sz w:val="20"/>
          <w:szCs w:val="20"/>
          <w:color w:val="auto"/>
        </w:rPr>
      </w:pPr>
    </w:p>
    <w:p>
      <w:pPr>
        <w:ind w:left="106" w:hanging="106"/>
        <w:spacing w:after="0"/>
        <w:tabs>
          <w:tab w:leader="none" w:pos="106" w:val="left"/>
        </w:tabs>
        <w:numPr>
          <w:ilvl w:val="0"/>
          <w:numId w:val="7"/>
        </w:numPr>
        <w:rPr>
          <w:rFonts w:ascii="Arial" w:cs="Arial" w:eastAsia="Arial" w:hAnsi="Arial"/>
          <w:sz w:val="24"/>
          <w:szCs w:val="24"/>
          <w:color w:val="auto"/>
          <w:vertAlign w:val="superscript"/>
        </w:rPr>
      </w:pPr>
      <w:r>
        <w:rPr>
          <w:rFonts w:ascii="Arial" w:cs="Arial" w:eastAsia="Arial" w:hAnsi="Arial"/>
          <w:sz w:val="18"/>
          <w:szCs w:val="18"/>
          <w:color w:val="auto"/>
        </w:rPr>
        <w:t>Book-to-Bill ratio is calculated as total contract awards divided by total revenue for the period.</w:t>
      </w:r>
    </w:p>
    <w:p>
      <w:pPr>
        <w:spacing w:after="0" w:line="319" w:lineRule="exact"/>
        <w:rPr>
          <w:sz w:val="20"/>
          <w:szCs w:val="20"/>
          <w:color w:val="auto"/>
        </w:rPr>
      </w:pPr>
    </w:p>
    <w:p>
      <w:pPr>
        <w:ind w:left="6"/>
        <w:spacing w:after="0"/>
        <w:tabs>
          <w:tab w:leader="none" w:pos="5946" w:val="left"/>
          <w:tab w:leader="none" w:pos="9246" w:val="left"/>
        </w:tabs>
        <w:rPr>
          <w:sz w:val="20"/>
          <w:szCs w:val="20"/>
          <w:color w:val="auto"/>
        </w:rPr>
      </w:pPr>
      <w:r>
        <w:rPr>
          <w:rFonts w:ascii="Arial" w:cs="Arial" w:eastAsia="Arial" w:hAnsi="Arial"/>
          <w:sz w:val="16"/>
          <w:szCs w:val="16"/>
          <w:color w:val="auto"/>
        </w:rPr>
        <w:t>parsons.com</w:t>
      </w:r>
      <w:r>
        <w:rPr>
          <w:sz w:val="20"/>
          <w:szCs w:val="20"/>
          <w:color w:val="auto"/>
        </w:rPr>
        <w:tab/>
      </w:r>
      <w:r>
        <w:rPr>
          <w:rFonts w:ascii="Arial" w:cs="Arial" w:eastAsia="Arial" w:hAnsi="Arial"/>
          <w:sz w:val="16"/>
          <w:szCs w:val="16"/>
          <w:color w:val="auto"/>
        </w:rPr>
        <w:t>©Parsons Corporation. All Rights Reserved.</w:t>
        <w:tab/>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wp:posOffset>
            </wp:positionH>
            <wp:positionV relativeFrom="paragraph">
              <wp:posOffset>565150</wp:posOffset>
            </wp:positionV>
            <wp:extent cx="703770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446"/>
          </w:cols>
          <w:pgMar w:left="1214" w:top="1440" w:right="1239" w:bottom="1440" w:gutter="0" w:footer="0" w:header="0"/>
        </w:sectPr>
      </w:pPr>
    </w:p>
    <w:bookmarkStart w:id="13" w:name="page14"/>
    <w:bookmarkEnd w:id="13"/>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637540</wp:posOffset>
            </wp:positionV>
            <wp:extent cx="6000750" cy="2228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22885"/>
                    </a:xfrm>
                    <a:prstGeom prst="rect">
                      <a:avLst/>
                    </a:prstGeom>
                    <a:noFill/>
                  </pic:spPr>
                </pic:pic>
              </a:graphicData>
            </a:graphic>
          </wp:anchor>
        </w:drawing>
      </w:r>
    </w:p>
    <w:p>
      <w:pPr>
        <w:ind w:left="6"/>
        <w:spacing w:after="0"/>
        <w:rPr>
          <w:sz w:val="20"/>
          <w:szCs w:val="20"/>
          <w:color w:val="auto"/>
        </w:rPr>
      </w:pPr>
      <w:r>
        <w:rPr>
          <w:rFonts w:ascii="Arial" w:cs="Arial" w:eastAsia="Arial" w:hAnsi="Arial"/>
          <w:sz w:val="25"/>
          <w:szCs w:val="25"/>
          <w:b w:val="1"/>
          <w:bCs w:val="1"/>
          <w:color w:val="0052CC"/>
        </w:rPr>
        <w:t>PARSONS CORPORATION</w:t>
      </w:r>
    </w:p>
    <w:p>
      <w:pPr>
        <w:spacing w:after="0" w:line="36"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0052CC"/>
        </w:rPr>
        <w:t>Non-GAAP Financial Information</w:t>
      </w:r>
    </w:p>
    <w:p>
      <w:pPr>
        <w:spacing w:after="0" w:line="10"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0052CC"/>
        </w:rPr>
        <w:t>Reconciliation of Net Income to Adjusted EBITDA</w:t>
      </w:r>
    </w:p>
    <w:p>
      <w:pPr>
        <w:spacing w:after="0" w:line="7"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(in thousands)</w:t>
      </w:r>
    </w:p>
    <w:p>
      <w:pPr>
        <w:spacing w:after="0" w:line="190"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0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r>
      <w:tr>
        <w:trPr>
          <w:trHeight w:val="156"/>
        </w:trPr>
        <w:tc>
          <w:tcPr>
            <w:tcW w:w="5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rPr>
              <w:t>March 31, 2026</w:t>
            </w: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March 31, 2025</w:t>
            </w:r>
          </w:p>
        </w:tc>
        <w:tc>
          <w:tcPr>
            <w:tcW w:w="80" w:type="dxa"/>
            <w:vAlign w:val="bottom"/>
          </w:tcPr>
          <w:p>
            <w:pPr>
              <w:spacing w:after="0"/>
              <w:rPr>
                <w:sz w:val="13"/>
                <w:szCs w:val="13"/>
                <w:color w:val="auto"/>
              </w:rPr>
            </w:pPr>
          </w:p>
        </w:tc>
      </w:tr>
      <w:tr>
        <w:trPr>
          <w:trHeight w:val="196"/>
        </w:trPr>
        <w:tc>
          <w:tcPr>
            <w:tcW w:w="5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attributable to Parsons Corporation</w:t>
            </w:r>
          </w:p>
        </w:tc>
        <w:tc>
          <w:tcPr>
            <w:tcW w:w="11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52,926</w:t>
            </w:r>
          </w:p>
        </w:tc>
        <w:tc>
          <w:tcPr>
            <w:tcW w:w="4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66,203</w:t>
            </w:r>
          </w:p>
        </w:tc>
        <w:tc>
          <w:tcPr>
            <w:tcW w:w="80" w:type="dxa"/>
            <w:vAlign w:val="bottom"/>
            <w:shd w:val="clear" w:color="auto" w:fill="CFF0FC"/>
          </w:tcPr>
          <w:p>
            <w:pPr>
              <w:spacing w:after="0"/>
              <w:rPr>
                <w:sz w:val="17"/>
                <w:szCs w:val="17"/>
                <w:color w:val="auto"/>
              </w:rPr>
            </w:pPr>
          </w:p>
        </w:tc>
      </w:tr>
      <w:tr>
        <w:trPr>
          <w:trHeight w:val="203"/>
        </w:trPr>
        <w:tc>
          <w:tcPr>
            <w:tcW w:w="5200" w:type="dxa"/>
            <w:vAlign w:val="bottom"/>
          </w:tcPr>
          <w:p>
            <w:pPr>
              <w:ind w:left="260"/>
              <w:spacing w:after="0" w:line="202" w:lineRule="exact"/>
              <w:rPr>
                <w:sz w:val="20"/>
                <w:szCs w:val="20"/>
                <w:color w:val="auto"/>
              </w:rPr>
            </w:pPr>
            <w:r>
              <w:rPr>
                <w:rFonts w:ascii="Arial" w:cs="Arial" w:eastAsia="Arial" w:hAnsi="Arial"/>
                <w:sz w:val="18"/>
                <w:szCs w:val="18"/>
                <w:color w:val="auto"/>
              </w:rPr>
              <w:t>Interest expense, net</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14,187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10,104</w:t>
            </w:r>
          </w:p>
        </w:tc>
        <w:tc>
          <w:tcPr>
            <w:tcW w:w="80" w:type="dxa"/>
            <w:vAlign w:val="bottom"/>
          </w:tcPr>
          <w:p>
            <w:pPr>
              <w:spacing w:after="0"/>
              <w:rPr>
                <w:sz w:val="17"/>
                <w:szCs w:val="17"/>
                <w:color w:val="auto"/>
              </w:rPr>
            </w:pPr>
          </w:p>
        </w:tc>
      </w:tr>
      <w:tr>
        <w:trPr>
          <w:trHeight w:val="203"/>
        </w:trPr>
        <w:tc>
          <w:tcPr>
            <w:tcW w:w="520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Income tax expense</w:t>
            </w: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16,087</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18,977</w:t>
            </w:r>
          </w:p>
        </w:tc>
        <w:tc>
          <w:tcPr>
            <w:tcW w:w="80" w:type="dxa"/>
            <w:vAlign w:val="bottom"/>
            <w:shd w:val="clear" w:color="auto" w:fill="CFF0FC"/>
          </w:tcPr>
          <w:p>
            <w:pPr>
              <w:spacing w:after="0"/>
              <w:rPr>
                <w:sz w:val="17"/>
                <w:szCs w:val="17"/>
                <w:color w:val="auto"/>
              </w:rPr>
            </w:pPr>
          </w:p>
        </w:tc>
      </w:tr>
      <w:tr>
        <w:trPr>
          <w:trHeight w:val="203"/>
        </w:trPr>
        <w:tc>
          <w:tcPr>
            <w:tcW w:w="5200" w:type="dxa"/>
            <w:vAlign w:val="bottom"/>
          </w:tcPr>
          <w:p>
            <w:pPr>
              <w:ind w:left="260"/>
              <w:spacing w:after="0" w:line="202" w:lineRule="exact"/>
              <w:rPr>
                <w:sz w:val="20"/>
                <w:szCs w:val="20"/>
                <w:color w:val="auto"/>
              </w:rPr>
            </w:pPr>
            <w:r>
              <w:rPr>
                <w:rFonts w:ascii="Arial" w:cs="Arial" w:eastAsia="Arial" w:hAnsi="Arial"/>
                <w:sz w:val="18"/>
                <w:szCs w:val="18"/>
                <w:color w:val="auto"/>
              </w:rPr>
              <w:t>Depreciation and amortization (a)</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35,926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27,403</w:t>
            </w:r>
          </w:p>
        </w:tc>
        <w:tc>
          <w:tcPr>
            <w:tcW w:w="80" w:type="dxa"/>
            <w:vAlign w:val="bottom"/>
          </w:tcPr>
          <w:p>
            <w:pPr>
              <w:spacing w:after="0"/>
              <w:rPr>
                <w:sz w:val="17"/>
                <w:szCs w:val="17"/>
                <w:color w:val="auto"/>
              </w:rPr>
            </w:pPr>
          </w:p>
        </w:tc>
      </w:tr>
      <w:tr>
        <w:trPr>
          <w:trHeight w:val="203"/>
        </w:trPr>
        <w:tc>
          <w:tcPr>
            <w:tcW w:w="520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12,285</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15,584</w:t>
            </w:r>
          </w:p>
        </w:tc>
        <w:tc>
          <w:tcPr>
            <w:tcW w:w="80" w:type="dxa"/>
            <w:vAlign w:val="bottom"/>
            <w:shd w:val="clear" w:color="auto" w:fill="CFF0FC"/>
          </w:tcPr>
          <w:p>
            <w:pPr>
              <w:spacing w:after="0"/>
              <w:rPr>
                <w:sz w:val="17"/>
                <w:szCs w:val="17"/>
                <w:color w:val="auto"/>
              </w:rPr>
            </w:pPr>
          </w:p>
        </w:tc>
      </w:tr>
      <w:tr>
        <w:trPr>
          <w:trHeight w:val="203"/>
        </w:trPr>
        <w:tc>
          <w:tcPr>
            <w:tcW w:w="5200" w:type="dxa"/>
            <w:vAlign w:val="bottom"/>
          </w:tcPr>
          <w:p>
            <w:pPr>
              <w:ind w:left="260"/>
              <w:spacing w:after="0" w:line="202" w:lineRule="exact"/>
              <w:rPr>
                <w:sz w:val="20"/>
                <w:szCs w:val="20"/>
                <w:color w:val="auto"/>
              </w:rPr>
            </w:pPr>
            <w:r>
              <w:rPr>
                <w:rFonts w:ascii="Arial" w:cs="Arial" w:eastAsia="Arial" w:hAnsi="Arial"/>
                <w:sz w:val="18"/>
                <w:szCs w:val="18"/>
                <w:color w:val="auto"/>
              </w:rPr>
              <w:t>Equity-based compensation</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9,454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7,103</w:t>
            </w:r>
          </w:p>
        </w:tc>
        <w:tc>
          <w:tcPr>
            <w:tcW w:w="80" w:type="dxa"/>
            <w:vAlign w:val="bottom"/>
          </w:tcPr>
          <w:p>
            <w:pPr>
              <w:spacing w:after="0"/>
              <w:rPr>
                <w:sz w:val="17"/>
                <w:szCs w:val="17"/>
                <w:color w:val="auto"/>
              </w:rPr>
            </w:pPr>
          </w:p>
        </w:tc>
      </w:tr>
      <w:tr>
        <w:trPr>
          <w:trHeight w:val="203"/>
        </w:trPr>
        <w:tc>
          <w:tcPr>
            <w:tcW w:w="520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Transaction-related costs (b)</w:t>
            </w: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8,439</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3,701</w:t>
            </w:r>
          </w:p>
        </w:tc>
        <w:tc>
          <w:tcPr>
            <w:tcW w:w="80" w:type="dxa"/>
            <w:vAlign w:val="bottom"/>
            <w:shd w:val="clear" w:color="auto" w:fill="CFF0FC"/>
          </w:tcPr>
          <w:p>
            <w:pPr>
              <w:spacing w:after="0"/>
              <w:rPr>
                <w:sz w:val="17"/>
                <w:szCs w:val="17"/>
                <w:color w:val="auto"/>
              </w:rPr>
            </w:pPr>
          </w:p>
        </w:tc>
      </w:tr>
      <w:tr>
        <w:trPr>
          <w:trHeight w:val="203"/>
        </w:trPr>
        <w:tc>
          <w:tcPr>
            <w:tcW w:w="5200" w:type="dxa"/>
            <w:vAlign w:val="bottom"/>
          </w:tcPr>
          <w:p>
            <w:pPr>
              <w:ind w:left="260"/>
              <w:spacing w:after="0" w:line="202" w:lineRule="exact"/>
              <w:rPr>
                <w:sz w:val="20"/>
                <w:szCs w:val="20"/>
                <w:color w:val="auto"/>
              </w:rPr>
            </w:pPr>
            <w:r>
              <w:rPr>
                <w:rFonts w:ascii="Arial" w:cs="Arial" w:eastAsia="Arial" w:hAnsi="Arial"/>
                <w:sz w:val="18"/>
                <w:szCs w:val="18"/>
                <w:color w:val="auto"/>
              </w:rPr>
              <w:t>Other (c)</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1,625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(299)</w:t>
            </w:r>
          </w:p>
        </w:tc>
      </w:tr>
      <w:tr>
        <w:trPr>
          <w:trHeight w:val="20"/>
        </w:trPr>
        <w:tc>
          <w:tcPr>
            <w:tcW w:w="5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5200" w:type="dxa"/>
            <w:vAlign w:val="bottom"/>
            <w:shd w:val="clear" w:color="auto" w:fill="CFF0FC"/>
          </w:tcPr>
          <w:p>
            <w:pPr>
              <w:ind w:left="260"/>
              <w:spacing w:after="0" w:line="196" w:lineRule="exact"/>
              <w:rPr>
                <w:sz w:val="20"/>
                <w:szCs w:val="20"/>
                <w:color w:val="auto"/>
              </w:rPr>
            </w:pPr>
            <w:r>
              <w:rPr>
                <w:rFonts w:ascii="Arial" w:cs="Arial" w:eastAsia="Arial" w:hAnsi="Arial"/>
                <w:sz w:val="18"/>
                <w:szCs w:val="18"/>
                <w:color w:val="auto"/>
              </w:rPr>
              <w:t>Adjusted EBITDA</w:t>
            </w:r>
          </w:p>
        </w:tc>
        <w:tc>
          <w:tcPr>
            <w:tcW w:w="11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150,929</w:t>
            </w:r>
          </w:p>
        </w:tc>
        <w:tc>
          <w:tcPr>
            <w:tcW w:w="4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148,776</w:t>
            </w:r>
          </w:p>
        </w:tc>
        <w:tc>
          <w:tcPr>
            <w:tcW w:w="80" w:type="dxa"/>
            <w:vAlign w:val="bottom"/>
            <w:shd w:val="clear" w:color="auto" w:fill="CFF0FC"/>
          </w:tcPr>
          <w:p>
            <w:pPr>
              <w:spacing w:after="0"/>
              <w:rPr>
                <w:sz w:val="18"/>
                <w:szCs w:val="18"/>
                <w:color w:val="auto"/>
              </w:rPr>
            </w:pP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4829810</wp:posOffset>
            </wp:positionH>
            <wp:positionV relativeFrom="paragraph">
              <wp:posOffset>-24765</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4829810</wp:posOffset>
            </wp:positionH>
            <wp:positionV relativeFrom="paragraph">
              <wp:posOffset>-7620</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-24765</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-7620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9" w:lineRule="exact"/>
        <w:rPr>
          <w:sz w:val="20"/>
          <w:szCs w:val="20"/>
          <w:color w:val="auto"/>
        </w:rPr>
      </w:pPr>
    </w:p>
    <w:p>
      <w:pPr>
        <w:ind w:left="446" w:right="160" w:hanging="446"/>
        <w:spacing w:after="0" w:line="247" w:lineRule="auto"/>
        <w:tabs>
          <w:tab w:leader="none" w:pos="446"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Depreciation and amortization for the three months ended March 31, 2026, is $26.9 million in the Federal Solutions Segment and $9.0 million in the Critical Infrastructure Segment. Depreciation and amortization for the three months ended March 31, 2025, is $19.5 million in the Federal Solutions Segment and $7.9 million in the Critical Infrastructure Segment.</w:t>
      </w:r>
    </w:p>
    <w:p>
      <w:pPr>
        <w:spacing w:after="0" w:line="65" w:lineRule="exact"/>
        <w:rPr>
          <w:rFonts w:ascii="Arial" w:cs="Arial" w:eastAsia="Arial" w:hAnsi="Arial"/>
          <w:sz w:val="18"/>
          <w:szCs w:val="18"/>
          <w:color w:val="auto"/>
        </w:rPr>
      </w:pPr>
    </w:p>
    <w:p>
      <w:pPr>
        <w:ind w:left="446" w:right="220" w:hanging="446"/>
        <w:spacing w:after="0" w:line="271" w:lineRule="auto"/>
        <w:tabs>
          <w:tab w:leader="none" w:pos="446"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and other non-recurring transaction costs, primarily fees paid for professional services and employee retention.</w:t>
      </w:r>
    </w:p>
    <w:p>
      <w:pPr>
        <w:spacing w:after="0" w:line="45" w:lineRule="exact"/>
        <w:rPr>
          <w:rFonts w:ascii="Arial" w:cs="Arial" w:eastAsia="Arial" w:hAnsi="Arial"/>
          <w:sz w:val="18"/>
          <w:szCs w:val="18"/>
          <w:color w:val="auto"/>
        </w:rPr>
      </w:pPr>
    </w:p>
    <w:p>
      <w:pPr>
        <w:ind w:left="446" w:right="440" w:hanging="446"/>
        <w:spacing w:after="0" w:line="271" w:lineRule="auto"/>
        <w:tabs>
          <w:tab w:leader="none" w:pos="446"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77" w:lineRule="exact"/>
        <w:rPr>
          <w:sz w:val="20"/>
          <w:szCs w:val="20"/>
          <w:color w:val="auto"/>
        </w:rPr>
      </w:pPr>
    </w:p>
    <w:p>
      <w:pPr>
        <w:ind w:left="6"/>
        <w:spacing w:after="0"/>
        <w:tabs>
          <w:tab w:leader="none" w:pos="5946" w:val="left"/>
          <w:tab w:leader="none" w:pos="9246" w:val="left"/>
        </w:tabs>
        <w:rPr>
          <w:sz w:val="20"/>
          <w:szCs w:val="20"/>
          <w:color w:val="auto"/>
        </w:rPr>
      </w:pPr>
      <w:r>
        <w:rPr>
          <w:rFonts w:ascii="Arial" w:cs="Arial" w:eastAsia="Arial" w:hAnsi="Arial"/>
          <w:sz w:val="16"/>
          <w:szCs w:val="16"/>
          <w:color w:val="auto"/>
        </w:rPr>
        <w:t>parsons.com</w:t>
      </w:r>
      <w:r>
        <w:rPr>
          <w:sz w:val="20"/>
          <w:szCs w:val="20"/>
          <w:color w:val="auto"/>
        </w:rPr>
        <w:tab/>
      </w:r>
      <w:r>
        <w:rPr>
          <w:rFonts w:ascii="Arial" w:cs="Arial" w:eastAsia="Arial" w:hAnsi="Arial"/>
          <w:sz w:val="16"/>
          <w:szCs w:val="16"/>
          <w:color w:val="auto"/>
        </w:rPr>
        <w:t>©Parsons Corporation. All Rights Reserved.</w:t>
        <w:tab/>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wp:posOffset>
            </wp:positionH>
            <wp:positionV relativeFrom="paragraph">
              <wp:posOffset>565150</wp:posOffset>
            </wp:positionV>
            <wp:extent cx="703770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446"/>
          </w:cols>
          <w:pgMar w:left="1214" w:top="1440" w:right="1239" w:bottom="1440" w:gutter="0" w:footer="0" w:header="0"/>
        </w:sectPr>
      </w:pPr>
    </w:p>
    <w:bookmarkStart w:id="14" w:name="page15"/>
    <w:bookmarkEnd w:id="14"/>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637540</wp:posOffset>
            </wp:positionV>
            <wp:extent cx="6000750" cy="2228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22885"/>
                    </a:xfrm>
                    <a:prstGeom prst="rect">
                      <a:avLst/>
                    </a:prstGeom>
                    <a:noFill/>
                  </pic:spPr>
                </pic:pic>
              </a:graphicData>
            </a:graphic>
          </wp:anchor>
        </w:drawing>
      </w:r>
    </w:p>
    <w:p>
      <w:pPr>
        <w:ind w:left="800"/>
        <w:spacing w:after="0"/>
        <w:rPr>
          <w:sz w:val="20"/>
          <w:szCs w:val="20"/>
          <w:color w:val="auto"/>
        </w:rPr>
      </w:pPr>
      <w:r>
        <w:rPr>
          <w:rFonts w:ascii="Arial" w:cs="Arial" w:eastAsia="Arial" w:hAnsi="Arial"/>
          <w:sz w:val="25"/>
          <w:szCs w:val="25"/>
          <w:b w:val="1"/>
          <w:bCs w:val="1"/>
          <w:color w:val="0052CC"/>
        </w:rPr>
        <w:t>PARSONS CORPORATION</w:t>
      </w:r>
    </w:p>
    <w:p>
      <w:pPr>
        <w:spacing w:after="0" w:line="36" w:lineRule="exact"/>
        <w:rPr>
          <w:sz w:val="20"/>
          <w:szCs w:val="20"/>
          <w:color w:val="auto"/>
        </w:rPr>
      </w:pPr>
    </w:p>
    <w:p>
      <w:pPr>
        <w:ind w:left="800"/>
        <w:spacing w:after="0"/>
        <w:rPr>
          <w:sz w:val="20"/>
          <w:szCs w:val="20"/>
          <w:color w:val="auto"/>
        </w:rPr>
      </w:pPr>
      <w:r>
        <w:rPr>
          <w:rFonts w:ascii="Arial" w:cs="Arial" w:eastAsia="Arial" w:hAnsi="Arial"/>
          <w:sz w:val="25"/>
          <w:szCs w:val="25"/>
          <w:b w:val="1"/>
          <w:bCs w:val="1"/>
          <w:color w:val="0052CC"/>
        </w:rPr>
        <w:t>Non-GAAP Financial Information</w:t>
      </w:r>
    </w:p>
    <w:p>
      <w:pPr>
        <w:spacing w:after="0" w:line="10" w:lineRule="exact"/>
        <w:rPr>
          <w:sz w:val="20"/>
          <w:szCs w:val="20"/>
          <w:color w:val="auto"/>
        </w:rPr>
      </w:pPr>
    </w:p>
    <w:p>
      <w:pPr>
        <w:ind w:left="800"/>
        <w:spacing w:after="0"/>
        <w:rPr>
          <w:sz w:val="20"/>
          <w:szCs w:val="20"/>
          <w:color w:val="auto"/>
        </w:rPr>
      </w:pPr>
      <w:r>
        <w:rPr>
          <w:rFonts w:ascii="Arial" w:cs="Arial" w:eastAsia="Arial" w:hAnsi="Arial"/>
          <w:sz w:val="25"/>
          <w:szCs w:val="25"/>
          <w:b w:val="1"/>
          <w:bCs w:val="1"/>
          <w:color w:val="0052CC"/>
        </w:rPr>
        <w:t>Computation of Adjusted EBITDA Attributable to Noncontrolling Interests</w:t>
      </w:r>
    </w:p>
    <w:p>
      <w:pPr>
        <w:spacing w:after="0" w:line="7"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March 31, 2026</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March 31, 2025</w:t>
            </w: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5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 Solutions Adjusted EBITDA attributable to Parsons Corporation</w:t>
            </w:r>
          </w:p>
        </w:tc>
        <w:tc>
          <w:tcPr>
            <w:tcW w:w="42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71,553</w:t>
            </w:r>
          </w:p>
        </w:tc>
        <w:tc>
          <w:tcPr>
            <w:tcW w:w="3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75,532</w:t>
            </w:r>
          </w:p>
        </w:tc>
        <w:tc>
          <w:tcPr>
            <w:tcW w:w="80" w:type="dxa"/>
            <w:vAlign w:val="bottom"/>
            <w:shd w:val="clear" w:color="auto" w:fill="CFF0FC"/>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5960" w:type="dxa"/>
            <w:vAlign w:val="bottom"/>
          </w:tcPr>
          <w:p>
            <w:pPr>
              <w:spacing w:after="0" w:line="202" w:lineRule="exact"/>
              <w:rPr>
                <w:sz w:val="20"/>
                <w:szCs w:val="20"/>
                <w:color w:val="auto"/>
              </w:rPr>
            </w:pPr>
            <w:r>
              <w:rPr>
                <w:rFonts w:ascii="Arial" w:cs="Arial" w:eastAsia="Arial" w:hAnsi="Arial"/>
                <w:sz w:val="18"/>
                <w:szCs w:val="18"/>
                <w:color w:val="auto"/>
              </w:rPr>
              <w:t>Federal Solutions Adjusted EBITDA attributable to noncontrolling interests</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5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 Solutions Adjusted EBITDA including noncontrolling interests</w:t>
            </w:r>
          </w:p>
        </w:tc>
        <w:tc>
          <w:tcPr>
            <w:tcW w:w="42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71,570</w:t>
            </w:r>
          </w:p>
        </w:tc>
        <w:tc>
          <w:tcPr>
            <w:tcW w:w="3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75,583</w:t>
            </w:r>
          </w:p>
        </w:tc>
        <w:tc>
          <w:tcPr>
            <w:tcW w:w="80" w:type="dxa"/>
            <w:vAlign w:val="bottom"/>
            <w:shd w:val="clear" w:color="auto" w:fill="CFF0FC"/>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tcPr>
          <w:p>
            <w:pPr>
              <w:spacing w:after="0"/>
              <w:rPr>
                <w:sz w:val="17"/>
                <w:szCs w:val="17"/>
                <w:color w:val="auto"/>
              </w:rPr>
            </w:pPr>
          </w:p>
        </w:tc>
        <w:tc>
          <w:tcPr>
            <w:tcW w:w="596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vMerge w:val="continue"/>
          </w:tcPr>
          <w:p>
            <w:pPr>
              <w:spacing w:after="0"/>
              <w:rPr>
                <w:sz w:val="17"/>
                <w:szCs w:val="17"/>
                <w:color w:val="auto"/>
              </w:rPr>
            </w:pPr>
          </w:p>
        </w:tc>
        <w:tc>
          <w:tcPr>
            <w:tcW w:w="5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9"/>
              </w:rPr>
              <w:t>Critical Infrastructure Adjusted EBITDA attributable to Parsons Corporation</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66,901</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58,187</w:t>
            </w:r>
          </w:p>
        </w:tc>
        <w:tc>
          <w:tcPr>
            <w:tcW w:w="80" w:type="dxa"/>
            <w:vAlign w:val="bottom"/>
            <w:shd w:val="clear" w:color="auto" w:fill="CFF0FC"/>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00" w:type="dxa"/>
            <w:vAlign w:val="bottom"/>
          </w:tcPr>
          <w:p>
            <w:pPr>
              <w:spacing w:after="0"/>
              <w:rPr>
                <w:sz w:val="15"/>
                <w:szCs w:val="15"/>
                <w:color w:val="auto"/>
              </w:rPr>
            </w:pPr>
          </w:p>
        </w:tc>
        <w:tc>
          <w:tcPr>
            <w:tcW w:w="5960" w:type="dxa"/>
            <w:vAlign w:val="bottom"/>
          </w:tcPr>
          <w:p>
            <w:pPr>
              <w:spacing w:after="0" w:line="183" w:lineRule="exact"/>
              <w:rPr>
                <w:sz w:val="20"/>
                <w:szCs w:val="20"/>
                <w:color w:val="auto"/>
              </w:rPr>
            </w:pPr>
            <w:r>
              <w:rPr>
                <w:rFonts w:ascii="Arial" w:cs="Arial" w:eastAsia="Arial" w:hAnsi="Arial"/>
                <w:sz w:val="18"/>
                <w:szCs w:val="18"/>
                <w:color w:val="auto"/>
              </w:rPr>
              <w:t>Critical Infrastructure Adjusted EBITDA attributable to noncontrolling</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12,458</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15,006</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760" w:type="dxa"/>
            <w:vAlign w:val="bottom"/>
            <w:gridSpan w:val="2"/>
          </w:tcPr>
          <w:p>
            <w:pPr>
              <w:ind w:left="800"/>
              <w:spacing w:after="0"/>
              <w:rPr>
                <w:sz w:val="20"/>
                <w:szCs w:val="20"/>
                <w:color w:val="auto"/>
              </w:rPr>
            </w:pPr>
            <w:r>
              <w:rPr>
                <w:rFonts w:ascii="Arial" w:cs="Arial" w:eastAsia="Arial" w:hAnsi="Arial"/>
                <w:sz w:val="18"/>
                <w:szCs w:val="18"/>
                <w:color w:val="auto"/>
              </w:rPr>
              <w:t>interests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5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Critical Infrastructure Adjusted EBITDA including noncontrolling interests</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79,359</w:t>
            </w:r>
          </w:p>
        </w:tc>
        <w:tc>
          <w:tcPr>
            <w:tcW w:w="3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73,193</w:t>
            </w:r>
          </w:p>
        </w:tc>
        <w:tc>
          <w:tcPr>
            <w:tcW w:w="80" w:type="dxa"/>
            <w:vAlign w:val="bottom"/>
            <w:shd w:val="clear" w:color="auto" w:fill="CFF0FC"/>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596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96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Total Adjusted EBITDA including noncontrolling interests</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150,929</w:t>
            </w:r>
          </w:p>
        </w:tc>
        <w:tc>
          <w:tcPr>
            <w:tcW w:w="360" w:type="dxa"/>
            <w:vAlign w:val="bottom"/>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148,776</w:t>
            </w:r>
          </w:p>
        </w:tc>
        <w:tc>
          <w:tcPr>
            <w:tcW w:w="80" w:type="dxa"/>
            <w:vAlign w:val="bottom"/>
            <w:shd w:val="clear" w:color="auto" w:fill="CFF0FC"/>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9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6760" w:type="dxa"/>
            <w:vAlign w:val="bottom"/>
            <w:gridSpan w:val="2"/>
          </w:tcPr>
          <w:p>
            <w:pPr>
              <w:ind w:left="800"/>
              <w:spacing w:after="0"/>
              <w:rPr>
                <w:sz w:val="20"/>
                <w:szCs w:val="20"/>
                <w:color w:val="auto"/>
              </w:rPr>
            </w:pPr>
            <w:r>
              <w:rPr>
                <w:rFonts w:ascii="Arial" w:cs="Arial" w:eastAsia="Arial" w:hAnsi="Arial"/>
                <w:sz w:val="16"/>
                <w:szCs w:val="16"/>
                <w:color w:val="auto"/>
              </w:rPr>
              <w:t>parsons.com</w:t>
            </w:r>
          </w:p>
        </w:tc>
        <w:tc>
          <w:tcPr>
            <w:tcW w:w="4280" w:type="dxa"/>
            <w:vAlign w:val="bottom"/>
            <w:gridSpan w:val="8"/>
          </w:tcPr>
          <w:p>
            <w:pPr>
              <w:spacing w:after="0"/>
              <w:rPr>
                <w:sz w:val="20"/>
                <w:szCs w:val="20"/>
                <w:color w:val="auto"/>
              </w:rPr>
            </w:pPr>
            <w:r>
              <w:rPr>
                <w:rFonts w:ascii="Arial" w:cs="Arial" w:eastAsia="Arial" w:hAnsi="Arial"/>
                <w:sz w:val="16"/>
                <w:szCs w:val="16"/>
                <w:color w:val="auto"/>
              </w:rPr>
              <w:t>©Parsons Corporation. All Rights Reserved.  12</w:t>
            </w:r>
          </w:p>
        </w:tc>
        <w:tc>
          <w:tcPr>
            <w:tcW w:w="0" w:type="dxa"/>
            <w:vAlign w:val="bottom"/>
          </w:tcPr>
          <w:p>
            <w:pPr>
              <w:spacing w:after="0"/>
              <w:rPr>
                <w:sz w:val="1"/>
                <w:szCs w:val="1"/>
                <w:color w:val="auto"/>
              </w:rPr>
            </w:pPr>
          </w:p>
        </w:tc>
      </w:tr>
      <w:tr>
        <w:trPr>
          <w:trHeight w:val="873"/>
        </w:trPr>
        <w:tc>
          <w:tcPr>
            <w:tcW w:w="800" w:type="dxa"/>
            <w:vAlign w:val="bottom"/>
            <w:tcBorders>
              <w:bottom w:val="single" w:sz="8" w:color="9A9A9A"/>
            </w:tcBorders>
          </w:tcPr>
          <w:p>
            <w:pPr>
              <w:spacing w:after="0"/>
              <w:rPr>
                <w:sz w:val="24"/>
                <w:szCs w:val="24"/>
                <w:color w:val="auto"/>
              </w:rPr>
            </w:pPr>
          </w:p>
        </w:tc>
        <w:tc>
          <w:tcPr>
            <w:tcW w:w="5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5453380</wp:posOffset>
            </wp:positionH>
            <wp:positionV relativeFrom="paragraph">
              <wp:posOffset>-1877060</wp:posOffset>
            </wp:positionV>
            <wp:extent cx="60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-1877060</wp:posOffset>
            </wp:positionV>
            <wp:extent cx="603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5453380</wp:posOffset>
            </wp:positionH>
            <wp:positionV relativeFrom="paragraph">
              <wp:posOffset>-1225550</wp:posOffset>
            </wp:positionV>
            <wp:extent cx="603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-1225550</wp:posOffset>
            </wp:positionV>
            <wp:extent cx="603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5453380</wp:posOffset>
            </wp:positionH>
            <wp:positionV relativeFrom="paragraph">
              <wp:posOffset>-950595</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5453380</wp:posOffset>
            </wp:positionH>
            <wp:positionV relativeFrom="paragraph">
              <wp:posOffset>-934085</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-950595</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-934085</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sectPr>
      </w:pPr>
    </w:p>
    <w:bookmarkStart w:id="15" w:name="page16"/>
    <w:bookmarkEnd w:id="15"/>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637540</wp:posOffset>
            </wp:positionV>
            <wp:extent cx="6000750" cy="2228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22885"/>
                    </a:xfrm>
                    <a:prstGeom prst="rect">
                      <a:avLst/>
                    </a:prstGeom>
                    <a:noFill/>
                  </pic:spPr>
                </pic:pic>
              </a:graphicData>
            </a:graphic>
          </wp:anchor>
        </w:drawing>
      </w:r>
    </w:p>
    <w:p>
      <w:pPr>
        <w:ind w:left="6"/>
        <w:spacing w:after="0"/>
        <w:rPr>
          <w:sz w:val="20"/>
          <w:szCs w:val="20"/>
          <w:color w:val="auto"/>
        </w:rPr>
      </w:pPr>
      <w:r>
        <w:rPr>
          <w:rFonts w:ascii="Arial" w:cs="Arial" w:eastAsia="Arial" w:hAnsi="Arial"/>
          <w:sz w:val="25"/>
          <w:szCs w:val="25"/>
          <w:b w:val="1"/>
          <w:bCs w:val="1"/>
          <w:color w:val="0052CC"/>
        </w:rPr>
        <w:t>PARSONS CORPORATION</w:t>
      </w:r>
    </w:p>
    <w:p>
      <w:pPr>
        <w:spacing w:after="0" w:line="36"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0052CC"/>
        </w:rPr>
        <w:t>Non-GAAP Financial Information</w:t>
      </w:r>
    </w:p>
    <w:p>
      <w:pPr>
        <w:spacing w:after="0" w:line="10" w:lineRule="exact"/>
        <w:rPr>
          <w:sz w:val="20"/>
          <w:szCs w:val="20"/>
          <w:color w:val="auto"/>
        </w:rPr>
      </w:pPr>
    </w:p>
    <w:p>
      <w:pPr>
        <w:ind w:left="6" w:right="160"/>
        <w:spacing w:after="0" w:line="246" w:lineRule="auto"/>
        <w:rPr>
          <w:sz w:val="20"/>
          <w:szCs w:val="20"/>
          <w:color w:val="auto"/>
        </w:rPr>
      </w:pPr>
      <w:r>
        <w:rPr>
          <w:rFonts w:ascii="Arial" w:cs="Arial" w:eastAsia="Arial" w:hAnsi="Arial"/>
          <w:sz w:val="25"/>
          <w:szCs w:val="25"/>
          <w:b w:val="1"/>
          <w:bCs w:val="1"/>
          <w:color w:val="0052CC"/>
        </w:rPr>
        <w:t>Reconciliation of Net Income Attributable to Parsons Corporation to Adjusted Net Income Attributable to Parsons Corporation</w:t>
      </w:r>
    </w:p>
    <w:p>
      <w:pPr>
        <w:spacing w:after="0" w:line="2"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(in thousands, except per share information)</w:t>
      </w:r>
    </w:p>
    <w:p>
      <w:pPr>
        <w:spacing w:after="0" w:line="257"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0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rPr>
              <w:t>March 31, 2026</w:t>
            </w: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March 31, 2025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attributable to Parsons Corporation</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52,926</w:t>
            </w:r>
          </w:p>
        </w:tc>
        <w:tc>
          <w:tcPr>
            <w:tcW w:w="16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66,203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spacing w:after="0" w:line="202" w:lineRule="exact"/>
              <w:rPr>
                <w:sz w:val="20"/>
                <w:szCs w:val="20"/>
                <w:color w:val="auto"/>
              </w:rPr>
            </w:pPr>
            <w:r>
              <w:rPr>
                <w:rFonts w:ascii="Arial" w:cs="Arial" w:eastAsia="Arial" w:hAnsi="Arial"/>
                <w:sz w:val="18"/>
                <w:szCs w:val="18"/>
                <w:color w:val="auto"/>
              </w:rPr>
              <w:t>Acquisition related intangible asset amortization</w:t>
            </w: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23,797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16,381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Equity-based compensation</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9,454</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7,103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spacing w:after="0" w:line="202" w:lineRule="exact"/>
              <w:rPr>
                <w:sz w:val="20"/>
                <w:szCs w:val="20"/>
                <w:color w:val="auto"/>
              </w:rPr>
            </w:pPr>
            <w:r>
              <w:rPr>
                <w:rFonts w:ascii="Arial" w:cs="Arial" w:eastAsia="Arial" w:hAnsi="Arial"/>
                <w:sz w:val="18"/>
                <w:szCs w:val="18"/>
                <w:color w:val="auto"/>
              </w:rPr>
              <w:t>Transaction-related costs (a)</w:t>
            </w: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8,439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3,701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(b)</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1,625</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spacing w:after="0" w:line="202" w:lineRule="exact"/>
              <w:rPr>
                <w:sz w:val="20"/>
                <w:szCs w:val="20"/>
                <w:color w:val="auto"/>
              </w:rPr>
            </w:pPr>
            <w:r>
              <w:rPr>
                <w:rFonts w:ascii="Arial" w:cs="Arial" w:eastAsia="Arial" w:hAnsi="Arial"/>
                <w:sz w:val="18"/>
                <w:szCs w:val="18"/>
                <w:color w:val="auto"/>
              </w:rPr>
              <w:t>Tax effect on adjustments</w:t>
            </w: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(10,609)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(8,541)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1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Adjusted net income attributable to Parsons Corporation</w:t>
            </w: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85,632</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84,548</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Adjusted earnings per share:</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Weighted-average number of basic shares outstanding</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107,182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106,831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80" w:type="dxa"/>
            <w:vAlign w:val="bottom"/>
          </w:tcPr>
          <w:p>
            <w:pPr>
              <w:ind w:left="240"/>
              <w:spacing w:after="0"/>
              <w:rPr>
                <w:sz w:val="20"/>
                <w:szCs w:val="20"/>
                <w:color w:val="auto"/>
              </w:rPr>
            </w:pPr>
            <w:r>
              <w:rPr>
                <w:rFonts w:ascii="Arial" w:cs="Arial" w:eastAsia="Arial" w:hAnsi="Arial"/>
                <w:sz w:val="18"/>
                <w:szCs w:val="18"/>
                <w:color w:val="auto"/>
              </w:rPr>
              <w:t>Weighted-average number of diluted shares outstanding (c)</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108,364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108,468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Adjusted net income attributable to Parsons Corporation per basic share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0.80</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180" w:type="dxa"/>
            <w:vAlign w:val="bottom"/>
          </w:tcPr>
          <w:p>
            <w:pPr>
              <w:ind w:left="240"/>
              <w:spacing w:after="0" w:line="183" w:lineRule="exact"/>
              <w:rPr>
                <w:sz w:val="20"/>
                <w:szCs w:val="20"/>
                <w:color w:val="auto"/>
              </w:rPr>
            </w:pPr>
            <w:r>
              <w:rPr>
                <w:rFonts w:ascii="Arial" w:cs="Arial" w:eastAsia="Arial" w:hAnsi="Arial"/>
                <w:sz w:val="18"/>
                <w:szCs w:val="18"/>
                <w:color w:val="auto"/>
              </w:rPr>
              <w:t>Adjusted net income attributable to Parsons Corporation per diluted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0.79</w:t>
            </w:r>
          </w:p>
        </w:tc>
        <w:tc>
          <w:tcPr>
            <w:tcW w:w="160" w:type="dxa"/>
            <w:vAlign w:val="bottom"/>
          </w:tcPr>
          <w:p>
            <w:pPr>
              <w:spacing w:after="0"/>
              <w:rPr>
                <w:sz w:val="15"/>
                <w:szCs w:val="15"/>
                <w:color w:val="auto"/>
              </w:rPr>
            </w:pPr>
          </w:p>
        </w:tc>
        <w:tc>
          <w:tcPr>
            <w:tcW w:w="80" w:type="dxa"/>
            <w:vAlign w:val="bottom"/>
            <w:vMerge w:val="restart"/>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0.78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80" w:type="dxa"/>
            <w:vAlign w:val="bottom"/>
          </w:tcPr>
          <w:p>
            <w:pPr>
              <w:ind w:left="240"/>
              <w:spacing w:after="0"/>
              <w:rPr>
                <w:sz w:val="20"/>
                <w:szCs w:val="20"/>
                <w:color w:val="auto"/>
              </w:rPr>
            </w:pPr>
            <w:r>
              <w:rPr>
                <w:rFonts w:ascii="Arial" w:cs="Arial" w:eastAsia="Arial" w:hAnsi="Arial"/>
                <w:sz w:val="18"/>
                <w:szCs w:val="18"/>
                <w:color w:val="auto"/>
              </w:rPr>
              <w:t>share</w:t>
            </w:r>
          </w:p>
        </w:tc>
        <w:tc>
          <w:tcPr>
            <w:tcW w:w="14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4829810</wp:posOffset>
            </wp:positionH>
            <wp:positionV relativeFrom="paragraph">
              <wp:posOffset>-864870</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4829810</wp:posOffset>
            </wp:positionH>
            <wp:positionV relativeFrom="paragraph">
              <wp:posOffset>-847725</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-864870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-847725</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72" w:lineRule="exact"/>
        <w:rPr>
          <w:sz w:val="20"/>
          <w:szCs w:val="20"/>
          <w:color w:val="auto"/>
        </w:rPr>
      </w:pPr>
    </w:p>
    <w:p>
      <w:pPr>
        <w:ind w:left="446" w:right="220" w:hanging="446"/>
        <w:spacing w:after="0" w:line="271" w:lineRule="auto"/>
        <w:tabs>
          <w:tab w:leader="none" w:pos="446"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and other non-recurring transaction costs, primarily fees paid for professional services and employee retention.</w:t>
      </w:r>
    </w:p>
    <w:p>
      <w:pPr>
        <w:spacing w:after="0" w:line="45" w:lineRule="exact"/>
        <w:rPr>
          <w:rFonts w:ascii="Arial" w:cs="Arial" w:eastAsia="Arial" w:hAnsi="Arial"/>
          <w:sz w:val="18"/>
          <w:szCs w:val="18"/>
          <w:color w:val="auto"/>
        </w:rPr>
      </w:pPr>
    </w:p>
    <w:p>
      <w:pPr>
        <w:ind w:left="446" w:right="440" w:hanging="446"/>
        <w:spacing w:after="0" w:line="271" w:lineRule="auto"/>
        <w:tabs>
          <w:tab w:leader="none" w:pos="446"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45" w:lineRule="exact"/>
        <w:rPr>
          <w:rFonts w:ascii="Arial" w:cs="Arial" w:eastAsia="Arial" w:hAnsi="Arial"/>
          <w:sz w:val="18"/>
          <w:szCs w:val="18"/>
          <w:color w:val="auto"/>
        </w:rPr>
      </w:pPr>
    </w:p>
    <w:p>
      <w:pPr>
        <w:ind w:left="446" w:hanging="446"/>
        <w:spacing w:after="0"/>
        <w:tabs>
          <w:tab w:leader="none" w:pos="446"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dilutive effect of convertible senior notes due 2025 due to bond hedge.</w:t>
      </w:r>
    </w:p>
    <w:p>
      <w:pPr>
        <w:spacing w:after="0" w:line="351" w:lineRule="exact"/>
        <w:rPr>
          <w:sz w:val="20"/>
          <w:szCs w:val="20"/>
          <w:color w:val="auto"/>
        </w:rPr>
      </w:pPr>
    </w:p>
    <w:p>
      <w:pPr>
        <w:ind w:left="6"/>
        <w:spacing w:after="0"/>
        <w:tabs>
          <w:tab w:leader="none" w:pos="5946" w:val="left"/>
          <w:tab w:leader="none" w:pos="9246" w:val="left"/>
        </w:tabs>
        <w:rPr>
          <w:sz w:val="20"/>
          <w:szCs w:val="20"/>
          <w:color w:val="auto"/>
        </w:rPr>
      </w:pPr>
      <w:r>
        <w:rPr>
          <w:rFonts w:ascii="Arial" w:cs="Arial" w:eastAsia="Arial" w:hAnsi="Arial"/>
          <w:sz w:val="16"/>
          <w:szCs w:val="16"/>
          <w:color w:val="auto"/>
        </w:rPr>
        <w:t>parsons.com</w:t>
      </w:r>
      <w:r>
        <w:rPr>
          <w:sz w:val="20"/>
          <w:szCs w:val="20"/>
          <w:color w:val="auto"/>
        </w:rPr>
        <w:tab/>
      </w:r>
      <w:r>
        <w:rPr>
          <w:rFonts w:ascii="Arial" w:cs="Arial" w:eastAsia="Arial" w:hAnsi="Arial"/>
          <w:sz w:val="16"/>
          <w:szCs w:val="16"/>
          <w:color w:val="auto"/>
        </w:rPr>
        <w:t>©Parsons Corporation. All Rights Reserved.</w:t>
        <w:tab/>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wp:posOffset>
            </wp:positionH>
            <wp:positionV relativeFrom="paragraph">
              <wp:posOffset>565150</wp:posOffset>
            </wp:positionV>
            <wp:extent cx="703770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446"/>
          </w:cols>
          <w:pgMar w:left="1214" w:top="1440" w:right="1239" w:bottom="1440"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bullet"/>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2026-04-29T05:55:49Z</dcterms:created>
  <dcterms:modified xsi:type="dcterms:W3CDTF">2026-04-29T05:55:49Z</dcterms:modified>
</cp:coreProperties>
</file>