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Parsons Corporation</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00" w:type="dxa"/>
        <w:tblCellMar>
          <w:top w:w="0" w:type="dxa"/>
          <w:left w:w="0" w:type="dxa"/>
          <w:bottom w:w="0" w:type="dxa"/>
          <w:right w:w="0" w:type="dxa"/>
        </w:tblCellMar>
      </w:tblPr>
      <w:tr>
        <w:trPr>
          <w:trHeight w:val="222"/>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001-07782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95-3232481</w:t>
            </w:r>
          </w:p>
        </w:tc>
      </w:tr>
      <w:tr>
        <w:trPr>
          <w:trHeight w:val="149"/>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9"/>
              </w:rPr>
              <w:t>14291 Park Meadow Drive, Suite 100</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9"/>
              </w:rPr>
              <w:t>Chantilly, Virginia</w:t>
            </w:r>
          </w:p>
        </w:tc>
        <w:tc>
          <w:tcPr>
            <w:tcW w:w="31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20151</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(703) 988-8500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79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320" w:type="dxa"/>
            <w:vAlign w:val="bottom"/>
            <w:tcBorders>
              <w:bottom w:val="single" w:sz="8" w:color="auto"/>
            </w:tcBorders>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32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Common Stock, $1 par value</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PSN</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the Annual Meeting of stockholders on 14 April 2026, the stockholders of Parsons Corporation (the “Company”) voted on the following three proposals, each of which is described in detail in the Proxy Statement filed with the Securities and Exchange Commission on 2 March 2026:</w:t>
      </w:r>
    </w:p>
    <w:p>
      <w:pPr>
        <w:spacing w:after="0" w:line="162"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auto"/>
        </w:rPr>
        <w:t>Proposal No. 1:</w:t>
      </w:r>
      <w:r>
        <w:rPr>
          <w:sz w:val="20"/>
          <w:szCs w:val="20"/>
          <w:color w:val="auto"/>
        </w:rPr>
        <w:tab/>
      </w:r>
      <w:r>
        <w:rPr>
          <w:rFonts w:ascii="Times New Roman" w:cs="Times New Roman" w:eastAsia="Times New Roman" w:hAnsi="Times New Roman"/>
          <w:sz w:val="17"/>
          <w:szCs w:val="17"/>
          <w:color w:val="auto"/>
        </w:rPr>
        <w:t>To elect four members to the Board of Directors to serve a three-year term expiring at the 2029 Annual Meeting of Stockholders: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52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00" w:type="dxa"/>
            <w:vAlign w:val="bottom"/>
          </w:tcPr>
          <w:p>
            <w:pPr>
              <w:spacing w:after="0"/>
              <w:rPr>
                <w:sz w:val="22"/>
                <w:szCs w:val="22"/>
                <w:color w:val="auto"/>
              </w:rPr>
            </w:pPr>
          </w:p>
        </w:tc>
        <w:tc>
          <w:tcPr>
            <w:tcW w:w="14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For</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80" w:type="dxa"/>
            <w:vAlign w:val="bottom"/>
          </w:tcPr>
          <w:p>
            <w:pPr>
              <w:spacing w:after="0"/>
              <w:rPr>
                <w:sz w:val="22"/>
                <w:szCs w:val="22"/>
                <w:color w:val="auto"/>
              </w:rPr>
            </w:pPr>
          </w:p>
        </w:tc>
        <w:tc>
          <w:tcPr>
            <w:tcW w:w="1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100" w:type="dxa"/>
            <w:vAlign w:val="bottom"/>
          </w:tcPr>
          <w:p>
            <w:pPr>
              <w:spacing w:after="0"/>
              <w:rPr>
                <w:sz w:val="22"/>
                <w:szCs w:val="22"/>
                <w:color w:val="auto"/>
              </w:rPr>
            </w:pPr>
          </w:p>
        </w:tc>
      </w:tr>
      <w:tr>
        <w:trPr>
          <w:trHeight w:val="203"/>
        </w:trPr>
        <w:tc>
          <w:tcPr>
            <w:tcW w:w="5520" w:type="dxa"/>
            <w:vAlign w:val="bottom"/>
            <w:tcBorders>
              <w:top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Carey A. Smith</w:t>
            </w:r>
          </w:p>
        </w:tc>
        <w:tc>
          <w:tcPr>
            <w:tcW w:w="1660" w:type="dxa"/>
            <w:vAlign w:val="bottom"/>
            <w:tcBorders>
              <w:top w:val="single" w:sz="8" w:color="CFF0FC"/>
            </w:tcBorders>
            <w:gridSpan w:val="2"/>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88,140,620</w:t>
            </w:r>
          </w:p>
        </w:tc>
        <w:tc>
          <w:tcPr>
            <w:tcW w:w="1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CFF0FC"/>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5,144,706</w:t>
            </w:r>
          </w:p>
        </w:tc>
        <w:tc>
          <w:tcPr>
            <w:tcW w:w="2200" w:type="dxa"/>
            <w:vAlign w:val="bottom"/>
            <w:tcBorders>
              <w:top w:val="single" w:sz="8" w:color="CFF0FC"/>
            </w:tcBorders>
            <w:gridSpan w:val="2"/>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5,154,415</w:t>
            </w: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Letitia A. Long</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77,686,970</w:t>
            </w:r>
          </w:p>
        </w:tc>
        <w:tc>
          <w:tcPr>
            <w:tcW w:w="1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15,598,356</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5,154,415</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Harry T. McMahon</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91,053,648</w:t>
            </w:r>
          </w:p>
        </w:tc>
        <w:tc>
          <w:tcPr>
            <w:tcW w:w="1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2,231,678</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5,154,415</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Robert H. Smith</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92,531,614</w:t>
            </w:r>
          </w:p>
        </w:tc>
        <w:tc>
          <w:tcPr>
            <w:tcW w:w="1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753,712</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5,154,415</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-556895</wp:posOffset>
            </wp:positionV>
            <wp:extent cx="1117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nominees nominated in Proposal No. 1 was elected.</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No. 2:</w:t>
      </w:r>
      <w:r>
        <w:rPr>
          <w:rFonts w:ascii="Times New Roman" w:cs="Times New Roman" w:eastAsia="Times New Roman" w:hAnsi="Times New Roman"/>
          <w:sz w:val="18"/>
          <w:szCs w:val="18"/>
          <w:color w:val="auto"/>
        </w:rPr>
        <w:t xml:space="preserve"> To ratify the appointment of PricewaterhouseCoopers LLP as the Company’s independent registered public accounting firm for the fiscal year ending December 31,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5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For</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420" w:type="dxa"/>
            <w:vAlign w:val="bottom"/>
          </w:tcPr>
          <w:p>
            <w:pPr>
              <w:spacing w:after="0"/>
              <w:rPr>
                <w:sz w:val="22"/>
                <w:szCs w:val="22"/>
                <w:color w:val="auto"/>
              </w:rPr>
            </w:pPr>
          </w:p>
        </w:tc>
        <w:tc>
          <w:tcPr>
            <w:tcW w:w="20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420" w:type="dxa"/>
            <w:vAlign w:val="bottom"/>
          </w:tcPr>
          <w:p>
            <w:pPr>
              <w:spacing w:after="0"/>
              <w:rPr>
                <w:sz w:val="22"/>
                <w:szCs w:val="22"/>
                <w:color w:val="auto"/>
              </w:rPr>
            </w:pPr>
          </w:p>
        </w:tc>
        <w:tc>
          <w:tcPr>
            <w:tcW w:w="30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100" w:type="dxa"/>
            <w:vAlign w:val="bottom"/>
          </w:tcPr>
          <w:p>
            <w:pPr>
              <w:spacing w:after="0"/>
              <w:rPr>
                <w:sz w:val="22"/>
                <w:szCs w:val="22"/>
                <w:color w:val="auto"/>
              </w:rPr>
            </w:pPr>
          </w:p>
        </w:tc>
      </w:tr>
      <w:tr>
        <w:trPr>
          <w:trHeight w:val="203"/>
        </w:trPr>
        <w:tc>
          <w:tcPr>
            <w:tcW w:w="2520" w:type="dxa"/>
            <w:vAlign w:val="bottom"/>
            <w:tcBorders>
              <w:top w:val="single" w:sz="8" w:color="CFF0FC"/>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95,357,461</w:t>
            </w:r>
          </w:p>
        </w:tc>
        <w:tc>
          <w:tcPr>
            <w:tcW w:w="1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280" w:type="dxa"/>
            <w:vAlign w:val="bottom"/>
            <w:tcBorders>
              <w:top w:val="single" w:sz="8" w:color="CFF0FC"/>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2,886,281</w:t>
            </w:r>
          </w:p>
        </w:tc>
        <w:tc>
          <w:tcPr>
            <w:tcW w:w="2420" w:type="dxa"/>
            <w:vAlign w:val="bottom"/>
            <w:tcBorders>
              <w:top w:val="single" w:sz="8" w:color="CFF0FC"/>
            </w:tcBorders>
            <w:gridSpan w:val="2"/>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195,999</w:t>
            </w:r>
          </w:p>
        </w:tc>
        <w:tc>
          <w:tcPr>
            <w:tcW w:w="3500" w:type="dxa"/>
            <w:vAlign w:val="bottom"/>
            <w:tcBorders>
              <w:top w:val="single" w:sz="8" w:color="CFF0FC"/>
            </w:tcBorders>
            <w:gridSpan w:val="2"/>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7"/>
                <w:szCs w:val="17"/>
                <w:color w:val="auto"/>
              </w:rPr>
            </w:pPr>
          </w:p>
        </w:tc>
      </w:tr>
      <w:tr>
        <w:trPr>
          <w:trHeight w:val="432"/>
        </w:trPr>
        <w:tc>
          <w:tcPr>
            <w:tcW w:w="2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9"/>
              </w:rPr>
              <w:t>Proposal No. 2 was approved.</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-419735</wp:posOffset>
            </wp:positionV>
            <wp:extent cx="1968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17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auto"/>
        </w:rPr>
        <w:t>Proposal No. 3:</w:t>
      </w:r>
      <w:r>
        <w:rPr>
          <w:sz w:val="20"/>
          <w:szCs w:val="20"/>
          <w:color w:val="auto"/>
        </w:rPr>
        <w:tab/>
      </w:r>
      <w:r>
        <w:rPr>
          <w:rFonts w:ascii="Times New Roman" w:cs="Times New Roman" w:eastAsia="Times New Roman" w:hAnsi="Times New Roman"/>
          <w:sz w:val="18"/>
          <w:szCs w:val="18"/>
          <w:color w:val="auto"/>
        </w:rPr>
        <w:t>To approve, on an advisory, non-binding basis, the compensation of the Company’s named executive officers as disclosed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Discussion and Analysis section of the Proxy Statement: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5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For</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420" w:type="dxa"/>
            <w:vAlign w:val="bottom"/>
          </w:tcPr>
          <w:p>
            <w:pPr>
              <w:spacing w:after="0"/>
              <w:rPr>
                <w:sz w:val="22"/>
                <w:szCs w:val="22"/>
                <w:color w:val="auto"/>
              </w:rPr>
            </w:pPr>
          </w:p>
        </w:tc>
        <w:tc>
          <w:tcPr>
            <w:tcW w:w="20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420" w:type="dxa"/>
            <w:vAlign w:val="bottom"/>
          </w:tcPr>
          <w:p>
            <w:pPr>
              <w:spacing w:after="0"/>
              <w:rPr>
                <w:sz w:val="22"/>
                <w:szCs w:val="22"/>
                <w:color w:val="auto"/>
              </w:rPr>
            </w:pPr>
          </w:p>
        </w:tc>
        <w:tc>
          <w:tcPr>
            <w:tcW w:w="30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100" w:type="dxa"/>
            <w:vAlign w:val="bottom"/>
          </w:tcPr>
          <w:p>
            <w:pPr>
              <w:spacing w:after="0"/>
              <w:rPr>
                <w:sz w:val="22"/>
                <w:szCs w:val="22"/>
                <w:color w:val="auto"/>
              </w:rPr>
            </w:pPr>
          </w:p>
        </w:tc>
      </w:tr>
      <w:tr>
        <w:trPr>
          <w:trHeight w:val="203"/>
        </w:trPr>
        <w:tc>
          <w:tcPr>
            <w:tcW w:w="2520" w:type="dxa"/>
            <w:vAlign w:val="bottom"/>
            <w:tcBorders>
              <w:top w:val="single" w:sz="8" w:color="CFF0FC"/>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89,522,490</w:t>
            </w:r>
          </w:p>
        </w:tc>
        <w:tc>
          <w:tcPr>
            <w:tcW w:w="1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280" w:type="dxa"/>
            <w:vAlign w:val="bottom"/>
            <w:tcBorders>
              <w:top w:val="single" w:sz="8" w:color="CFF0FC"/>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3,402,595</w:t>
            </w:r>
          </w:p>
        </w:tc>
        <w:tc>
          <w:tcPr>
            <w:tcW w:w="2420" w:type="dxa"/>
            <w:vAlign w:val="bottom"/>
            <w:tcBorders>
              <w:top w:val="single" w:sz="8" w:color="CFF0FC"/>
            </w:tcBorders>
            <w:gridSpan w:val="2"/>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360,241</w:t>
            </w:r>
          </w:p>
        </w:tc>
        <w:tc>
          <w:tcPr>
            <w:tcW w:w="3500" w:type="dxa"/>
            <w:vAlign w:val="bottom"/>
            <w:tcBorders>
              <w:top w:val="single" w:sz="8" w:color="CFF0FC"/>
            </w:tcBorders>
            <w:gridSpan w:val="2"/>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5,154,415</w:t>
            </w:r>
          </w:p>
        </w:tc>
        <w:tc>
          <w:tcPr>
            <w:tcW w:w="100" w:type="dxa"/>
            <w:vAlign w:val="bottom"/>
            <w:tcBorders>
              <w:top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-145415</wp:posOffset>
            </wp:positionV>
            <wp:extent cx="1968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No. 3 was approved on an advisory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Parsons Corporation</w:t>
      </w:r>
    </w:p>
    <w:p>
      <w:pPr>
        <w:spacing w:after="0" w:line="374" w:lineRule="exact"/>
        <w:rPr>
          <w:sz w:val="20"/>
          <w:szCs w:val="20"/>
          <w:color w:val="auto"/>
        </w:rPr>
      </w:pPr>
    </w:p>
    <w:p>
      <w:pPr>
        <w:spacing w:after="0"/>
        <w:tabs>
          <w:tab w:leader="none" w:pos="660" w:val="left"/>
          <w:tab w:leader="none" w:pos="5620" w:val="left"/>
          <w:tab w:leader="none" w:pos="79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15 April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T. Martinez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John T. Martinez</w:t>
      </w:r>
    </w:p>
    <w:p>
      <w:pPr>
        <w:spacing w:after="0" w:line="27"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2026-04-15T15:20:05Z</dcterms:created>
  <dcterms:modified xsi:type="dcterms:W3CDTF">2026-04-15T15:20:05Z</dcterms:modified>
</cp:coreProperties>
</file>