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4"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4100" w:right="3660" w:hanging="4092"/>
        <w:spacing w:after="0" w:line="324" w:lineRule="auto"/>
        <w:tabs>
          <w:tab w:leader="none" w:pos="45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2025</w:t>
      </w: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60" w:right="740" w:hanging="452"/>
        <w:spacing w:after="0" w:line="267" w:lineRule="auto"/>
        <w:tabs>
          <w:tab w:leader="none" w:pos="4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63500</wp:posOffset>
            </wp:positionV>
            <wp:extent cx="300863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8630" cy="60833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left="3560"/>
        <w:spacing w:after="0"/>
        <w:rPr>
          <w:sz w:val="20"/>
          <w:szCs w:val="20"/>
          <w:color w:val="auto"/>
        </w:rPr>
      </w:pPr>
      <w:r>
        <w:rPr>
          <w:rFonts w:ascii="Arial" w:cs="Arial" w:eastAsia="Arial" w:hAnsi="Arial"/>
          <w:sz w:val="32"/>
          <w:szCs w:val="32"/>
          <w:b w:val="1"/>
          <w:bCs w:val="1"/>
          <w:color w:val="auto"/>
        </w:rPr>
        <w:t>PARSONS CORPORATION</w:t>
      </w:r>
    </w:p>
    <w:p>
      <w:pPr>
        <w:spacing w:after="0" w:line="40" w:lineRule="exact"/>
        <w:rPr>
          <w:sz w:val="24"/>
          <w:szCs w:val="24"/>
          <w:color w:val="auto"/>
        </w:rPr>
      </w:pPr>
    </w:p>
    <w:p>
      <w:pPr>
        <w:ind w:left="390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Delaware</w:t>
      </w:r>
    </w:p>
    <w:p>
      <w:pPr>
        <w:ind w:left="1920"/>
        <w:spacing w:after="0" w:line="237"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95-3232481</w:t>
      </w:r>
    </w:p>
    <w:p>
      <w:pPr>
        <w:spacing w:after="0" w:line="12" w:lineRule="exact"/>
        <w:rPr>
          <w:sz w:val="24"/>
          <w:szCs w:val="24"/>
          <w:color w:val="auto"/>
        </w:rPr>
      </w:pPr>
    </w:p>
    <w:p>
      <w:pPr>
        <w:jc w:val="center"/>
        <w:ind w:right="2240"/>
        <w:spacing w:after="0"/>
        <w:rPr>
          <w:sz w:val="20"/>
          <w:szCs w:val="20"/>
          <w:color w:val="auto"/>
        </w:rPr>
      </w:pPr>
      <w:r>
        <w:rPr>
          <w:rFonts w:ascii="Arial" w:cs="Arial" w:eastAsia="Arial" w:hAnsi="Arial"/>
          <w:sz w:val="13"/>
          <w:szCs w:val="13"/>
          <w:b w:val="1"/>
          <w:bCs w:val="1"/>
          <w:color w:val="auto"/>
        </w:rPr>
        <w:t>(I.R.S. Employer</w:t>
      </w:r>
    </w:p>
    <w:p>
      <w:pPr>
        <w:jc w:val="center"/>
        <w:ind w:right="2240"/>
        <w:spacing w:after="0"/>
        <w:rPr>
          <w:sz w:val="20"/>
          <w:szCs w:val="20"/>
          <w:color w:val="auto"/>
        </w:rPr>
      </w:pPr>
      <w:r>
        <w:rPr>
          <w:rFonts w:ascii="Arial" w:cs="Arial" w:eastAsia="Arial" w:hAnsi="Arial"/>
          <w:sz w:val="12"/>
          <w:szCs w:val="12"/>
          <w:b w:val="1"/>
          <w:bCs w:val="1"/>
          <w:color w:val="auto"/>
        </w:rPr>
        <w:t>Identification No.)</w:t>
      </w:r>
    </w:p>
    <w:p>
      <w:pPr>
        <w:spacing w:after="0" w:line="97" w:lineRule="exact"/>
        <w:rPr>
          <w:sz w:val="24"/>
          <w:szCs w:val="24"/>
          <w:color w:val="auto"/>
        </w:rPr>
      </w:pPr>
    </w:p>
    <w:p>
      <w:pPr>
        <w:sectPr>
          <w:pgSz w:w="11900" w:h="16838" w:orient="portrait"/>
          <w:cols w:equalWidth="0" w:num="2">
            <w:col w:w="7680" w:space="260"/>
            <w:col w:w="3300"/>
          </w:cols>
          <w:pgMar w:left="320" w:top="969" w:right="339" w:bottom="1440" w:gutter="0" w:footer="0" w:header="0"/>
          <w:type w:val="continuous"/>
        </w:sectPr>
      </w:pPr>
    </w:p>
    <w:tbl>
      <w:tblPr>
        <w:tblLayout w:type="fixed"/>
        <w:tblInd w:w="1400" w:type="dxa"/>
        <w:tblCellMar>
          <w:top w:w="0" w:type="dxa"/>
          <w:left w:w="0" w:type="dxa"/>
          <w:bottom w:w="0" w:type="dxa"/>
          <w:right w:w="0" w:type="dxa"/>
        </w:tblCellMar>
      </w:tblPr>
      <w:tr>
        <w:trPr>
          <w:trHeight w:val="189"/>
        </w:trPr>
        <w:tc>
          <w:tcPr>
            <w:tcW w:w="4760" w:type="dxa"/>
            <w:vAlign w:val="bottom"/>
          </w:tcPr>
          <w:p>
            <w:pPr>
              <w:jc w:val="center"/>
              <w:ind w:right="1905"/>
              <w:spacing w:after="0"/>
              <w:rPr>
                <w:sz w:val="20"/>
                <w:szCs w:val="20"/>
                <w:color w:val="auto"/>
              </w:rPr>
            </w:pPr>
            <w:r>
              <w:rPr>
                <w:rFonts w:ascii="Arial" w:cs="Arial" w:eastAsia="Arial" w:hAnsi="Arial"/>
                <w:sz w:val="16"/>
                <w:szCs w:val="16"/>
                <w:b w:val="1"/>
                <w:bCs w:val="1"/>
                <w:color w:val="auto"/>
              </w:rPr>
              <w:t>14291 Park Meadow Drive, Suite 100</w:t>
            </w:r>
          </w:p>
        </w:tc>
        <w:tc>
          <w:tcPr>
            <w:tcW w:w="2620" w:type="dxa"/>
            <w:vAlign w:val="bottom"/>
          </w:tcPr>
          <w:p>
            <w:pPr>
              <w:spacing w:after="0"/>
              <w:rPr>
                <w:sz w:val="16"/>
                <w:szCs w:val="16"/>
                <w:color w:val="auto"/>
              </w:rPr>
            </w:pPr>
          </w:p>
        </w:tc>
      </w:tr>
      <w:tr>
        <w:trPr>
          <w:trHeight w:val="199"/>
        </w:trPr>
        <w:tc>
          <w:tcPr>
            <w:tcW w:w="4760" w:type="dxa"/>
            <w:vAlign w:val="bottom"/>
          </w:tcPr>
          <w:p>
            <w:pPr>
              <w:jc w:val="center"/>
              <w:ind w:right="1925"/>
              <w:spacing w:after="0"/>
              <w:rPr>
                <w:sz w:val="20"/>
                <w:szCs w:val="20"/>
                <w:color w:val="auto"/>
              </w:rPr>
            </w:pPr>
            <w:r>
              <w:rPr>
                <w:rFonts w:ascii="Arial" w:cs="Arial" w:eastAsia="Arial" w:hAnsi="Arial"/>
                <w:sz w:val="16"/>
                <w:szCs w:val="16"/>
                <w:b w:val="1"/>
                <w:bCs w:val="1"/>
                <w:color w:val="auto"/>
              </w:rPr>
              <w:t>Chantilly, VA</w:t>
            </w:r>
          </w:p>
        </w:tc>
        <w:tc>
          <w:tcPr>
            <w:tcW w:w="2620" w:type="dxa"/>
            <w:vAlign w:val="bottom"/>
          </w:tcPr>
          <w:p>
            <w:pPr>
              <w:jc w:val="right"/>
              <w:ind w:right="8"/>
              <w:spacing w:after="0"/>
              <w:rPr>
                <w:sz w:val="20"/>
                <w:szCs w:val="20"/>
                <w:color w:val="auto"/>
              </w:rPr>
            </w:pPr>
            <w:r>
              <w:rPr>
                <w:rFonts w:ascii="Arial" w:cs="Arial" w:eastAsia="Arial" w:hAnsi="Arial"/>
                <w:sz w:val="16"/>
                <w:szCs w:val="16"/>
                <w:b w:val="1"/>
                <w:bCs w:val="1"/>
                <w:color w:val="auto"/>
              </w:rPr>
              <w:t>20151</w:t>
            </w:r>
          </w:p>
        </w:tc>
      </w:tr>
      <w:tr>
        <w:trPr>
          <w:trHeight w:val="172"/>
        </w:trPr>
        <w:tc>
          <w:tcPr>
            <w:tcW w:w="4760" w:type="dxa"/>
            <w:vAlign w:val="bottom"/>
          </w:tcPr>
          <w:p>
            <w:pPr>
              <w:jc w:val="center"/>
              <w:ind w:right="190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620" w:type="dxa"/>
            <w:vAlign w:val="bottom"/>
          </w:tcPr>
          <w:p>
            <w:pPr>
              <w:jc w:val="center"/>
              <w:ind w:left="1928"/>
              <w:spacing w:after="0"/>
              <w:rPr>
                <w:sz w:val="20"/>
                <w:szCs w:val="20"/>
                <w:color w:val="auto"/>
              </w:rPr>
            </w:pPr>
            <w:r>
              <w:rPr>
                <w:rFonts w:ascii="Arial" w:cs="Arial" w:eastAsia="Arial" w:hAnsi="Arial"/>
                <w:sz w:val="13"/>
                <w:szCs w:val="13"/>
                <w:b w:val="1"/>
                <w:bCs w:val="1"/>
                <w:color w:val="auto"/>
                <w:w w:val="96"/>
              </w:rPr>
              <w:t>(Zip Code)</w:t>
            </w:r>
          </w:p>
        </w:tc>
      </w:tr>
    </w:tbl>
    <w:p>
      <w:pPr>
        <w:spacing w:after="0" w:line="21" w:lineRule="exact"/>
        <w:rPr>
          <w:sz w:val="24"/>
          <w:szCs w:val="24"/>
          <w:color w:val="auto"/>
        </w:rPr>
      </w:pPr>
    </w:p>
    <w:p>
      <w:pPr>
        <w:ind w:left="3000"/>
        <w:spacing w:after="0"/>
        <w:rPr>
          <w:sz w:val="20"/>
          <w:szCs w:val="20"/>
          <w:color w:val="auto"/>
        </w:rPr>
      </w:pPr>
      <w:r>
        <w:rPr>
          <w:rFonts w:ascii="Arial" w:cs="Arial" w:eastAsia="Arial" w:hAnsi="Arial"/>
          <w:sz w:val="16"/>
          <w:szCs w:val="16"/>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20" w:type="dxa"/>
            <w:vAlign w:val="bottom"/>
          </w:tcPr>
          <w:p>
            <w:pPr>
              <w:spacing w:after="0"/>
              <w:rPr>
                <w:sz w:val="12"/>
                <w:szCs w:val="12"/>
                <w:color w:val="auto"/>
              </w:rPr>
            </w:pPr>
          </w:p>
        </w:tc>
        <w:tc>
          <w:tcPr>
            <w:tcW w:w="5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120" w:type="dxa"/>
            <w:vAlign w:val="bottom"/>
          </w:tcPr>
          <w:p>
            <w:pPr>
              <w:spacing w:after="0"/>
              <w:rPr>
                <w:sz w:val="13"/>
                <w:szCs w:val="13"/>
                <w:color w:val="auto"/>
              </w:rPr>
            </w:pPr>
          </w:p>
        </w:tc>
        <w:tc>
          <w:tcPr>
            <w:tcW w:w="5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80" w:type="dxa"/>
            <w:vAlign w:val="bottom"/>
          </w:tcPr>
          <w:p>
            <w:pPr>
              <w:jc w:val="center"/>
              <w:spacing w:after="0"/>
              <w:rPr>
                <w:sz w:val="20"/>
                <w:szCs w:val="20"/>
                <w:color w:val="auto"/>
              </w:rPr>
            </w:pPr>
            <w:r>
              <w:rPr>
                <w:rFonts w:ascii="Arial" w:cs="Arial" w:eastAsia="Arial" w:hAnsi="Arial"/>
                <w:sz w:val="14"/>
                <w:szCs w:val="14"/>
                <w:color w:val="auto"/>
              </w:rPr>
              <w:t>Common Stock, $1 par value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PSN</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right="288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24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27"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40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200"/>
        <w:spacing w:after="0" w:line="285"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New York Stock Exchange on June 30, 2025, was $7.7 billion.</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3, 2026 was 105,831,019</w:t>
      </w:r>
    </w:p>
    <w:p>
      <w:pPr>
        <w:spacing w:after="0" w:line="109"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Portions of Parsons’ 2026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00" w:type="dxa"/>
            <w:vAlign w:val="bottom"/>
            <w:gridSpan w:val="11"/>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9300" w:type="dxa"/>
            <w:vAlign w:val="bottom"/>
            <w:gridSpan w:val="25"/>
          </w:tcPr>
          <w:p>
            <w:pPr>
              <w:spacing w:after="0" w:line="195"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1A.</w:t>
            </w:r>
          </w:p>
        </w:tc>
        <w:tc>
          <w:tcPr>
            <w:tcW w:w="7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1B.</w:t>
            </w: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21"/>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020" w:type="dxa"/>
            <w:vAlign w:val="bottom"/>
            <w:gridSpan w:val="4"/>
          </w:tcPr>
          <w:p>
            <w:pPr>
              <w:spacing w:after="0" w:line="182" w:lineRule="exact"/>
              <w:rPr>
                <w:sz w:val="20"/>
                <w:szCs w:val="20"/>
                <w:color w:val="auto"/>
              </w:rPr>
            </w:pPr>
            <w:r>
              <w:rPr>
                <w:rFonts w:ascii="Arial" w:cs="Arial" w:eastAsia="Arial" w:hAnsi="Arial"/>
                <w:sz w:val="18"/>
                <w:szCs w:val="18"/>
                <w:color w:val="0000FF"/>
              </w:rPr>
              <w:t>Unresolved</w:t>
            </w:r>
          </w:p>
        </w:tc>
        <w:tc>
          <w:tcPr>
            <w:tcW w:w="8280" w:type="dxa"/>
            <w:vAlign w:val="bottom"/>
            <w:gridSpan w:val="2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1C.</w:t>
            </w: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240" w:type="dxa"/>
            <w:vAlign w:val="bottom"/>
            <w:gridSpan w:val="12"/>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2.</w:t>
            </w: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100" w:type="dxa"/>
            <w:vAlign w:val="bottom"/>
            <w:gridSpan w:val="6"/>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2"/>
        </w:trPr>
        <w:tc>
          <w:tcPr>
            <w:tcW w:w="1160" w:type="dxa"/>
            <w:vAlign w:val="bottom"/>
            <w:vMerge w:val="continue"/>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5" w:lineRule="exact"/>
              <w:rPr>
                <w:sz w:val="20"/>
                <w:szCs w:val="20"/>
                <w:color w:val="auto"/>
              </w:rPr>
            </w:pPr>
            <w:r>
              <w:rPr>
                <w:rFonts w:ascii="Arial" w:cs="Arial" w:eastAsia="Arial" w:hAnsi="Arial"/>
                <w:sz w:val="18"/>
                <w:szCs w:val="18"/>
                <w:color w:val="auto"/>
              </w:rPr>
              <w:t>Item 5.</w:t>
            </w:r>
          </w:p>
        </w:tc>
        <w:tc>
          <w:tcPr>
            <w:tcW w:w="9300" w:type="dxa"/>
            <w:vAlign w:val="bottom"/>
            <w:gridSpan w:val="25"/>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6.</w:t>
            </w: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8880" w:type="dxa"/>
            <w:vAlign w:val="bottom"/>
            <w:gridSpan w:val="24"/>
          </w:tcPr>
          <w:p>
            <w:pPr>
              <w:spacing w:after="0" w:line="182" w:lineRule="exact"/>
              <w:rPr>
                <w:sz w:val="20"/>
                <w:szCs w:val="20"/>
                <w:color w:val="auto"/>
              </w:rPr>
            </w:pPr>
            <w:r>
              <w:rPr>
                <w:rFonts w:ascii="Arial" w:cs="Arial" w:eastAsia="Arial" w:hAnsi="Arial"/>
                <w:sz w:val="18"/>
                <w:szCs w:val="18"/>
                <w:color w:val="0000FF"/>
              </w:rPr>
              <w:t>Reserved</w:t>
            </w:r>
          </w:p>
        </w:tc>
        <w:tc>
          <w:tcPr>
            <w:tcW w:w="4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7.</w:t>
            </w:r>
          </w:p>
        </w:tc>
        <w:tc>
          <w:tcPr>
            <w:tcW w:w="7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7A.</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7080" w:type="dxa"/>
            <w:vAlign w:val="bottom"/>
            <w:gridSpan w:val="20"/>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8.</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700" w:type="dxa"/>
            <w:vAlign w:val="bottom"/>
            <w:gridSpan w:val="17"/>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7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9A.</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7160" w:type="dxa"/>
            <w:vAlign w:val="bottom"/>
            <w:gridSpan w:val="21"/>
          </w:tcPr>
          <w:p>
            <w:pPr>
              <w:spacing w:after="0" w:line="182" w:lineRule="exact"/>
              <w:rPr>
                <w:sz w:val="20"/>
                <w:szCs w:val="20"/>
                <w:color w:val="auto"/>
              </w:rPr>
            </w:pPr>
            <w:r>
              <w:rPr>
                <w:rFonts w:ascii="Arial" w:cs="Arial" w:eastAsia="Arial" w:hAnsi="Arial"/>
                <w:sz w:val="18"/>
                <w:szCs w:val="18"/>
                <w:color w:val="0000FF"/>
              </w:rPr>
              <w:t>Controls and Procedures</w:t>
            </w: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9B.</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20" w:type="dxa"/>
            <w:vAlign w:val="bottom"/>
            <w:gridSpan w:val="3"/>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980" w:type="dxa"/>
            <w:vAlign w:val="bottom"/>
            <w:gridSpan w:val="11"/>
          </w:tcPr>
          <w:p>
            <w:pPr>
              <w:spacing w:after="0" w:line="182" w:lineRule="exact"/>
              <w:rPr>
                <w:sz w:val="20"/>
                <w:szCs w:val="20"/>
                <w:color w:val="auto"/>
              </w:rPr>
            </w:pPr>
            <w:r>
              <w:rPr>
                <w:rFonts w:ascii="Arial" w:cs="Arial" w:eastAsia="Arial" w:hAnsi="Arial"/>
                <w:sz w:val="18"/>
                <w:szCs w:val="18"/>
                <w:color w:val="0000FF"/>
              </w:rPr>
              <w:t>Other Information</w:t>
            </w:r>
          </w:p>
        </w:tc>
        <w:tc>
          <w:tcPr>
            <w:tcW w:w="11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9C.</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5" w:lineRule="exact"/>
              <w:rPr>
                <w:sz w:val="20"/>
                <w:szCs w:val="20"/>
                <w:color w:val="auto"/>
              </w:rPr>
            </w:pPr>
            <w:r>
              <w:rPr>
                <w:rFonts w:ascii="Arial" w:cs="Arial" w:eastAsia="Arial" w:hAnsi="Arial"/>
                <w:sz w:val="18"/>
                <w:szCs w:val="18"/>
                <w:color w:val="auto"/>
              </w:rPr>
              <w:t>Item 10.</w:t>
            </w:r>
          </w:p>
        </w:tc>
        <w:tc>
          <w:tcPr>
            <w:tcW w:w="9300" w:type="dxa"/>
            <w:vAlign w:val="bottom"/>
            <w:gridSpan w:val="25"/>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11.</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580" w:type="dxa"/>
            <w:vAlign w:val="bottom"/>
            <w:gridSpan w:val="3"/>
            <w:vMerge w:val="restart"/>
          </w:tcPr>
          <w:p>
            <w:pPr>
              <w:spacing w:after="0" w:line="20" w:lineRule="exact"/>
              <w:rPr>
                <w:sz w:val="1"/>
                <w:szCs w:val="1"/>
                <w:color w:val="auto"/>
              </w:rPr>
            </w:pPr>
          </w:p>
        </w:tc>
        <w:tc>
          <w:tcPr>
            <w:tcW w:w="1920" w:type="dxa"/>
            <w:vAlign w:val="bottom"/>
            <w:gridSpan w:val="3"/>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500" w:type="dxa"/>
            <w:vAlign w:val="bottom"/>
            <w:gridSpan w:val="16"/>
          </w:tcPr>
          <w:p>
            <w:pPr>
              <w:spacing w:after="0" w:line="182" w:lineRule="exact"/>
              <w:rPr>
                <w:sz w:val="20"/>
                <w:szCs w:val="20"/>
                <w:color w:val="auto"/>
              </w:rPr>
            </w:pPr>
            <w:r>
              <w:rPr>
                <w:rFonts w:ascii="Arial" w:cs="Arial" w:eastAsia="Arial" w:hAnsi="Arial"/>
                <w:sz w:val="18"/>
                <w:szCs w:val="18"/>
                <w:color w:val="0000FF"/>
              </w:rPr>
              <w:t>Executive Compensation</w:t>
            </w:r>
          </w:p>
        </w:tc>
        <w:tc>
          <w:tcPr>
            <w:tcW w:w="158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12.</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13.</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8000" w:type="dxa"/>
            <w:vAlign w:val="bottom"/>
            <w:gridSpan w:val="22"/>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4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14.</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2380" w:type="dxa"/>
            <w:vAlign w:val="bottom"/>
            <w:gridSpan w:val="4"/>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6080" w:type="dxa"/>
            <w:vAlign w:val="bottom"/>
            <w:gridSpan w:val="19"/>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2380" w:type="dxa"/>
            <w:vAlign w:val="bottom"/>
            <w:gridSpan w:val="4"/>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5" w:lineRule="exact"/>
              <w:rPr>
                <w:sz w:val="20"/>
                <w:szCs w:val="20"/>
                <w:color w:val="auto"/>
              </w:rPr>
            </w:pPr>
            <w:r>
              <w:rPr>
                <w:rFonts w:ascii="Arial" w:cs="Arial" w:eastAsia="Arial" w:hAnsi="Arial"/>
                <w:sz w:val="18"/>
                <w:szCs w:val="18"/>
                <w:color w:val="auto"/>
              </w:rPr>
              <w:t>Item 15.</w:t>
            </w:r>
          </w:p>
        </w:tc>
        <w:tc>
          <w:tcPr>
            <w:tcW w:w="9300" w:type="dxa"/>
            <w:vAlign w:val="bottom"/>
            <w:gridSpan w:val="25"/>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16</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260" w:type="dxa"/>
            <w:vAlign w:val="bottom"/>
            <w:gridSpan w:val="9"/>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3200" w:type="dxa"/>
            <w:vAlign w:val="bottom"/>
            <w:gridSpan w:val="14"/>
          </w:tcPr>
          <w:p>
            <w:pPr>
              <w:spacing w:after="0" w:line="182" w:lineRule="exact"/>
              <w:rPr>
                <w:sz w:val="20"/>
                <w:szCs w:val="20"/>
                <w:color w:val="auto"/>
              </w:rPr>
            </w:pPr>
            <w:r>
              <w:rPr>
                <w:rFonts w:ascii="Arial" w:cs="Arial" w:eastAsia="Arial" w:hAnsi="Arial"/>
                <w:sz w:val="18"/>
                <w:szCs w:val="18"/>
                <w:color w:val="0000FF"/>
              </w:rPr>
              <w:t>Form 10-K Summary</w:t>
            </w:r>
          </w:p>
        </w:tc>
        <w:tc>
          <w:tcPr>
            <w:tcW w:w="5260" w:type="dxa"/>
            <w:vAlign w:val="bottom"/>
            <w:gridSpan w:val="9"/>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800" w:type="dxa"/>
            <w:vAlign w:val="bottom"/>
            <w:gridSpan w:val="14"/>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60" w:type="dxa"/>
            <w:vAlign w:val="bottom"/>
            <w:gridSpan w:val="9"/>
          </w:tcPr>
          <w:p>
            <w:pPr>
              <w:spacing w:after="0" w:line="182" w:lineRule="exact"/>
              <w:rPr>
                <w:sz w:val="20"/>
                <w:szCs w:val="20"/>
                <w:color w:val="auto"/>
              </w:rPr>
            </w:pPr>
            <w:r>
              <w:rPr>
                <w:rFonts w:ascii="Arial" w:cs="Arial" w:eastAsia="Arial" w:hAnsi="Arial"/>
                <w:sz w:val="18"/>
                <w:szCs w:val="18"/>
                <w:color w:val="0000FF"/>
              </w:rPr>
              <w:t>Exhibit Index</w:t>
            </w:r>
          </w:p>
        </w:tc>
        <w:tc>
          <w:tcPr>
            <w:tcW w:w="6800" w:type="dxa"/>
            <w:vAlign w:val="bottom"/>
            <w:gridSpan w:val="14"/>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20" w:type="dxa"/>
            <w:vAlign w:val="bottom"/>
            <w:gridSpan w:val="18"/>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9300" w:type="dxa"/>
            <w:vAlign w:val="bottom"/>
            <w:gridSpan w:val="25"/>
          </w:tcPr>
          <w:p>
            <w:pPr>
              <w:spacing w:after="0"/>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8420" w:type="dxa"/>
            <w:vAlign w:val="bottom"/>
            <w:gridSpan w:val="22"/>
            <w:vMerge w:val="restart"/>
          </w:tcPr>
          <w:p>
            <w:pPr>
              <w:spacing w:after="0" w:line="202" w:lineRule="exact"/>
              <w:rPr>
                <w:sz w:val="20"/>
                <w:szCs w:val="20"/>
                <w:color w:val="auto"/>
              </w:rPr>
            </w:pPr>
            <w:r>
              <w:rPr>
                <w:rFonts w:ascii="Arial" w:cs="Arial" w:eastAsia="Arial" w:hAnsi="Arial"/>
                <w:sz w:val="18"/>
                <w:szCs w:val="18"/>
                <w:color w:val="0000FF"/>
              </w:rPr>
              <w:t>Consolidated Financial Statements and Report of Independent Registered Public Accounting Firm</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F-1</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880" w:type="dxa"/>
            <w:vAlign w:val="bottom"/>
            <w:gridSpan w:val="3"/>
          </w:tcPr>
          <w:p>
            <w:pPr>
              <w:spacing w:after="0" w:line="182" w:lineRule="exact"/>
              <w:rPr>
                <w:sz w:val="20"/>
                <w:szCs w:val="20"/>
                <w:color w:val="auto"/>
              </w:rPr>
            </w:pPr>
            <w:r>
              <w:rPr>
                <w:rFonts w:ascii="Arial" w:cs="Arial" w:eastAsia="Arial" w:hAnsi="Arial"/>
                <w:sz w:val="18"/>
                <w:szCs w:val="18"/>
                <w:color w:val="0000FF"/>
              </w:rPr>
              <w:t>Index to</w:t>
            </w:r>
          </w:p>
        </w:tc>
        <w:tc>
          <w:tcPr>
            <w:tcW w:w="8420" w:type="dxa"/>
            <w:vAlign w:val="bottom"/>
            <w:gridSpan w:val="2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72" w:lineRule="exact"/>
        <w:rPr>
          <w:sz w:val="20"/>
          <w:szCs w:val="20"/>
          <w:color w:val="auto"/>
        </w:rPr>
      </w:pPr>
    </w:p>
    <w:p>
      <w:pPr>
        <w:ind w:left="1020" w:right="3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issue that compromises our relationships with the U.S. federal government or its agencies or other state, local or foreign governments or agencies;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issues that damage our professional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priorities that shift expenditures away from agencies or programs that we support;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of government budgets and funding;</w:t>
      </w:r>
    </w:p>
    <w:p>
      <w:pPr>
        <w:spacing w:after="0" w:line="116" w:lineRule="exact"/>
        <w:rPr>
          <w:rFonts w:ascii="Times New Roman" w:cs="Times New Roman" w:eastAsia="Times New Roman" w:hAnsi="Times New Roman"/>
          <w:sz w:val="18"/>
          <w:szCs w:val="18"/>
          <w:color w:val="auto"/>
        </w:rPr>
      </w:pPr>
    </w:p>
    <w:p>
      <w:pPr>
        <w:ind w:left="1020" w:right="8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award, maintenance and renewal of long-term government contracts, which are subject to the government’s budgetary approval process;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addressable markets and the amount of government spending on private contractors;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or our employees to obtain and maintain necessary security clearances or certifications;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comply with numerous laws and regulations;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 procurement, contract or other practices or the adoption by governments of new laws, rules, regulations and programs in a manner adverse to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our government contracts, particularly our contracts with the U.S. federal government;</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effectively in the competitive bidding process and delays, contract terminations or cancellations caused by competitors’ protests of major contract awards received by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under certain of our contracts;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inability to attract, train or retain employees with the requisite skills, experience and security clearances;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members of senior management or failure to develop new leaders;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misconduct or other improper activities from our employees or subcontractors;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full value of our backlog and the timing of our receipt of revenue under contracts included in backlog;</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mix of our contracts and our ability to accurately estimate or otherwise recover expenses, time and resources for our contracts;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used in recognizing revenue;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internal system or service failures and security breaches;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 w:name="page4"/>
    <w:bookmarkEnd w:id="3"/>
    <w:p>
      <w:pPr>
        <w:spacing w:after="0" w:line="85" w:lineRule="exact"/>
        <w:rPr>
          <w:sz w:val="20"/>
          <w:szCs w:val="20"/>
          <w:color w:val="auto"/>
        </w:rPr>
      </w:pPr>
    </w:p>
    <w:p>
      <w:pPr>
        <w:ind w:left="1020" w:right="7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inherent uncertainties and potential adverse developments in legal proceedings, including litigation, audits, reviews and investigations, which may result in materially adverse judgments, settlements or other unfavorable outcomes;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factors listed under “Risk Factors” and elsewhere in this report.</w:t>
      </w:r>
    </w:p>
    <w:p>
      <w:pPr>
        <w:spacing w:after="0" w:line="22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jc w:val="both"/>
        <w:ind w:right="160" w:firstLine="509"/>
        <w:spacing w:after="0" w:line="275" w:lineRule="auto"/>
        <w:rPr>
          <w:sz w:val="20"/>
          <w:szCs w:val="20"/>
          <w:color w:val="auto"/>
        </w:rPr>
      </w:pPr>
      <w:r>
        <w:rPr>
          <w:rFonts w:ascii="Arial" w:cs="Arial" w:eastAsia="Arial" w:hAnsi="Arial"/>
          <w:sz w:val="17"/>
          <w:szCs w:val="17"/>
          <w:color w:val="auto"/>
        </w:rPr>
        <w:t>You should read this report and the documents that we reference in this report and have filed as exhibits to the registration statement of which this report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5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Parsons is a leading provider of the solutions and services required to support the complex security environment, unprecedented global infrastructure demand, and a world of digital transformation impacting our customers. For more than 81 years, we have solved our customers’ most challenging problems and enabled a safer, smarter, more secure, and more connected world thanks to a culture of creativity, a focus on delivery, and a mission-focused workforce. We are established as a leading provider of integrated solutions and services that solve emerging customer challenges by leveraging our depth of experience and expertise in the markets where we operate. Today, that legacy of success has never been more true or more important, with Parsons uniquely positioned to deliver innovative solutions to our customers’ most challenging current and emerging requirements.</w:t>
      </w:r>
    </w:p>
    <w:p>
      <w:pPr>
        <w:spacing w:after="0" w:line="1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significant expertise and differentiated capabilities in six growing, enduring and profitable end markets including cyber and electronic warfare, space and missile defense, critical infrastructure protection, transportation, water and environment, and urban development. Leveraging both organic and inorganic investments, we have positioned ourselves as a technologically differentiated leader in each end market. By exploiting digital technology and artificial intelligence (AI), we will continue to drive accelerated growth, create transformative solutions, and enhance efficiency. Example areas include assured position, navigation and timing (A-PNT), counter unmanned aircraft systems, advanced traffic management systems, biometrics, and non-kinetic effectors. Additionally, our unique, complementary and diverse portfolio enables us to realize synergies in sectors including but not limited to events management, critical infrastructure protection, energy resilience, aviation modernization, and emerging contaminant elimination. Our longstanding relationships with a wide-ranging global customer set that includes U.S. federal government departments and agencies, the U.S. military, state and local governments, and international clients has positioned Parsons as a trusted partner with a reputation for delivery. A testament of our legacy is our ranking by Engineering News Record as the #1 program management company in the world.</w:t>
      </w:r>
    </w:p>
    <w:p>
      <w:pPr>
        <w:spacing w:after="0" w:line="186"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Organizationally, we operate in two reportable segments, Federal Solutions and Critical Infrastructure, with revenue contribution of 51% and 49%, respectively, and adjusted earnings before interest, taxes, depreciation and amortization (EBITDA) contribution of 46% and 54%, respectively, for the year ended December 31, 2025 (“fiscal 2025”). See "Management’s Discussion and Analysis of Financial Condition and Results of Operations—Segment Results” for further discussion on our segments.</w:t>
      </w:r>
    </w:p>
    <w:p>
      <w:pPr>
        <w:spacing w:after="0" w:line="174"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Federal Solutions: </w:t>
      </w:r>
      <w:r>
        <w:rPr>
          <w:rFonts w:ascii="Arial" w:cs="Arial" w:eastAsia="Arial" w:hAnsi="Arial"/>
          <w:sz w:val="18"/>
          <w:szCs w:val="18"/>
          <w:color w:val="auto"/>
        </w:rPr>
        <w:t>Our Federal Solutions segment is an advanced technology provider to the U.S. government, delivering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timely, and cost-effective solutions for mission-critical projects. We provide critical technologies, including cyber; integrated air and missile defense; intelligence; aviation modernization; electronic warfare; space ground systems, cislunar, A-PNT, and classified sensors; geospatial intelligence; signals intelligence; environmental remediation; border security and counter-drug, critical infrastructure protection; counter unmanned air systems; biometrics; and bio surveillance. The U.S. government and its agencies represent substantially all of the revenue of our Federal Solutions segment. These U.S. government agencies include the Intelligence Community, the Departments of War, Energy, Labor, State, Homeland Security, and Commerce, the United States Postal Service, the National Aeronautics and Space Administration, and the Federal Aviation Administration.</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i w:val="1"/>
          <w:iCs w:val="1"/>
          <w:color w:val="auto"/>
        </w:rPr>
        <w:t xml:space="preserve">Critical Infrastructure: </w:t>
      </w:r>
      <w:r>
        <w:rPr>
          <w:rFonts w:ascii="Arial" w:cs="Arial" w:eastAsia="Arial" w:hAnsi="Arial"/>
          <w:sz w:val="18"/>
          <w:szCs w:val="18"/>
          <w:color w:val="auto"/>
        </w:rPr>
        <w:t>Our Critical Infrastructure segment provides program management, planning, design and engineering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owners representative support for complex physical and digital infrastructure assets around the globe. Ranked the #1 program manager and #3 construction manager in the world by Engineering News Record, we develop digital solutions focused on next generation aviation; rail and transit; bridges; roads and highways; and urban destinations; and leverage sensors and data to drive smart sustainable infrastructure.</w:t>
      </w:r>
    </w:p>
    <w:p>
      <w:pPr>
        <w:jc w:val="both"/>
        <w:ind w:right="20"/>
        <w:spacing w:after="0" w:line="250" w:lineRule="auto"/>
        <w:rPr>
          <w:sz w:val="20"/>
          <w:szCs w:val="20"/>
          <w:color w:val="auto"/>
        </w:rPr>
      </w:pPr>
      <w:r>
        <w:rPr>
          <w:rFonts w:ascii="Arial" w:cs="Arial" w:eastAsia="Arial" w:hAnsi="Arial"/>
          <w:sz w:val="18"/>
          <w:szCs w:val="18"/>
          <w:color w:val="auto"/>
        </w:rPr>
        <w:t>Our capabilities in environmental remediation, water and wastewater treatment and conveyance systems, and urban development allow us to deliver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19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value to our customers by employing advanced technologies, improving timelines and decreasing capital and operating costs while reducing environmental impacts and improving the quality of life. We serve a wide-ranging global customer base including federal, state, municipal and industry customers, and private sector infrastructure owners, such as the transportation authorities for the cities of Los Angeles, San Francisco, New York, and Paris, the state of New Jersey, Amtrak, CSX, Metrolinx (Ontario, Canada), Southern Nevada Water Authority, the Royal Commission for Riyadh City, the Dubai Municipality, Dubai Roads and Transportation Authority, Abu Dhabi Department of Municipalities and Transport, Qatar Public Works Authority, Saudi Arabia’s Public Investment Fund, and major international property developers.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Advances in technology and geopolitical events are dramatically shifting the operating landscape across our markets, with pressing challenges ranging from increasingly sophisticated cybersecurity threats, new uses for unmanned aircraft systems, confronting a spectrum of missile systems, aging infrastructure, coastal resiliency and the need to improve water quality. Our customers are seeking smart technology-enabled solutions leveraging artificial intelligence and digital technologies such as model-based systems engineering and digital twins to enhance and transform their systems performance and to address these challenges. Parsons’ extensive capabilities enable us to provide our solutions, products, and services across the national security and critical infrastructure markets, and we are well positioned to benefit from the trends in these markets. We have capabilities in the following four areas that span our two segments and four business units:</w:t>
      </w:r>
    </w:p>
    <w:p>
      <w:pPr>
        <w:spacing w:after="0" w:line="185"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b w:val="1"/>
          <w:bCs w:val="1"/>
          <w:color w:val="auto"/>
        </w:rPr>
        <w:t xml:space="preserve">Systems Integration: </w:t>
      </w:r>
      <w:r>
        <w:rPr>
          <w:rFonts w:ascii="Arial" w:cs="Arial" w:eastAsia="Arial" w:hAnsi="Arial"/>
          <w:sz w:val="18"/>
          <w:szCs w:val="18"/>
          <w:color w:val="auto"/>
        </w:rPr>
        <w:t>We provide engineering solutions and services for large digital and physical systems with high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complexity. We lead projects from concept development through research and design, implementation, testing and verification, ensuring interoperability of these complex, disparate systems.</w:t>
      </w:r>
    </w:p>
    <w:p>
      <w:pPr>
        <w:spacing w:after="0" w:line="16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b w:val="1"/>
          <w:bCs w:val="1"/>
          <w:color w:val="auto"/>
        </w:rPr>
        <w:t xml:space="preserve">Program Management: </w:t>
      </w:r>
      <w:r>
        <w:rPr>
          <w:rFonts w:ascii="Arial" w:cs="Arial" w:eastAsia="Arial" w:hAnsi="Arial"/>
          <w:sz w:val="18"/>
          <w:szCs w:val="18"/>
          <w:color w:val="auto"/>
        </w:rPr>
        <w:t>We provide expertise and technology to advance our customers’ execution of large, complex projects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defined, technical, quality, time and cost parameters.</w:t>
      </w:r>
    </w:p>
    <w:p>
      <w:pPr>
        <w:spacing w:after="0" w:line="154"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b w:val="1"/>
          <w:bCs w:val="1"/>
          <w:color w:val="auto"/>
        </w:rPr>
        <w:t xml:space="preserve">Design Engineering: </w:t>
      </w:r>
      <w:r>
        <w:rPr>
          <w:rFonts w:ascii="Arial" w:cs="Arial" w:eastAsia="Arial" w:hAnsi="Arial"/>
          <w:sz w:val="18"/>
          <w:szCs w:val="18"/>
          <w:color w:val="auto"/>
        </w:rPr>
        <w:t>We provide advanced systems and infrastructure engineering design associated with utility capital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water/wastewater treatment, environmental remediation, industrial base modernization, roads and highways, bridges, rail and transit systems, and other associated infrastructure.</w:t>
      </w:r>
    </w:p>
    <w:p>
      <w:pPr>
        <w:spacing w:after="0" w:line="169"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18"/>
          <w:szCs w:val="18"/>
          <w:color w:val="auto"/>
        </w:rPr>
        <w:t>We develop software and hardware across many domains and mission-specific applications.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engineers and developers design, develop, integrate, operate and sustain mission-critical software and hardware products for defense, security, and infrastructure customers.</w:t>
      </w:r>
    </w:p>
    <w:p>
      <w:pPr>
        <w:spacing w:after="0" w:line="16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Our customer relationships, which are based on a long history of successfully delivering complex technical solutions and services, are key to our success. We are often involved in the early stages of our customers’ planning processes, which allows us to efficiently optimize our delivery model. These relationships, along with our technical expertise and intellectual property, enable Parsons to successfully provide solutions that meet our customers’ demanding technical and execution requirements and fulfill our corporate purpose of developing a better world.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Products and Solutions</w:t>
      </w:r>
    </w:p>
    <w:p>
      <w:pPr>
        <w:spacing w:after="0" w:line="10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Within each of our segments, we focus our solutions, products and services on the needs of customers in each of our business units. Parsons is differentiated by our people, processes, and technology that work together to develop, rapidly prototype and deploy specialized hardware, software and infrastructure solutions to meet continually evolving customer missions and needs. With a culture driven by agility, innovation and collaboration, we provide operationally proven capabilities in emerging technical areas, including advanced analytics, artificial intelligence/machine learning, cyber, electronic warfare, environmental remediation and space systems. We perform systems integration, product development, program management, and engineering across our segments and business units.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5"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 xml:space="preserve">In fiscal 2025, we generated revenues of $6.4 billion, net income attributable to Parsons Corporation of $241.1 million and Adjusted EBITDA of $609.3 million. For a definition of Adjusted EBITDA and reconciliation to net income attributable to Parsons Corporation,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6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achieved an overall win rate of 61% in fiscal 2025, 72% in the year ended December 31, 2024 (“fiscal 2024”) and 66% in the year ended December 31, 2023 (‘fiscal 2023”), which includes strong re-compete win rates of 99.6% in fiscal 2025 giving us long-term certainty on key contracts. As of December 31, 2025, our total backlog was $8.7 billion, a decrease of 2% from December 31, 2024.</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Federal Solutions</w:t>
      </w:r>
    </w:p>
    <w:p>
      <w:pPr>
        <w:spacing w:after="0" w:line="102" w:lineRule="exact"/>
        <w:rPr>
          <w:sz w:val="20"/>
          <w:szCs w:val="20"/>
          <w:color w:val="auto"/>
        </w:rPr>
      </w:pPr>
    </w:p>
    <w:p>
      <w:pPr>
        <w:jc w:val="both"/>
        <w:ind w:right="460" w:firstLine="509"/>
        <w:spacing w:after="0" w:line="253" w:lineRule="auto"/>
        <w:rPr>
          <w:sz w:val="20"/>
          <w:szCs w:val="20"/>
          <w:color w:val="auto"/>
        </w:rPr>
      </w:pPr>
      <w:r>
        <w:rPr>
          <w:rFonts w:ascii="Arial" w:cs="Arial" w:eastAsia="Arial" w:hAnsi="Arial"/>
          <w:sz w:val="18"/>
          <w:szCs w:val="18"/>
          <w:color w:val="auto"/>
        </w:rPr>
        <w:t>Our Federal Solutions business provides integrated solutions, software and hardware products, and engineering design services. Federal Solutions consists of two business units: Defense &amp; Intelligence (D&amp;I) and Engineered Systems (ES). Our strategy is to deliver information dominance across all domains.</w:t>
      </w:r>
    </w:p>
    <w:p>
      <w:pPr>
        <w:spacing w:after="0" w:line="61" w:lineRule="exact"/>
        <w:rPr>
          <w:sz w:val="20"/>
          <w:szCs w:val="20"/>
          <w:color w:val="auto"/>
        </w:rPr>
      </w:pPr>
    </w:p>
    <w:p>
      <w:pPr>
        <w:ind w:left="1020" w:right="40" w:hanging="503"/>
        <w:spacing w:after="0" w:line="239"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D&amp;I—Our D&amp;I business unit is organized into four related areas: defense and engineering services; space solutions; national security operations; and high consequence missions. Our customers include the U.S. Department of War, the U.S. Intelligence Community, the Department of Commerce, and the National Aeronautics and Space Administration. D&amp;I is a mission partner for differentiated technical solutions, products, and services, delivering innovations in cyber, space, missile defense, electronic warfare, multi-domain command and control, intelligence, surveillance and reconnaissance, electromagnetic spectrum dominance, and directed energy. Our solutions are used to meet national security challenges from space to the tactical edge around the globe. In 2025, we expanded our footprint across the important Indo-Pacific Command (INDOPACOM) region, as well as the European theater.</w:t>
      </w:r>
    </w:p>
    <w:p>
      <w:pPr>
        <w:spacing w:after="0" w:line="78" w:lineRule="exact"/>
        <w:rPr>
          <w:rFonts w:ascii="Times New Roman" w:cs="Times New Roman" w:eastAsia="Times New Roman" w:hAnsi="Times New Roman"/>
          <w:sz w:val="18"/>
          <w:szCs w:val="18"/>
          <w:color w:val="auto"/>
        </w:rPr>
      </w:pPr>
    </w:p>
    <w:p>
      <w:pPr>
        <w:ind w:left="1260" w:right="60" w:hanging="503"/>
        <w:spacing w:after="0"/>
        <w:tabs>
          <w:tab w:leader="none" w:pos="1260" w:val="left"/>
        </w:tabs>
        <w:numPr>
          <w:ilvl w:val="1"/>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Defense and Engineering Services – We provide software, hardware, and technical expertise to clients across a variety of mission areas, including but not limited to, intelligence, air defense, weapons systems, integration, and warfighter applications. Our customers span the U.S. Intelligence Community, including the National Geospatial-Intelligence Agency (NGA), National Reconnaissance Office (NRO)); U.S. Department of War (DOW) (military services, and Special Operations Command (SOCOM)). Representative products include our Command-and-Control Core (C2Core®) mission planning and tasking suite that links requests, effects, and operational guidance in a unified database, and the ZEUS® laser neutralization system offering critical force protection in any operational theater.</w:t>
      </w:r>
    </w:p>
    <w:p>
      <w:pPr>
        <w:spacing w:after="0" w:line="75" w:lineRule="exact"/>
        <w:rPr>
          <w:rFonts w:ascii="Times New Roman" w:cs="Times New Roman" w:eastAsia="Times New Roman" w:hAnsi="Times New Roman"/>
          <w:sz w:val="18"/>
          <w:szCs w:val="18"/>
          <w:color w:val="242424"/>
        </w:rPr>
      </w:pPr>
    </w:p>
    <w:p>
      <w:pPr>
        <w:ind w:left="1260" w:right="60" w:hanging="503"/>
        <w:spacing w:after="0" w:line="246" w:lineRule="auto"/>
        <w:tabs>
          <w:tab w:leader="none" w:pos="1260" w:val="left"/>
        </w:tabs>
        <w:numPr>
          <w:ilvl w:val="1"/>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Space Solutions – We integrate hardware, software, and other capabilities in support of space operations, missile defense, and large-scale systems integration for programs such as Golden Dome. Our customers include the Missile Defense Agency (MDA), National Oceanic and Atmospheric Administration (NOAA), U.S. Air Force, and National Aeronautics and Space Administration (NASA).</w:t>
      </w:r>
    </w:p>
    <w:p>
      <w:pPr>
        <w:spacing w:after="0" w:line="68" w:lineRule="exact"/>
        <w:rPr>
          <w:rFonts w:ascii="Times New Roman" w:cs="Times New Roman" w:eastAsia="Times New Roman" w:hAnsi="Times New Roman"/>
          <w:sz w:val="18"/>
          <w:szCs w:val="18"/>
          <w:color w:val="242424"/>
        </w:rPr>
      </w:pPr>
    </w:p>
    <w:p>
      <w:pPr>
        <w:ind w:left="1540" w:right="160" w:hanging="514"/>
        <w:spacing w:after="0" w:line="270" w:lineRule="auto"/>
        <w:tabs>
          <w:tab w:leader="none" w:pos="1540" w:val="left"/>
        </w:tabs>
        <w:numPr>
          <w:ilvl w:val="2"/>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We provide satellite ground systems support and operations, flight dynamics, data fusion and analytics, platform system integration, directed energy, joint all-domain operations, and command and control systems.</w:t>
      </w:r>
    </w:p>
    <w:p>
      <w:pPr>
        <w:spacing w:after="0" w:line="59" w:lineRule="exact"/>
        <w:rPr>
          <w:rFonts w:ascii="Times New Roman" w:cs="Times New Roman" w:eastAsia="Times New Roman" w:hAnsi="Times New Roman"/>
          <w:sz w:val="18"/>
          <w:szCs w:val="18"/>
          <w:color w:val="242424"/>
        </w:rPr>
      </w:pPr>
    </w:p>
    <w:p>
      <w:pPr>
        <w:ind w:left="1540" w:right="180" w:hanging="514"/>
        <w:spacing w:after="0" w:line="274" w:lineRule="auto"/>
        <w:tabs>
          <w:tab w:leader="none" w:pos="1540" w:val="left"/>
        </w:tabs>
        <w:numPr>
          <w:ilvl w:val="2"/>
          <w:numId w:val="5"/>
        </w:numPr>
        <w:rPr>
          <w:rFonts w:ascii="Times New Roman" w:cs="Times New Roman" w:eastAsia="Times New Roman" w:hAnsi="Times New Roman"/>
          <w:sz w:val="17"/>
          <w:szCs w:val="17"/>
          <w:color w:val="242424"/>
        </w:rPr>
      </w:pPr>
      <w:r>
        <w:rPr>
          <w:rFonts w:ascii="Arial" w:cs="Arial" w:eastAsia="Arial" w:hAnsi="Arial"/>
          <w:sz w:val="17"/>
          <w:szCs w:val="17"/>
          <w:color w:val="242424"/>
        </w:rPr>
        <w:t>As an example, our ground systems enable efficient and effective access to space for small satellites on the Polar Operational Environmental Satellite (POES) and other commercial, national security and small class launch systems. Importantly, we offer this innovative ground spacecraft operations center on a commercial as-a-service business model.</w:t>
      </w:r>
    </w:p>
    <w:p>
      <w:pPr>
        <w:spacing w:after="0" w:line="45" w:lineRule="exact"/>
        <w:rPr>
          <w:rFonts w:ascii="Times New Roman" w:cs="Times New Roman" w:eastAsia="Times New Roman" w:hAnsi="Times New Roman"/>
          <w:sz w:val="17"/>
          <w:szCs w:val="17"/>
          <w:color w:val="242424"/>
        </w:rPr>
      </w:pPr>
    </w:p>
    <w:p>
      <w:pPr>
        <w:ind w:left="1540" w:right="100" w:hanging="514"/>
        <w:spacing w:after="0" w:line="252" w:lineRule="auto"/>
        <w:tabs>
          <w:tab w:leader="none" w:pos="1540" w:val="left"/>
        </w:tabs>
        <w:numPr>
          <w:ilvl w:val="2"/>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We are the prime Technical, Engineering, Advisory and Management Support (TEAMS) Next contractor for the MDA, where we provide engineering, analysis, and management support for the development of integrated and layered missile defense systems that defend U.S. and allied forces against ballistic, hypersonic, and cruise missile threats,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5" w:lineRule="exact"/>
        <w:rPr>
          <w:sz w:val="20"/>
          <w:szCs w:val="20"/>
          <w:color w:val="auto"/>
        </w:rPr>
      </w:pPr>
    </w:p>
    <w:p>
      <w:pPr>
        <w:ind w:left="1023" w:right="1020"/>
        <w:spacing w:after="0" w:line="271" w:lineRule="auto"/>
        <w:rPr>
          <w:sz w:val="20"/>
          <w:szCs w:val="20"/>
          <w:color w:val="auto"/>
        </w:rPr>
      </w:pPr>
      <w:r>
        <w:rPr>
          <w:rFonts w:ascii="Arial" w:cs="Arial" w:eastAsia="Arial" w:hAnsi="Arial"/>
          <w:sz w:val="18"/>
          <w:szCs w:val="18"/>
          <w:color w:val="242424"/>
        </w:rPr>
        <w:t>advance the agency’s integrated air and missile defense, command and control, and battle management and communications missions across all-domain battlespace.</w:t>
      </w:r>
    </w:p>
    <w:p>
      <w:pPr>
        <w:spacing w:after="0" w:line="46" w:lineRule="exact"/>
        <w:rPr>
          <w:sz w:val="20"/>
          <w:szCs w:val="20"/>
          <w:color w:val="auto"/>
        </w:rPr>
      </w:pPr>
    </w:p>
    <w:p>
      <w:pPr>
        <w:jc w:val="both"/>
        <w:ind w:left="743" w:right="80" w:hanging="503"/>
        <w:spacing w:after="0" w:line="252" w:lineRule="auto"/>
        <w:tabs>
          <w:tab w:leader="none" w:pos="743" w:val="left"/>
        </w:tabs>
        <w:numPr>
          <w:ilvl w:val="1"/>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National Security Operations – We provide capabilities across the digital landscape, including full-spectrum cyber, defensive cyber operations, information operations, and analytics. Our customers include the U.S. intelligence community, U.S. Cyber Command, DOW research laboratories, and military cyber services.</w:t>
      </w:r>
    </w:p>
    <w:p>
      <w:pPr>
        <w:spacing w:after="0" w:line="76" w:lineRule="exact"/>
        <w:rPr>
          <w:rFonts w:ascii="Times New Roman" w:cs="Times New Roman" w:eastAsia="Times New Roman" w:hAnsi="Times New Roman"/>
          <w:sz w:val="18"/>
          <w:szCs w:val="18"/>
          <w:color w:val="242424"/>
        </w:rPr>
      </w:pPr>
    </w:p>
    <w:p>
      <w:pPr>
        <w:ind w:left="1023" w:right="160" w:hanging="514"/>
        <w:spacing w:after="0" w:line="252" w:lineRule="auto"/>
        <w:tabs>
          <w:tab w:leader="none" w:pos="1023" w:val="left"/>
        </w:tabs>
        <w:numPr>
          <w:ilvl w:val="2"/>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We conduct vulnerability research and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76" w:lineRule="exact"/>
        <w:rPr>
          <w:rFonts w:ascii="Times New Roman" w:cs="Times New Roman" w:eastAsia="Times New Roman" w:hAnsi="Times New Roman"/>
          <w:sz w:val="18"/>
          <w:szCs w:val="18"/>
          <w:color w:val="242424"/>
        </w:rPr>
      </w:pPr>
    </w:p>
    <w:p>
      <w:pPr>
        <w:ind w:left="1023" w:right="340" w:hanging="514"/>
        <w:spacing w:after="0" w:line="300" w:lineRule="auto"/>
        <w:tabs>
          <w:tab w:leader="none" w:pos="1023" w:val="left"/>
        </w:tabs>
        <w:numPr>
          <w:ilvl w:val="2"/>
          <w:numId w:val="6"/>
        </w:numPr>
        <w:rPr>
          <w:rFonts w:ascii="Times New Roman" w:cs="Times New Roman" w:eastAsia="Times New Roman" w:hAnsi="Times New Roman"/>
          <w:sz w:val="17"/>
          <w:szCs w:val="17"/>
          <w:color w:val="242424"/>
        </w:rPr>
      </w:pPr>
      <w:r>
        <w:rPr>
          <w:rFonts w:ascii="Arial" w:cs="Arial" w:eastAsia="Arial" w:hAnsi="Arial"/>
          <w:sz w:val="17"/>
          <w:szCs w:val="17"/>
          <w:color w:val="242424"/>
        </w:rPr>
        <w:t>We develop tools and tradecraft to conduct Information Operations across the physical and cyber domains, giving customers complete situational awareness for force protection and decision making with the information environment.</w:t>
      </w:r>
    </w:p>
    <w:p>
      <w:pPr>
        <w:spacing w:after="0" w:line="23" w:lineRule="exact"/>
        <w:rPr>
          <w:rFonts w:ascii="Times New Roman" w:cs="Times New Roman" w:eastAsia="Times New Roman" w:hAnsi="Times New Roman"/>
          <w:sz w:val="17"/>
          <w:szCs w:val="17"/>
          <w:color w:val="242424"/>
        </w:rPr>
      </w:pPr>
    </w:p>
    <w:p>
      <w:pPr>
        <w:ind w:left="743" w:right="40" w:hanging="503"/>
        <w:spacing w:after="0" w:line="252" w:lineRule="auto"/>
        <w:tabs>
          <w:tab w:leader="none" w:pos="743" w:val="left"/>
        </w:tabs>
        <w:numPr>
          <w:ilvl w:val="1"/>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High-Consequence Missions – We provide capabilities across the digital landscape, electronic warfare, multi-domain operations, mission support and national to tactical operations. Our customers include the U.S. Intelligence Community, U.S. Cyber Command, and DOW research laboratories.</w:t>
      </w:r>
    </w:p>
    <w:p>
      <w:pPr>
        <w:spacing w:after="0" w:line="76" w:lineRule="exact"/>
        <w:rPr>
          <w:rFonts w:ascii="Times New Roman" w:cs="Times New Roman" w:eastAsia="Times New Roman" w:hAnsi="Times New Roman"/>
          <w:sz w:val="18"/>
          <w:szCs w:val="18"/>
          <w:color w:val="242424"/>
        </w:rPr>
      </w:pPr>
    </w:p>
    <w:p>
      <w:pPr>
        <w:ind w:left="1023" w:right="140" w:hanging="514"/>
        <w:spacing w:after="0" w:line="243" w:lineRule="auto"/>
        <w:tabs>
          <w:tab w:leader="none" w:pos="1023" w:val="left"/>
        </w:tabs>
        <w:numPr>
          <w:ilvl w:val="2"/>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Our tools and products are used across a wide variety of electronic warfare operations, including commercial cellular survey, automated signal identification and characterization using Artificial Intelligence/Machine Learning (AI/ML), signal modeling and simulation used for radio frequency (RF) ranges and test and evaluation centers using our Threat Representative Environment (TReX®) platform, and integrated RF and cyber solutions to deliver effects from long standoff distances.</w:t>
      </w:r>
    </w:p>
    <w:p>
      <w:pPr>
        <w:spacing w:after="0" w:line="85" w:lineRule="exact"/>
        <w:rPr>
          <w:rFonts w:ascii="Times New Roman" w:cs="Times New Roman" w:eastAsia="Times New Roman" w:hAnsi="Times New Roman"/>
          <w:sz w:val="18"/>
          <w:szCs w:val="18"/>
          <w:color w:val="242424"/>
        </w:rPr>
      </w:pPr>
    </w:p>
    <w:p>
      <w:pPr>
        <w:ind w:left="1023" w:hanging="514"/>
        <w:spacing w:after="0" w:line="252" w:lineRule="auto"/>
        <w:tabs>
          <w:tab w:leader="none" w:pos="1023" w:val="left"/>
        </w:tabs>
        <w:numPr>
          <w:ilvl w:val="2"/>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We conduct vulnerability research and provide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62" w:lineRule="exact"/>
        <w:rPr>
          <w:rFonts w:ascii="Times New Roman" w:cs="Times New Roman" w:eastAsia="Times New Roman" w:hAnsi="Times New Roman"/>
          <w:sz w:val="18"/>
          <w:szCs w:val="18"/>
          <w:color w:val="242424"/>
        </w:rPr>
      </w:pPr>
    </w:p>
    <w:p>
      <w:pPr>
        <w:ind w:left="743" w:right="60" w:hanging="503"/>
        <w:spacing w:after="0" w:line="246" w:lineRule="auto"/>
        <w:tabs>
          <w:tab w:leader="none" w:pos="743"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Cyber solutions and products augment and automate full spectrum cyber operations, including our Automated Management Solutions (AMS), a software framework that integrates disparate cyber capabilities, tools and infrastructures into a common system architecture that assists military cyber operators. We develop and maintain enterprise platforms used by the DOW to perform network analysis and vulnerability assessments for defensive missions.</w:t>
      </w:r>
    </w:p>
    <w:p>
      <w:pPr>
        <w:spacing w:after="0" w:line="68" w:lineRule="exact"/>
        <w:rPr>
          <w:rFonts w:ascii="Times New Roman" w:cs="Times New Roman" w:eastAsia="Times New Roman" w:hAnsi="Times New Roman"/>
          <w:sz w:val="18"/>
          <w:szCs w:val="18"/>
          <w:color w:val="auto"/>
        </w:rPr>
      </w:pPr>
    </w:p>
    <w:p>
      <w:pPr>
        <w:ind w:left="1023" w:right="60" w:hanging="514"/>
        <w:spacing w:after="0" w:line="252" w:lineRule="auto"/>
        <w:tabs>
          <w:tab w:leader="none" w:pos="1023"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deliver situational awareness and tactical command and control for both overseas and border security operations through our support Team Awareness Kit (TAK) program. Parsons’ acquisition of CTI brought TAK capabilities, which we are integrating into various Parsons’ programs</w:t>
      </w:r>
    </w:p>
    <w:p>
      <w:pPr>
        <w:spacing w:after="0" w:line="62" w:lineRule="exact"/>
        <w:rPr>
          <w:rFonts w:ascii="Times New Roman" w:cs="Times New Roman" w:eastAsia="Times New Roman" w:hAnsi="Times New Roman"/>
          <w:sz w:val="18"/>
          <w:szCs w:val="18"/>
          <w:color w:val="auto"/>
        </w:rPr>
      </w:pPr>
    </w:p>
    <w:p>
      <w:pPr>
        <w:ind w:left="503" w:hanging="503"/>
        <w:spacing w:after="0" w:line="239"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ES—Our ES business unit focuses on advanced technology services for complex energy and chemical systems, aviation, life sciences and bio surveillance systems, environmental remediation, security and protection systems, and associated complex infrastructure. Representative customers include the Department of State (DOS), Department of Energy (DOE), Defense Threat Reduction Agency (DTRA), Department of Homeland Security (DHS), U.S. Army Corps of Engineers (USACE), Federal Aviation Administration (FAA), National Aeronautics and Space Administration (NASA), United States Postal Service (USPS), Department of Labor (DOL), and Jet Propulsion Laboratory (JPL). Representative offerings include weapons of mass destruction elimination, munitions destruction; remediation of unexploded ordinances and hazardous, toxic, reactive wastes; architectural and engineering design; program and construction management; infectious disease control; advanced electronic security systems; border security; counter-unmanned aircraft systems; and biometrics solutions.</w:t>
      </w:r>
    </w:p>
    <w:p>
      <w:pPr>
        <w:spacing w:after="0" w:line="200" w:lineRule="exact"/>
        <w:rPr>
          <w:sz w:val="20"/>
          <w:szCs w:val="20"/>
          <w:color w:val="auto"/>
        </w:rPr>
      </w:pPr>
    </w:p>
    <w:p>
      <w:pPr>
        <w:spacing w:after="0" w:line="212"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40" w:right="379" w:bottom="1440" w:gutter="0" w:footer="0" w:header="0"/>
        </w:sectPr>
      </w:pPr>
    </w:p>
    <w:bookmarkStart w:id="8" w:name="page9"/>
    <w:bookmarkEnd w:id="8"/>
    <w:p>
      <w:pPr>
        <w:spacing w:after="0" w:line="85" w:lineRule="exact"/>
        <w:rPr>
          <w:sz w:val="20"/>
          <w:szCs w:val="20"/>
          <w:color w:val="auto"/>
        </w:rPr>
      </w:pPr>
    </w:p>
    <w:p>
      <w:pPr>
        <w:ind w:left="1540" w:right="100" w:hanging="514"/>
        <w:spacing w:after="0" w:line="252" w:lineRule="auto"/>
        <w:tabs>
          <w:tab w:leader="none" w:pos="1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expertise includes designing and upgrading processing and production facilities such as Army ammunition and munitions industrial bases, and delivery of solutions addressing resiliency, security and sustainability, as well as delivery of highly complex infrastructure in challenging environments and geographies.</w:t>
      </w:r>
    </w:p>
    <w:p>
      <w:pPr>
        <w:spacing w:after="0" w:line="62" w:lineRule="exact"/>
        <w:rPr>
          <w:rFonts w:ascii="Times New Roman" w:cs="Times New Roman" w:eastAsia="Times New Roman" w:hAnsi="Times New Roman"/>
          <w:sz w:val="18"/>
          <w:szCs w:val="18"/>
          <w:color w:val="auto"/>
        </w:rPr>
      </w:pPr>
    </w:p>
    <w:p>
      <w:pPr>
        <w:ind w:left="1540" w:right="100" w:hanging="514"/>
        <w:spacing w:after="0" w:line="243" w:lineRule="auto"/>
        <w:tabs>
          <w:tab w:leader="none" w:pos="1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technological investments in areas including counter-unmanned aircraft systems and biometrics have enabled us to deliver operationally relevant solutions and products to critical customer needs. DroneArmor is a Technology Readiness Level 9 solution to effectively counter unmanned aircraft systems and ensure the safety and security of personnel, bases and assets. Parsons’ uses AI/ML to detect, track, identify and defeat UAS. In biometrics, we have expanded our identity management offerings to include the new AresNXT next-generation, multi-platform biometric collection solution.</w:t>
      </w:r>
    </w:p>
    <w:p>
      <w:pPr>
        <w:spacing w:after="0" w:line="71" w:lineRule="exact"/>
        <w:rPr>
          <w:rFonts w:ascii="Times New Roman" w:cs="Times New Roman" w:eastAsia="Times New Roman" w:hAnsi="Times New Roman"/>
          <w:sz w:val="18"/>
          <w:szCs w:val="18"/>
          <w:color w:val="auto"/>
        </w:rPr>
      </w:pPr>
    </w:p>
    <w:p>
      <w:pPr>
        <w:ind w:left="1540" w:hanging="514"/>
        <w:spacing w:after="0" w:line="246" w:lineRule="auto"/>
        <w:tabs>
          <w:tab w:leader="none" w:pos="1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Representative programs include the National Science Foundation’s (NSF) Antarctica Infrastructure Modernization for Science, the FAA Technical Support Services Contract, the DTRA Cooperative Threat Reduction Integrating Contract and Red Team contract, the Department of State Overseas Security Installation Services, the Radford Army Munition Plant Energetic Waste Incinerator and the Holston Ammonium Nitrate Solution Tank Farm.</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Infrastructure</w:t>
      </w:r>
    </w:p>
    <w:p>
      <w:pPr>
        <w:spacing w:after="0" w:line="10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Critical Infrastructure business provides planning, engineering, design, program management, owners representative services and digital solutions consisting of two business units focused on two major geographies: North America (INF-NA) and Europe, Middle East, and Africa (EMEA). Our growth strategy includes leveraging our portfolio of sophisticated engineering solutions and technologies for complex physical infrastructure projects to capture the increasing demand and investment in global infrastructure programs. We are expanding our portfolio in key emerging growth areas, including intelligent transportation systems, smart mobility, environmental remediation, events management, urban development rebuild, and water/wastewater treatment.</w:t>
      </w:r>
    </w:p>
    <w:p>
      <w:pPr>
        <w:spacing w:after="0" w:line="71" w:lineRule="exact"/>
        <w:rPr>
          <w:sz w:val="20"/>
          <w:szCs w:val="20"/>
          <w:color w:val="auto"/>
        </w:rPr>
      </w:pPr>
    </w:p>
    <w:p>
      <w:pPr>
        <w:ind w:left="1020" w:right="160" w:hanging="503"/>
        <w:spacing w:after="0" w:line="24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INF – NA - Our INF – NA business unit provides planning, engineering and management services for complex infrastructure, including bridges, tunnels, roads and highways, and water and wastewater systems. Our customer relationships include states (e.g., Texas, Florida, California, Colorado, Washington, Illinois, New York, New Jersey and Georgia), cities, and Canadian provinces and territories (e.g., Ontario, British Columbia, Quebec, Nova Scotia, and Alberta), as well as transportation, and water and wastewater authorities. Our capabilities include technologies in long-span bridges, tunnels, building Information modeling, and water/wastewater treatment and conveyance.</w:t>
      </w:r>
    </w:p>
    <w:p>
      <w:pPr>
        <w:spacing w:after="0" w:line="69" w:lineRule="exact"/>
        <w:rPr>
          <w:rFonts w:ascii="Times New Roman" w:cs="Times New Roman" w:eastAsia="Times New Roman" w:hAnsi="Times New Roman"/>
          <w:sz w:val="18"/>
          <w:szCs w:val="18"/>
          <w:color w:val="auto"/>
        </w:rPr>
      </w:pPr>
    </w:p>
    <w:p>
      <w:pPr>
        <w:ind w:left="1540" w:right="420" w:hanging="514"/>
        <w:spacing w:after="0" w:line="274" w:lineRule="auto"/>
        <w:tabs>
          <w:tab w:leader="none" w:pos="154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Examples of our design capabilities are our role as the lead designer of the Tacoma Narrows Bridge, the largest twin tower suspension bridge in the world when it opened, lead designer for the new Goethals Bridge connecting Staten Island, NY and Elizabeth, NJ, and lead designer for the Federal Way rail extension for Sound Transit in Seattle.</w:t>
      </w:r>
    </w:p>
    <w:p>
      <w:pPr>
        <w:spacing w:after="0" w:line="45" w:lineRule="exact"/>
        <w:rPr>
          <w:rFonts w:ascii="Times New Roman" w:cs="Times New Roman" w:eastAsia="Times New Roman" w:hAnsi="Times New Roman"/>
          <w:sz w:val="17"/>
          <w:szCs w:val="17"/>
          <w:color w:val="auto"/>
        </w:rPr>
      </w:pPr>
    </w:p>
    <w:p>
      <w:pPr>
        <w:ind w:left="1540" w:right="40" w:hanging="514"/>
        <w:spacing w:after="0" w:line="243" w:lineRule="auto"/>
        <w:tabs>
          <w:tab w:leader="none" w:pos="154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For program management, we are the Owner’s Engineer for the Gordie Howe International Bridge between Windsor, Ontario and Detroit, Michigan, which will have the longest main span of any cable-stayed bridge in North America and Gateway, the new two-tube Hudson River Tunnel. In addition, we are the program manager for the California Delta Water Conveyance Modernization Project, a multi-billion environmentally compliant water transfer project to improve water supply sustainability and reliability for human and environmental uses.</w:t>
      </w:r>
    </w:p>
    <w:p>
      <w:pPr>
        <w:spacing w:after="0" w:line="71" w:lineRule="exact"/>
        <w:rPr>
          <w:rFonts w:ascii="Times New Roman" w:cs="Times New Roman" w:eastAsia="Times New Roman" w:hAnsi="Times New Roman"/>
          <w:sz w:val="18"/>
          <w:szCs w:val="18"/>
          <w:color w:val="auto"/>
        </w:rPr>
      </w:pPr>
    </w:p>
    <w:p>
      <w:pPr>
        <w:ind w:left="1020" w:right="28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INF- NA - Our INF-NA business unit also includes intelligent transportation systems, utilities, environmental remediation, emerging contaminants (including PFAS/PFOS), aviation, rail and transit, and ParsonsX, our enterprise digital transformation organization. Our customers include state and local governments, Fortune 100 companies, utility companies, smart city developers, and private sector infrastructure owners, such as the transportation authorities for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5" w:lineRule="exact"/>
        <w:rPr>
          <w:sz w:val="20"/>
          <w:szCs w:val="20"/>
          <w:color w:val="auto"/>
        </w:rPr>
      </w:pPr>
    </w:p>
    <w:p>
      <w:pPr>
        <w:ind w:left="503" w:right="100"/>
        <w:spacing w:after="0" w:line="247" w:lineRule="auto"/>
        <w:rPr>
          <w:sz w:val="20"/>
          <w:szCs w:val="20"/>
          <w:color w:val="auto"/>
        </w:rPr>
      </w:pPr>
      <w:r>
        <w:rPr>
          <w:rFonts w:ascii="Arial" w:cs="Arial" w:eastAsia="Arial" w:hAnsi="Arial"/>
          <w:sz w:val="18"/>
          <w:szCs w:val="18"/>
          <w:color w:val="auto"/>
        </w:rPr>
        <w:t>the cities of Los Angeles and New York, states and provinces, and rail and transit entities, including Amtrak, CSX, Metrolinx (Ontario Canada), and WMATA. Technology capabilities include AI/ML, cloud, digital twins, cyber, systems integration, intelligent transportation network software, vehicle inspection data analytics software, automated people mover, electric vehicle infrastructure, and autonomous vehicle integration.</w:t>
      </w:r>
    </w:p>
    <w:p>
      <w:pPr>
        <w:spacing w:after="0" w:line="66" w:lineRule="exact"/>
        <w:rPr>
          <w:sz w:val="20"/>
          <w:szCs w:val="20"/>
          <w:color w:val="auto"/>
        </w:rPr>
      </w:pPr>
    </w:p>
    <w:p>
      <w:pPr>
        <w:ind w:left="1023" w:right="100" w:hanging="514"/>
        <w:spacing w:after="0" w:line="246" w:lineRule="auto"/>
        <w:tabs>
          <w:tab w:leader="none" w:pos="1023"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Parsons provides integrated traffic solutions for arterials, smart intersections, airport landside, ports, and tolling integrators. An example is our role as provider of Advanced Traffic Management Systems, or ATMS, through our iNET™ platform. Since the first deployment in 2007, iNET® has been delivered to twenty-five state Departments of Transportation, twenty-four cities, eight county agencies, eight toll agencies, and seven different countries.</w:t>
      </w:r>
    </w:p>
    <w:p>
      <w:pPr>
        <w:spacing w:after="0" w:line="68" w:lineRule="exact"/>
        <w:rPr>
          <w:rFonts w:ascii="Times New Roman" w:cs="Times New Roman" w:eastAsia="Times New Roman" w:hAnsi="Times New Roman"/>
          <w:sz w:val="18"/>
          <w:szCs w:val="18"/>
          <w:color w:val="auto"/>
        </w:rPr>
      </w:pPr>
    </w:p>
    <w:p>
      <w:pPr>
        <w:ind w:left="1023" w:right="140" w:hanging="514"/>
        <w:spacing w:after="0" w:line="243" w:lineRule="auto"/>
        <w:tabs>
          <w:tab w:leader="none" w:pos="1023"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For aviation, we play a critical role in capital program delivery for global airports, having supported more than 450 airport projects. We are the program manager of the environmentally sensitive Diamond Head Extension Program at Honolulu International Airport, the Houston Airport System, and the Landside Access Modernization Program for Los Angeles International Airport; and we were lead designer on the award-winning Newark Airport Terminal A replacement project known as Terminal 1.</w:t>
      </w:r>
    </w:p>
    <w:p>
      <w:pPr>
        <w:spacing w:after="0" w:line="71" w:lineRule="exact"/>
        <w:rPr>
          <w:rFonts w:ascii="Times New Roman" w:cs="Times New Roman" w:eastAsia="Times New Roman" w:hAnsi="Times New Roman"/>
          <w:sz w:val="18"/>
          <w:szCs w:val="18"/>
          <w:color w:val="auto"/>
        </w:rPr>
      </w:pPr>
    </w:p>
    <w:p>
      <w:pPr>
        <w:ind w:left="1023" w:hanging="514"/>
        <w:spacing w:after="0" w:line="242" w:lineRule="auto"/>
        <w:tabs>
          <w:tab w:leader="none" w:pos="1023"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rail and transit capabilities include systems optimization, communications-based train control, track operations and maintenance facility, station, traction power, and rail system design and system assurance. We have more than six decades of experience in this market and have supported over 400 rail and transit customers. Key programs include Honolulu Authority for Rapid Transit, New York MTA Systems and Facility Engineering Services, and the Bay Area Rapid Transit Communications-Based Train Control. For our bus transit customers, we provide strategic fleet transition planning, zero-emission bus infrastructure design, and benefit-cost analyses to achieve a wide range of client goals.</w:t>
      </w:r>
    </w:p>
    <w:p>
      <w:pPr>
        <w:spacing w:after="0" w:line="69"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EMEA – Our EMEA business unit has a region-wide customer base in Europe, the Middle East and Africa, with a key focus on the Gulf Cooperation Council (GCC) states. Solutions and services include multi-disciplinary design, technical, and management solutions from project conceptualization to urban planning, landscape architecture, sewage treatment and drainage, events management, traffic management, defense and security program management, engineering and program management, utilizing state-of-the-art digital solutions and embedded sustainability concepts for enhanced delivery of large-scale and highly complex infrastructure assets. Our client base includes top tier public authorities and state-owned developers across different markets from city-scale developments to major city-wide infrastructure schemes.</w:t>
      </w:r>
    </w:p>
    <w:p>
      <w:pPr>
        <w:spacing w:after="0" w:line="75" w:lineRule="exact"/>
        <w:rPr>
          <w:rFonts w:ascii="Times New Roman" w:cs="Times New Roman" w:eastAsia="Times New Roman" w:hAnsi="Times New Roman"/>
          <w:sz w:val="18"/>
          <w:szCs w:val="18"/>
          <w:color w:val="auto"/>
        </w:rPr>
      </w:pPr>
    </w:p>
    <w:p>
      <w:pPr>
        <w:ind w:left="1023" w:right="200" w:hanging="514"/>
        <w:spacing w:after="0" w:line="245" w:lineRule="auto"/>
        <w:tabs>
          <w:tab w:leader="none" w:pos="1023"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extensive planning and design capabilities enable us to lead key infrastructure and development projects, including Dubai’s and Riyadh’s Integrated Traffic System design and operation to enable traffic optimization and efficiency, and transportation infrastructure projects to increase capacity and reduce congestion, Abu Dhabi’s Mid-Island Parkway connecting multiple islands for future sustainable developments, Green Riyadh landscape and infrastructure design for increased urban green space, and Denmark’s Banedanmark Rail Signaling Program to enable better centralized traffic control, energy optimization, and reduced delays.</w:t>
      </w:r>
    </w:p>
    <w:p>
      <w:pPr>
        <w:spacing w:after="0" w:line="67" w:lineRule="exact"/>
        <w:rPr>
          <w:rFonts w:ascii="Times New Roman" w:cs="Times New Roman" w:eastAsia="Times New Roman" w:hAnsi="Times New Roman"/>
          <w:sz w:val="18"/>
          <w:szCs w:val="18"/>
          <w:color w:val="auto"/>
        </w:rPr>
      </w:pPr>
    </w:p>
    <w:p>
      <w:pPr>
        <w:ind w:left="1023" w:right="80" w:hanging="514"/>
        <w:spacing w:after="0" w:line="242" w:lineRule="auto"/>
        <w:tabs>
          <w:tab w:leader="none" w:pos="1023"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Parsons has a long-standing program management legacy in the Middle East for infrastructure, mega cities, and urban development. We are part of the consortium Riyadh Metro Transit Consultants consortium responsible for program management of the Riyadh Metro – the world's longest fully driverless metro system, which successfully opened in 2024. We are currently the Delivery Partner for the King Salman International Airport (KSIA) airside and landside infrastructure, the world’s largest airport currently under development covering 57sgkm (22 sgm) with six runways to accommodate 185 million annual passengers by 2030, led the Dubai Strategic Sewage Network program to</w:t>
      </w:r>
    </w:p>
    <w:p>
      <w:pPr>
        <w:spacing w:after="0" w:line="200" w:lineRule="exact"/>
        <w:rPr>
          <w:sz w:val="20"/>
          <w:szCs w:val="20"/>
          <w:color w:val="auto"/>
        </w:rPr>
      </w:pPr>
    </w:p>
    <w:p>
      <w:pPr>
        <w:spacing w:after="0" w:line="207"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0" w:name="page11"/>
    <w:bookmarkEnd w:id="10"/>
    <w:p>
      <w:pPr>
        <w:spacing w:after="0" w:line="85" w:lineRule="exact"/>
        <w:rPr>
          <w:sz w:val="20"/>
          <w:szCs w:val="20"/>
          <w:color w:val="auto"/>
        </w:rPr>
      </w:pPr>
    </w:p>
    <w:p>
      <w:pPr>
        <w:ind w:left="1540" w:right="240"/>
        <w:spacing w:after="0" w:line="253" w:lineRule="auto"/>
        <w:rPr>
          <w:sz w:val="20"/>
          <w:szCs w:val="20"/>
          <w:color w:val="auto"/>
        </w:rPr>
      </w:pPr>
      <w:r>
        <w:rPr>
          <w:rFonts w:ascii="Arial" w:cs="Arial" w:eastAsia="Arial" w:hAnsi="Arial"/>
          <w:sz w:val="18"/>
          <w:szCs w:val="18"/>
          <w:color w:val="auto"/>
        </w:rPr>
        <w:t>increase capacity and sustainability, managed Lusail City Development the largest ever city development in Qatar, and provided program management of Riyadh’s King Abdullah Financial District prime business, hospitality and lifestyle destination.</w:t>
      </w:r>
    </w:p>
    <w:p>
      <w:pPr>
        <w:spacing w:after="0" w:line="61" w:lineRule="exact"/>
        <w:rPr>
          <w:sz w:val="20"/>
          <w:szCs w:val="20"/>
          <w:color w:val="auto"/>
        </w:rPr>
      </w:pPr>
    </w:p>
    <w:p>
      <w:pPr>
        <w:jc w:val="both"/>
        <w:ind w:left="1540" w:right="480" w:hanging="514"/>
        <w:spacing w:after="0" w:line="252" w:lineRule="auto"/>
        <w:tabs>
          <w:tab w:leader="none" w:pos="15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are members of various collaborative delivery models, including Delivery Partner on the KSIA mentioned above, Qiddiya destination city development near Riyadh and a team member on NEOM The Line sustainable city in Saudi Arabia</w:t>
      </w:r>
    </w:p>
    <w:p>
      <w:pPr>
        <w:spacing w:after="0" w:line="62" w:lineRule="exact"/>
        <w:rPr>
          <w:rFonts w:ascii="Times New Roman" w:cs="Times New Roman" w:eastAsia="Times New Roman" w:hAnsi="Times New Roman"/>
          <w:sz w:val="18"/>
          <w:szCs w:val="18"/>
          <w:color w:val="auto"/>
        </w:rPr>
      </w:pPr>
    </w:p>
    <w:p>
      <w:pPr>
        <w:ind w:left="1540" w:hanging="514"/>
        <w:spacing w:after="0" w:line="243" w:lineRule="auto"/>
        <w:tabs>
          <w:tab w:leader="none" w:pos="15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Parsons is considered a go-to service provider for successful and timely delivery of world events with fixed opening dates, including UAE’s World Expo 2020 for which Parsons provided site-wide infrastructure, landscape design, and construction supervision services; and for FIFA World Cup 2022, where services from metro systems delivery and transportation management planning to vehicle access strategies and design were provided to manage traffic and build resilient infrastructure for the mega sporting event.</w:t>
      </w:r>
    </w:p>
    <w:p>
      <w:pPr>
        <w:spacing w:after="0" w:line="71" w:lineRule="exact"/>
        <w:rPr>
          <w:rFonts w:ascii="Times New Roman" w:cs="Times New Roman" w:eastAsia="Times New Roman" w:hAnsi="Times New Roman"/>
          <w:sz w:val="18"/>
          <w:szCs w:val="18"/>
          <w:color w:val="auto"/>
        </w:rPr>
      </w:pPr>
    </w:p>
    <w:p>
      <w:pPr>
        <w:ind w:left="1540" w:right="520" w:hanging="514"/>
        <w:spacing w:after="0" w:line="252" w:lineRule="auto"/>
        <w:tabs>
          <w:tab w:leader="none" w:pos="15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team maintains a keen focus on innovative practices. As an example, we are integrating cutting-edge AI-driven design and construction supervision technologies across over 100 major GCC projects, enhancing efficiency and capabilities and driving much needed innovation in the construction industry.</w:t>
      </w:r>
    </w:p>
    <w:p>
      <w:pPr>
        <w:spacing w:after="0" w:line="76" w:lineRule="exact"/>
        <w:rPr>
          <w:rFonts w:ascii="Times New Roman" w:cs="Times New Roman" w:eastAsia="Times New Roman" w:hAnsi="Times New Roman"/>
          <w:sz w:val="18"/>
          <w:szCs w:val="18"/>
          <w:color w:val="auto"/>
        </w:rPr>
      </w:pPr>
    </w:p>
    <w:p>
      <w:pPr>
        <w:ind w:left="1540" w:right="120" w:hanging="514"/>
        <w:spacing w:after="0" w:line="238" w:lineRule="auto"/>
        <w:tabs>
          <w:tab w:leader="none" w:pos="15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Digital Solutions Lab applies tools developed in our Technology Advancement Group to provide digital solutions to our clients as an important and integral aspect of our technical offerings. Across our portfolio, Parsons is providing asset owners with relevant information across the full range of asset types to enable data driven management decisions and maximize ROI. We help clients optimize their lifecycle costs with a focus on O&amp;M, including the provision of O&amp;M planning and inspections on various roads and structures, including Dubai’s Shindagha Bridge, modeling the O&amp;M outlook for Dubai Municipality on its major Strategic Sewage Tunnel Program, managing O&amp;M strategy and implementation for urban development and infrastructure in Abu Dhabi with attainment of multiple Green Flag awards for parks and green spaces, and setting O&amp;M strategies for optimized asset operations for mega cities such as Qiddiya, NEOM, as well as our continued work on the Yanbu and Jazan industrial cities, where Parsons has been setting and implementing O&amp;M policies for over five decades.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Opportunities</w:t>
      </w:r>
    </w:p>
    <w:p>
      <w:pPr>
        <w:spacing w:after="0" w:line="10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Technology revolution, geopolitical events, regulatory changes, and environmental impacts are driving a swift pace of change, resulting in ongoing societal transformation, complicated global dynamics, and a shifting threat landscape. To address this evolving landscape, our customers are actively seeking technology-enabled solutions at the speed of relevancy to upgrade and transform assets and operations. The below trends are key growth drivers in both our Federal Solutions and Critical Infrastructure segments.</w:t>
      </w:r>
    </w:p>
    <w:p>
      <w:pPr>
        <w:spacing w:after="0" w:line="174"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b w:val="1"/>
          <w:bCs w:val="1"/>
          <w:i w:val="1"/>
          <w:iCs w:val="1"/>
          <w:color w:val="auto"/>
        </w:rPr>
        <w:t xml:space="preserve">Defense Spending Remains a Priority </w:t>
      </w:r>
      <w:r>
        <w:rPr>
          <w:rFonts w:ascii="Arial" w:cs="Arial" w:eastAsia="Arial" w:hAnsi="Arial"/>
          <w:sz w:val="18"/>
          <w:szCs w:val="18"/>
          <w:color w:val="auto"/>
        </w:rPr>
        <w:t>of the U.S. national agenda due to the reemergence of long-term strategic peer competition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continuance of domestic and international terrorism.. The near peer nation state reinvigoration has resulted in increased global disorder and a security environment, defined by rapid technological change. We believe the U.S. Department of War and Intelligence Community will continue to invest in cyber, space, artificial intelligence, electronic warfare, missile defense, and critical infrastructure protection. In addition, as a result of supporting ongoing war efforts, ammunition and munitions need to be replenished and the Army ammunition plants must be modernized to support this need.</w:t>
      </w:r>
    </w:p>
    <w:p>
      <w:pPr>
        <w:spacing w:after="0" w:line="17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b w:val="1"/>
          <w:bCs w:val="1"/>
          <w:i w:val="1"/>
          <w:iCs w:val="1"/>
          <w:color w:val="auto"/>
        </w:rPr>
        <w:t xml:space="preserve">Cyber is Mission Critical to U.S. National Security </w:t>
      </w:r>
      <w:r>
        <w:rPr>
          <w:rFonts w:ascii="Arial" w:cs="Arial" w:eastAsia="Arial" w:hAnsi="Arial"/>
          <w:sz w:val="18"/>
          <w:szCs w:val="18"/>
          <w:color w:val="auto"/>
        </w:rPr>
        <w:t>and cyber adversaries are increasing in volume and sophistication as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connectivity and the rise of social media have led to an explosion in the amount of available and exploitable data. Additionally, there has been an increase in aggressive nation state cyber activity. Attacks by cyber-criminals seeking financial gain are also growing in volume and sophistication. We believe that the cyber market will continue to grow in response to the nation state threat landscape and the vulnerabilities inherent in critical infrastructure. Our unique portfolio of Federal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Solutions and Critical Infrastructure provides the technical capabilities to detect and prevent cyberattacks along with the domain knowledge to understand how to secure infrastructure from threats. Additionally, the United States must remain on the leading edge of cyber operations, platforms and tool development.</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b w:val="1"/>
          <w:bCs w:val="1"/>
          <w:i w:val="1"/>
          <w:iCs w:val="1"/>
          <w:color w:val="auto"/>
        </w:rPr>
        <w:t xml:space="preserve">Consistent Need for Actionable Intelligence to Support U.S. Priorities </w:t>
      </w:r>
      <w:r>
        <w:rPr>
          <w:rFonts w:ascii="Arial" w:cs="Arial" w:eastAsia="Arial" w:hAnsi="Arial"/>
          <w:sz w:val="18"/>
          <w:szCs w:val="18"/>
          <w:color w:val="auto"/>
        </w:rPr>
        <w:t>is driving a shifting threat landscape that necessitates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need for collaboration and cooperation between intelligence agencies. There is a new demand for joint all-domain command and control systems that are optimized to function cohesively across a spectrum of domains. This in turn drives a need for sophisticated data analytics to aggregate data into useful formats in real-time. To respond, we believe the United States intelligence community and Department of War will need continued focus on information sharing and collaboration for improved intelligence accuracy and timeliness encompassing multiple forms of intelligence collection.</w:t>
      </w:r>
    </w:p>
    <w:p>
      <w:pPr>
        <w:spacing w:after="0" w:line="179"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b w:val="1"/>
          <w:bCs w:val="1"/>
          <w:i w:val="1"/>
          <w:iCs w:val="1"/>
          <w:color w:val="auto"/>
        </w:rPr>
        <w:t xml:space="preserve">Securing the border </w:t>
      </w:r>
      <w:r>
        <w:rPr>
          <w:rFonts w:ascii="Arial" w:cs="Arial" w:eastAsia="Arial" w:hAnsi="Arial"/>
          <w:sz w:val="18"/>
          <w:szCs w:val="18"/>
          <w:color w:val="auto"/>
        </w:rPr>
        <w:t>is a high priority for the Department of Homeland Security. This includes but is not limited to both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smart border walls, protection against unmanned air systems, and identity management. Additionally, the increased focus on the western hemisphere as outlined in the National Defense Strategy requires similar capabilities to support counter-drug efforts. Our proven and global border security capabilities include but are not limited to border security design, program management, prevention of weapons of mass destruction proliferation, counter nuclear smuggling detection and deterrence, security training, C-UAS, and identity management.</w:t>
      </w:r>
    </w:p>
    <w:p>
      <w:pPr>
        <w:spacing w:after="0" w:line="176" w:lineRule="exact"/>
        <w:rPr>
          <w:sz w:val="20"/>
          <w:szCs w:val="20"/>
          <w:color w:val="auto"/>
        </w:rPr>
      </w:pPr>
    </w:p>
    <w:p>
      <w:pPr>
        <w:ind w:right="520" w:firstLine="509"/>
        <w:spacing w:after="0" w:line="247" w:lineRule="auto"/>
        <w:rPr>
          <w:sz w:val="20"/>
          <w:szCs w:val="20"/>
          <w:color w:val="auto"/>
        </w:rPr>
      </w:pPr>
      <w:r>
        <w:rPr>
          <w:rFonts w:ascii="Arial" w:cs="Arial" w:eastAsia="Arial" w:hAnsi="Arial"/>
          <w:sz w:val="18"/>
          <w:szCs w:val="18"/>
          <w:b w:val="1"/>
          <w:bCs w:val="1"/>
          <w:i w:val="1"/>
          <w:iCs w:val="1"/>
          <w:color w:val="auto"/>
        </w:rPr>
        <w:t xml:space="preserve">Indo-Pacific Command (INDOPACOM) is the Department of War’s Priority Theater. </w:t>
      </w:r>
      <w:r>
        <w:rPr>
          <w:rFonts w:ascii="Arial" w:cs="Arial" w:eastAsia="Arial" w:hAnsi="Arial"/>
          <w:sz w:val="18"/>
          <w:szCs w:val="18"/>
          <w:color w:val="auto"/>
        </w:rPr>
        <w:t>The United States has an enduring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to uphold a free and open INDOPACOM region. This has become complicated due to inter-state strategic competition and increasingly complex security environment. The United States is focused on competing, deterring and winning in this environment to safeguard free and open international order.</w:t>
      </w:r>
    </w:p>
    <w:p>
      <w:pPr>
        <w:spacing w:after="0" w:line="160"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b w:val="1"/>
          <w:bCs w:val="1"/>
          <w:i w:val="1"/>
          <w:iCs w:val="1"/>
          <w:color w:val="auto"/>
        </w:rPr>
        <w:t xml:space="preserve">Golden Dome is a Key Program in Support of North America Homeland Defense. </w:t>
      </w:r>
      <w:r>
        <w:rPr>
          <w:rFonts w:ascii="Arial" w:cs="Arial" w:eastAsia="Arial" w:hAnsi="Arial"/>
          <w:sz w:val="18"/>
          <w:szCs w:val="18"/>
          <w:color w:val="auto"/>
        </w:rPr>
        <w:t>The Golden Dome program will accelerate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augment the delivery of ground and space-based capabilities to defend the Homeland against missiles, threats, drone attacks against major urban areas, and key installations. Parsons is well positioned to support Golden Dome through our MDA TEAMS Next program and Non-Kinetics Effects (NKE) capabilities across both Department of War and Intelligence customers, as well as our presence in both the United States and Canada.</w:t>
      </w:r>
    </w:p>
    <w:p>
      <w:pPr>
        <w:spacing w:after="0" w:line="176"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b w:val="1"/>
          <w:bCs w:val="1"/>
          <w:i w:val="1"/>
          <w:iCs w:val="1"/>
          <w:color w:val="auto"/>
        </w:rPr>
        <w:t>Global Infrastructure Demand Drives Need for Significant Replacements and Technology-Driven Upgrades</w:t>
      </w:r>
      <w:r>
        <w:rPr>
          <w:rFonts w:ascii="Arial" w:cs="Arial" w:eastAsia="Arial" w:hAnsi="Arial"/>
          <w:sz w:val="18"/>
          <w:szCs w:val="18"/>
          <w:color w:val="auto"/>
        </w:rPr>
        <w:t>.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is in need of upgrade throughout the world, driving unprecedented spending. Furthermore, modernized infrastructure is important to recover from unexpected disasters caused by climate events. The $1.2 trillion United States Infrastructure Investment and Jobs Act (IIJA) has increased funding for roads and highways, bridges, rail and transit, and aviation. Additionally, there is significant demand in other regions, including Canada and the Middle East. The Middle East has a planned spend that exceeds $1.8 trillion through 2030 and Canada has invested $140 billion through the Investing in Canada Plan launched in 2016 for a 12-year period. In particular, the Saudi Vision 2030 focus is driving major industrial city and urban development projects to meet economic diversification goals which drive both organic population growth and ambitious tourism, leisure, and entertainment development, while significant population inflows resulting Vision Plans are driving demand for infrastructure and urban development across the UAE. Critical infrastructure, specifically transportation infrastructure that is essential to national economic and security concerns, is also vulnerable to cyber threats. We believe that a focus on safety, security, sustainability and environmental impacts will continue to drive the replacement of aging infrastructure.</w:t>
      </w:r>
    </w:p>
    <w:p>
      <w:pPr>
        <w:spacing w:after="0" w:line="18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b w:val="1"/>
          <w:bCs w:val="1"/>
          <w:i w:val="1"/>
          <w:iCs w:val="1"/>
          <w:color w:val="auto"/>
        </w:rPr>
        <w:t>Per- and Polyfluoroalkyl Substances (PFAS) Remediation</w:t>
      </w:r>
      <w:r>
        <w:rPr>
          <w:rFonts w:ascii="Arial" w:cs="Arial" w:eastAsia="Arial" w:hAnsi="Arial"/>
          <w:sz w:val="18"/>
          <w:szCs w:val="18"/>
          <w:color w:val="auto"/>
        </w:rPr>
        <w:t>. PFAS are manufactured chemicals that have been used in industry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products since the 1940s. Scientific studies have shown that exposure to PFAS in the environment may be linked to harmful health effects in humans and animals. Therefore, there is a need to reduce PFAS in the environment – groundwater, soil, and surface water. The Environmental Protection Agency has taken actions, including $10 billion of funding to address emerging contaminants in the IIJA, issuing health advisories and proposing new, legally enforceable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Maximum Contaminant Levels for PFAS substances found in drinking water. Parsons has unique capabilities, expertise, experience, and patents to mitigate PFAS risks and liabilities for federal, state, and commercial customers.</w:t>
      </w:r>
    </w:p>
    <w:p>
      <w:pPr>
        <w:spacing w:after="0" w:line="154"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b w:val="1"/>
          <w:bCs w:val="1"/>
          <w:i w:val="1"/>
          <w:iCs w:val="1"/>
          <w:color w:val="auto"/>
        </w:rPr>
        <w:t>Urbanization Creates Demand for Smart Cities with Connected Populations</w:t>
      </w:r>
      <w:r>
        <w:rPr>
          <w:rFonts w:ascii="Arial" w:cs="Arial" w:eastAsia="Arial" w:hAnsi="Arial"/>
          <w:sz w:val="18"/>
          <w:szCs w:val="18"/>
          <w:color w:val="auto"/>
        </w:rPr>
        <w:t>. Cities around the globe increasingly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connected and more sustainable capabilities, such as sensor networks and communication strategies to connect traffic signals, security cameras, and emergency systems, to provide important real-time information and better serve their citizens and reduce carbon emissions. Integrated corridor management solutions, intelligent transportation systems, advanced rail systems, and updated telecommunication networks will keep cities around the world functioning as smart and sustainable cities and serve as engines for economic growth.</w:t>
      </w:r>
    </w:p>
    <w:p>
      <w:pPr>
        <w:spacing w:after="0" w:line="176"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i w:val="1"/>
          <w:iCs w:val="1"/>
          <w:color w:val="auto"/>
        </w:rPr>
        <w:t>Transformation of Legacy Service Delivery Models through Technology and Digital Transformation</w:t>
      </w:r>
      <w:r>
        <w:rPr>
          <w:rFonts w:ascii="Arial" w:cs="Arial" w:eastAsia="Arial" w:hAnsi="Arial"/>
          <w:sz w:val="18"/>
          <w:szCs w:val="18"/>
          <w:color w:val="auto"/>
        </w:rPr>
        <w:t>. Historical capital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is changing with the introduction of cloud-connected digital design, automation, big data, machine learning, and other technologies. The introduction of these new technologies allows future-focused industry participants to reimagine existing value chains, address integrated lifecycle objectives, assure human rights are observed in their supply chains, provide environmentally sensitive and sustainable solutions, boost productivity, and streamline project management. Professional services firms that have the capability to embrace these new technologies to enhance their capability and service offering to higher value solutions will be well positioned to assist governments and communities in their transformation.</w:t>
      </w:r>
    </w:p>
    <w:p>
      <w:pPr>
        <w:spacing w:after="0" w:line="185"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Change equals opportunity, and Parsons is well-positioned to serve a large array of global customers. We have a unique, complementary and diverse portfolio where we can capitalize on synergies. Across a broad set of industries and geographies, we provide smart and agile solutions that create the future for our national security and critical infrastructure customers as they adapt to the rapid expansion and changes of a more interconnected and technology-driven world.</w:t>
      </w:r>
    </w:p>
    <w:p>
      <w:pPr>
        <w:spacing w:after="0" w:line="282" w:lineRule="exact"/>
        <w:rPr>
          <w:sz w:val="20"/>
          <w:szCs w:val="20"/>
          <w:color w:val="auto"/>
        </w:rPr>
      </w:pPr>
    </w:p>
    <w:p>
      <w:pPr>
        <w:jc w:val="right"/>
        <w:ind w:right="8920"/>
        <w:spacing w:after="0"/>
        <w:rPr>
          <w:sz w:val="20"/>
          <w:szCs w:val="20"/>
          <w:color w:val="auto"/>
        </w:rPr>
      </w:pPr>
      <w:r>
        <w:rPr>
          <w:rFonts w:ascii="Arial" w:cs="Arial" w:eastAsia="Arial" w:hAnsi="Arial"/>
          <w:sz w:val="18"/>
          <w:szCs w:val="18"/>
          <w:b w:val="1"/>
          <w:bCs w:val="1"/>
          <w:color w:val="auto"/>
        </w:rPr>
        <w:t>Our Competitive Strengths</w:t>
      </w:r>
    </w:p>
    <w:p>
      <w:pPr>
        <w:spacing w:after="0" w:line="106" w:lineRule="exact"/>
        <w:rPr>
          <w:sz w:val="20"/>
          <w:szCs w:val="20"/>
          <w:color w:val="auto"/>
        </w:rPr>
      </w:pPr>
    </w:p>
    <w:p>
      <w:pPr>
        <w:jc w:val="right"/>
        <w:ind w:right="8900"/>
        <w:spacing w:after="0"/>
        <w:rPr>
          <w:sz w:val="20"/>
          <w:szCs w:val="20"/>
          <w:color w:val="auto"/>
        </w:rPr>
      </w:pPr>
      <w:r>
        <w:rPr>
          <w:rFonts w:ascii="Arial" w:cs="Arial" w:eastAsia="Arial" w:hAnsi="Arial"/>
          <w:sz w:val="18"/>
          <w:szCs w:val="18"/>
          <w:b w:val="1"/>
          <w:bCs w:val="1"/>
          <w:i w:val="1"/>
          <w:iCs w:val="1"/>
          <w:color w:val="auto"/>
        </w:rPr>
        <w:t>Proven Track Record</w:t>
      </w:r>
    </w:p>
    <w:p>
      <w:pPr>
        <w:spacing w:after="0" w:line="102"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Our proven track record is a result of our strong performance, the dedication of our employees, and our longstanding customer relationships. We focus on being a company that delivers on its promises, holds integrity at the highest level and successfully assists our clients as they execute their most complex missions. Driven by our integrated people, processes and technology approach, we have a reputation for innovation and delivering mission outcomes for our customers’ most important endeavors.</w:t>
      </w:r>
    </w:p>
    <w:p>
      <w:pPr>
        <w:spacing w:after="0" w:line="17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differentiated business model and ability to move up the value chain and win larger programs, has driven high win rates with strong book-to-bill, leading organic revenue growth, expanded bottom line performance, and low capital requirements. We achieved average award and incentive fees of 93% in fiscal 2025, 86% in fiscal 2024 and 92% in fiscal 2023. Incentive fees are fees earned for achievement of certain performance criteria included in our contracts, such as achievement of target completion dates or target costs, and our incentive fees average is calculated as the actual incentive fees achieved as a percentage of incentive fees expected to be earned in the applicable period. In addition, we achieved a win rate of 61% in fiscal 2025, 72% in fiscal 2024 and 66% in fiscal 2023. Our re-compete win rate was 99.6% in fiscal 2025, 84% in fiscal 2024 and 93% in fiscal 2023. In fiscal 2025, our Federal Solutions revenues decreased 20% and our Critical Infrastructure revenues increased 15% year-over-year. As of December 31, 2025, our backlog was $8.7 billion, an decrease of 2% from year end fiscal 2024.</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Long-Term Customer Relationships</w:t>
      </w:r>
    </w:p>
    <w:p>
      <w:pPr>
        <w:spacing w:after="0" w:line="10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maintain long-term relationships with key government and commercial customers, many of which span over 40 years. For example, in the Federal Solutions segment, the Parson's team have been providing support to the Missile Defense Agency for nearly 40 years with approximately 1,000 personnel embedded with the customer. We have provided services to the Department of Energy (DOE) for over 50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years on a variety of projects, including work on DOE’s National Nuclear Security Agency program and have provided over 20 years of support to the United States Space Force and predecessor organizations. In the Critical Infrastructure segment, we have supported the Washington Metropolitan Area Transit Authority for over 50 years and have served as Program Manager for Yanbu Industrial City for nearly 50 years.</w:t>
      </w:r>
    </w:p>
    <w:p>
      <w:pPr>
        <w:spacing w:after="0" w:line="1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longstanding relationships give us the insight and customer intimacy to align our research and development investments based on customer needs and enable high win rates for prime contract positions on the most technically demanding assignments. We believe that our position as a recognized leader in integrity, innovation, operational efficiency, safety and security, environmental and health, and our ability to deliver exceptional quality, has resulted in a high level of re-compete wins and has driven substantial customer loyalty. Our six core markets, including cyber and electronic warfare, space and missile defense, critical infrastructure protection, transportation, water and environment and urban development require leading-edge technologies and extensive technical know-how, and necessitate consistently exceptional performance, thus further entrenching us with our key customers and driving our long-term relationships.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1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Technology and our people are our most important assets, together they underpin our ability to consistently deliver for our customers. Investment in key technological capabilities is core to our business and helps us to stay at the forefront of the evolving trends across our end markets. To meet the challenges of tomorrow, we are focusing our technology investment in areas including artificial intelligence and machine learning; digital transformation; space, cyber and electronic warfare; assured position navigation and timing; emerging contaminant remediation; and quantum computing. The work of our collaborative, highly skilled and dedicated employees has enabled our long track record of continued innovation and execution on behalf of our customers. Our team of engineers, scientists, programmers and other specialists include PhDs and certified hackers, and over 4,400 of our skilled workforce hold government security clearances, which provides a competitive advantage for the highly technical and demanding work we perform. Our dual technical career path and Technical Fellows program enable retention and development of our strong technical talent.</w:t>
      </w:r>
    </w:p>
    <w:p>
      <w:pPr>
        <w:spacing w:after="0" w:line="18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Leveraging our agile innovation framework and a cadre of seasoned domain experts, solutions architects, and technologists, we seek customer challenges and lead with innovative solutions to drive growth. Additionally, through our acquisitions, we continue to enhance our overall capability offerings in innovative ways, providing more robust solutions that meet our customers’ most challenging needs.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Environmental Sustainability and Resiliency Excellence</w:t>
      </w:r>
    </w:p>
    <w:p>
      <w:pPr>
        <w:spacing w:after="0" w:line="102"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Delivering a safer, healthier and more connected world means a focus on environmental sustainability and resilience. For Parsons, sustainability is a core value. We provide services to plan, design and support complex sustainable projects for our customers across the markets we serve, including transportation (aviation, rail and transit, intelligent transportation systems), ports, buildings, environmental remediation, and water/wastewater treatment.</w:t>
      </w:r>
    </w:p>
    <w:p>
      <w:pPr>
        <w:spacing w:after="0" w:line="174"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We are committed to implementing efficient strategies in our corporate operations, cultivating an internal culture of sustainability, and fostering continuous improvement. As of the end of 2025, our employees held 288 sustainability-related credentials (such as LEED APs, Envision SPs, Certified Energy Managers and Pearl Qualified Professionals), underpinning our ability to deliver environmentally sound, sustainable, and resilient solutions for infrastructure, defense, security, and construction clients. Our environmental experts are also on the leading edge of developing innovative remediation approaches for emerging contaminants.</w:t>
      </w:r>
    </w:p>
    <w:p>
      <w:pPr>
        <w:spacing w:after="0" w:line="17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We have obtained LEED certifications of transit and aviation facilities with customers in the United States, United Arab Emirates, and the Kingdom of Saudi Arabia.</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 w:name="page15"/>
    <w:bookmarkEnd w:id="14"/>
    <w:p>
      <w:pPr>
        <w:spacing w:after="0" w:line="193" w:lineRule="exact"/>
        <w:rPr>
          <w:sz w:val="20"/>
          <w:szCs w:val="20"/>
          <w:color w:val="auto"/>
        </w:rPr>
      </w:pPr>
    </w:p>
    <w:p>
      <w:pPr>
        <w:ind w:right="260" w:firstLine="509"/>
        <w:spacing w:after="0" w:line="275" w:lineRule="auto"/>
        <w:rPr>
          <w:sz w:val="20"/>
          <w:szCs w:val="20"/>
          <w:color w:val="auto"/>
        </w:rPr>
      </w:pPr>
      <w:r>
        <w:rPr>
          <w:rFonts w:ascii="Arial" w:cs="Arial" w:eastAsia="Arial" w:hAnsi="Arial"/>
          <w:sz w:val="17"/>
          <w:szCs w:val="17"/>
          <w:color w:val="auto"/>
        </w:rPr>
        <w:t>The Corporate Governance and Responsibility Committee of our Board of Directors provides oversight of environmental, social and governance, including climate-related topics, and the Audit and Risk Committee provides oversight of our enterprise risk management program, including climate-related risks. Our Chief Executive Officer holds overall executive-level responsibility for these matters.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Scalable and Agile Business Offerings</w:t>
      </w:r>
    </w:p>
    <w:p>
      <w:pPr>
        <w:spacing w:after="0" w:line="10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scalable and agile offerings enable us to satisfy robust and evolving customer needs. The demanding environments where we operate are characterized by a need for high-confidence solutions, widespread application and mission critical outcomes. We pride ourselves on providing agile technologies through inventive and refined processes that provide quality outcomes to our customers on time sensitive projects. Our domain knowledge of our customers’ current and emerging requirements enables us to deliver responsive, high-quality solutions on time and with operational relevance. By having the ability to respond to customers’ requirements with global deployment capability, we are well positioned to be the preferred contractor for many of our customers’ needs.</w:t>
      </w:r>
    </w:p>
    <w:p>
      <w:pPr>
        <w:spacing w:after="0" w:line="179" w:lineRule="exact"/>
        <w:rPr>
          <w:sz w:val="20"/>
          <w:szCs w:val="20"/>
          <w:color w:val="auto"/>
        </w:rPr>
      </w:pPr>
    </w:p>
    <w:p>
      <w:pPr>
        <w:jc w:val="both"/>
        <w:ind w:right="320" w:firstLine="509"/>
        <w:spacing w:after="0" w:line="253" w:lineRule="auto"/>
        <w:rPr>
          <w:sz w:val="20"/>
          <w:szCs w:val="20"/>
          <w:color w:val="auto"/>
        </w:rPr>
      </w:pPr>
      <w:r>
        <w:rPr>
          <w:rFonts w:ascii="Arial" w:cs="Arial" w:eastAsia="Arial" w:hAnsi="Arial"/>
          <w:sz w:val="18"/>
          <w:szCs w:val="18"/>
          <w:color w:val="auto"/>
        </w:rPr>
        <w:t>Our technologies and platforms are designed to be applicable across end user markets and sub-markets. This approach allows for scalable solutions that can be quickly and seamlessly integrated into multiple customer applications, regardless of geography or industry, allowing us to deploy a given service or platform across multiple markets.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World Class Talent</w:t>
      </w:r>
    </w:p>
    <w:p>
      <w:pPr>
        <w:spacing w:after="0" w:line="10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aim to be the employer of choice for top talent in every market that we serve by fostering a positive culture for employee engagement; emphasizing health and wellbeing for all employees; and encouraging career development at all levels of the organization. Our success is measured by our business performance, by the enthusiasm of our employees, and by our commitment to our employees’ growth. We strive to be a destination employer that attracts, retains and develops our workforce. As a testament to our employee engagement, in 2025 we had a record year for employee retention.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Demonstrated Ability to Identify and Execute Acquisitions to Transform our Business</w:t>
      </w:r>
    </w:p>
    <w:p>
      <w:pPr>
        <w:spacing w:after="0" w:line="102"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Strategic acquisitions that augment our technology offerings and capabilities are a key tenet of our growth strategy. From the beginning of 2017 through the end of 2025, we have completed sixteen strategic acquisitions. In 2025 we acquired one company within Federal Solutions (CTI), and two within Critical Infrastructure (Applied Sciences and TRS Group). We seek companies that meet our strict financial criteria and have a similar mission-focused culture. These acquisitions include:</w:t>
      </w:r>
    </w:p>
    <w:p>
      <w:pPr>
        <w:spacing w:after="0" w:line="66" w:lineRule="exact"/>
        <w:rPr>
          <w:sz w:val="20"/>
          <w:szCs w:val="20"/>
          <w:color w:val="auto"/>
        </w:rPr>
      </w:pPr>
    </w:p>
    <w:p>
      <w:pPr>
        <w:ind w:left="1020" w:right="60" w:hanging="503"/>
        <w:spacing w:after="0" w:line="243"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Applied Sciences Consulting, Inc.: Acquired October 1, 2025, at a purchase price of $28.1 million. Applied Sciences is a Florida based engineering firm that specializes in water and stormwater solutions for cities, counties, and water management districts across the state. Applied Sciences works closely with agencies across Florida to deliver solutions that protect and advance the region’s water infrastructure resilience. This acquisition expands Parsons’ water expertise and strengthens its presence in Florida and water is our most profitable and fastest-growing market within Infrastructure North America..</w:t>
      </w:r>
    </w:p>
    <w:p>
      <w:pPr>
        <w:spacing w:after="0" w:line="71"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Chesapeake Technology International Corp. (CTI): Acquired July 1, 2025, for a purchase price of $91.5 million. CTI strengthens Parsons’ defense customer posture with Special Operations forces and enhances Parsons’ position in the INDOPACOM area of operations. CTI brings extensive capabilities as an all-domain technology solutions provider, powered by cutting-edge products that enhance the warfighters’ ability to sense, evaluate and deliver effects within the invisible battle spaces. These capabilities are critical for modern warfare and align with the new administration’s spending priorities.</w:t>
      </w:r>
    </w:p>
    <w:p>
      <w:pPr>
        <w:spacing w:after="0" w:line="71" w:lineRule="exact"/>
        <w:rPr>
          <w:rFonts w:ascii="Times New Roman" w:cs="Times New Roman" w:eastAsia="Times New Roman" w:hAnsi="Times New Roman"/>
          <w:sz w:val="18"/>
          <w:szCs w:val="18"/>
          <w:color w:val="auto"/>
        </w:rPr>
      </w:pPr>
    </w:p>
    <w:p>
      <w:pPr>
        <w:ind w:left="1020" w:right="60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TRS Group, Inc.: Acquired January 31, 2025, for a purchase price of $36.6 million. TRS is an industry leader in per and polyfluoroalkyl substances (PFAS), thermal, and holistic environmental remediation, having cleaned hazardous and toxic substances from soil,</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85" w:lineRule="exact"/>
        <w:rPr>
          <w:sz w:val="20"/>
          <w:szCs w:val="20"/>
          <w:color w:val="auto"/>
        </w:rPr>
      </w:pPr>
    </w:p>
    <w:p>
      <w:pPr>
        <w:ind w:left="503" w:right="140"/>
        <w:spacing w:after="0" w:line="253" w:lineRule="auto"/>
        <w:rPr>
          <w:sz w:val="20"/>
          <w:szCs w:val="20"/>
          <w:color w:val="auto"/>
        </w:rPr>
      </w:pPr>
      <w:r>
        <w:rPr>
          <w:rFonts w:ascii="Arial" w:cs="Arial" w:eastAsia="Arial" w:hAnsi="Arial"/>
          <w:sz w:val="18"/>
          <w:szCs w:val="18"/>
          <w:color w:val="auto"/>
        </w:rPr>
        <w:t>groundwater, and fire suppression systems for global clients. TRS has successfully completed more than 160 in situ thermal remediation projects, establishing itself as a proven operator in treating volatile and semi-volatile organic compounds, including PFAS, energetics, and pesticides, in soil, groundwater and bedrock.</w:t>
      </w:r>
    </w:p>
    <w:p>
      <w:pPr>
        <w:spacing w:after="0" w:line="61" w:lineRule="exact"/>
        <w:rPr>
          <w:sz w:val="20"/>
          <w:szCs w:val="20"/>
          <w:color w:val="auto"/>
        </w:rPr>
      </w:pPr>
    </w:p>
    <w:p>
      <w:pPr>
        <w:ind w:left="503" w:hanging="503"/>
        <w:spacing w:after="0" w:line="243" w:lineRule="auto"/>
        <w:tabs>
          <w:tab w:leader="none" w:pos="503"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BCC Engineering, LLC: Acquired November 1, 2024, at a purchase price of $233.5 million.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an area where the Infrastructure Investment and Jobs Act (IIJA) provided approximately $100 billion in Federal Highway Administration dollars for fiscal years 2022 through 2026.</w:t>
      </w:r>
    </w:p>
    <w:p>
      <w:pPr>
        <w:spacing w:after="0" w:line="71" w:lineRule="exact"/>
        <w:rPr>
          <w:rFonts w:ascii="Times New Roman" w:cs="Times New Roman" w:eastAsia="Times New Roman" w:hAnsi="Times New Roman"/>
          <w:sz w:val="18"/>
          <w:szCs w:val="18"/>
          <w:color w:val="auto"/>
        </w:rPr>
      </w:pPr>
    </w:p>
    <w:p>
      <w:pPr>
        <w:ind w:left="503" w:right="100" w:hanging="503"/>
        <w:spacing w:after="0" w:line="259" w:lineRule="auto"/>
        <w:tabs>
          <w:tab w:leader="none" w:pos="503"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BlackSignal Technologies, LLC: Acquired August 16, 2024, at a purchase price of $203.7 million. BlackSignal is a next-generation provider built to counter near peer threats. This acquisition expands Parsons’ customer base across the Department of War and Intelligence Community and significantly strengthens Parsons’ positioning with full-spectrum cyber and electronic warfare, while adding new capabilities in the counterspace radio frequency domain – markets anticipated to grow more than 10% annually with double digit margin expectations. BlackSignal uses artificial intelligence and machine learning to create innovative signal processing techniques that detect and disrupt difficult to access command and control systems and platforms.</w:t>
      </w:r>
    </w:p>
    <w:p>
      <w:pPr>
        <w:spacing w:after="0" w:line="56" w:lineRule="exact"/>
        <w:rPr>
          <w:rFonts w:ascii="Times New Roman" w:cs="Times New Roman" w:eastAsia="Times New Roman" w:hAnsi="Times New Roman"/>
          <w:sz w:val="17"/>
          <w:szCs w:val="17"/>
          <w:color w:val="auto"/>
        </w:rPr>
      </w:pPr>
    </w:p>
    <w:p>
      <w:pPr>
        <w:ind w:left="503" w:right="40" w:hanging="503"/>
        <w:spacing w:after="0" w:line="246" w:lineRule="auto"/>
        <w:tabs>
          <w:tab w:leader="none" w:pos="503"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I.S. Engineers, LLC: Acquired on October 31, 2023 for a purchase price of $12.2 million. I.S. Engineers is a full-service consulting engineering firm which specializes in transportation engineering, including roads and highways, and program management located in Texas. Texas is poised to receive nearly $30 billion in total transportation funding from the Infrastructure Investment and Jobs Act between 2022 and 2026.</w:t>
      </w:r>
    </w:p>
    <w:p>
      <w:pPr>
        <w:spacing w:after="0" w:line="68" w:lineRule="exact"/>
        <w:rPr>
          <w:rFonts w:ascii="Times New Roman" w:cs="Times New Roman" w:eastAsia="Times New Roman" w:hAnsi="Times New Roman"/>
          <w:sz w:val="18"/>
          <w:szCs w:val="18"/>
          <w:color w:val="auto"/>
        </w:rPr>
      </w:pPr>
    </w:p>
    <w:p>
      <w:pPr>
        <w:ind w:left="503" w:right="40" w:hanging="503"/>
        <w:spacing w:after="0" w:line="243" w:lineRule="auto"/>
        <w:tabs>
          <w:tab w:leader="none" w:pos="503"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Sealing Technologies, Inc.: Acquired on August 23, 2023 for a purchase price of $176.0 million. SealingTech expands Parsons’ customer base across the Department of War and Intelligence Communities and further enhances Parsons’ capabilities in defensive cyber operations; integrated mission-solutions powered by artificial intelligence (AI) and machine learning (ML); edge computing and edge access modernization; critical infrastructure protection, and secure data management that protects national security.</w:t>
      </w:r>
    </w:p>
    <w:p>
      <w:pPr>
        <w:spacing w:after="0" w:line="71" w:lineRule="exact"/>
        <w:rPr>
          <w:rFonts w:ascii="Times New Roman" w:cs="Times New Roman" w:eastAsia="Times New Roman" w:hAnsi="Times New Roman"/>
          <w:sz w:val="18"/>
          <w:szCs w:val="18"/>
          <w:color w:val="auto"/>
        </w:rPr>
      </w:pPr>
    </w:p>
    <w:p>
      <w:pPr>
        <w:ind w:left="503" w:hanging="503"/>
        <w:spacing w:after="0" w:line="243" w:lineRule="auto"/>
        <w:tabs>
          <w:tab w:leader="none" w:pos="503"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IPKeys Power Partners, Inc.: Acquired on April 13, 2023 for a total purchase price of $43.0 million. IPKeys enhances Parsons’ critical infrastructure protection capabilities through comprehensive cloud-based cybersecurity, software solutions that operate at the intersection of information and operational technology (IT and OT), and technologies that will help accelerate the global clean energy transition. This acquisition expands Parsons’ presence in two rapidly growing end markets: grid modernization and cyber resiliency for critical infrastructure.</w:t>
      </w:r>
    </w:p>
    <w:p>
      <w:pPr>
        <w:spacing w:after="0" w:line="71" w:lineRule="exact"/>
        <w:rPr>
          <w:rFonts w:ascii="Times New Roman" w:cs="Times New Roman" w:eastAsia="Times New Roman" w:hAnsi="Times New Roman"/>
          <w:sz w:val="18"/>
          <w:szCs w:val="18"/>
          <w:color w:val="auto"/>
        </w:rPr>
      </w:pPr>
    </w:p>
    <w:p>
      <w:pPr>
        <w:ind w:left="503" w:right="40" w:hanging="503"/>
        <w:spacing w:after="0" w:line="242" w:lineRule="auto"/>
        <w:tabs>
          <w:tab w:leader="none" w:pos="503"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Xator Corporation: Acquired on May 31, 2022 at a purchase price of $387.5 million. Xator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w:t>
      </w:r>
    </w:p>
    <w:p>
      <w:pPr>
        <w:spacing w:after="0" w:line="69" w:lineRule="exact"/>
        <w:rPr>
          <w:rFonts w:ascii="Times New Roman" w:cs="Times New Roman" w:eastAsia="Times New Roman" w:hAnsi="Times New Roman"/>
          <w:sz w:val="18"/>
          <w:szCs w:val="18"/>
          <w:color w:val="auto"/>
        </w:rPr>
      </w:pPr>
    </w:p>
    <w:p>
      <w:pPr>
        <w:ind w:left="503" w:right="140" w:hanging="503"/>
        <w:spacing w:after="0" w:line="252" w:lineRule="auto"/>
        <w:tabs>
          <w:tab w:leader="none" w:pos="503"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Echo Ridge LLC: Acquired on July 30, 2021 at a purchase price of $9 million. Echo Ridge adds position, navigation, and timing devices; modeling simulation, test and measurement tools; and deployable software defined radio products and signal processing services to Parsons’ space portfolio.</w:t>
      </w:r>
    </w:p>
    <w:p>
      <w:pPr>
        <w:spacing w:after="0" w:line="400"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6" w:name="page17"/>
    <w:bookmarkEnd w:id="16"/>
    <w:p>
      <w:pPr>
        <w:spacing w:after="0" w:line="85" w:lineRule="exact"/>
        <w:rPr>
          <w:sz w:val="20"/>
          <w:szCs w:val="20"/>
          <w:color w:val="auto"/>
        </w:rPr>
      </w:pPr>
    </w:p>
    <w:p>
      <w:pPr>
        <w:ind w:left="1020" w:right="60" w:hanging="503"/>
        <w:spacing w:after="0" w:line="24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BlackHorse Solutions, Inc.: Acquired July 6, 2021 at a purchase price of $205.0 million. Black Horse expands Parsons’ capabilities and products in next-generation military, intelligence, and space operations, specifically in cyber, electronic warfare, and information dominance. Black Horse’s technology is shaping the future of information dominance and converged military operations by unifying cyber, electromagnetic warfare, and information operations for the Department of War and Intelligence Community customers. The company also provides autonomous and distributed detection, identification, exploitation and the defeat of today’s most complex communications.</w:t>
      </w:r>
    </w:p>
    <w:p>
      <w:pPr>
        <w:spacing w:after="0" w:line="69" w:lineRule="exact"/>
        <w:rPr>
          <w:rFonts w:ascii="Times New Roman" w:cs="Times New Roman" w:eastAsia="Times New Roman" w:hAnsi="Times New Roman"/>
          <w:sz w:val="18"/>
          <w:szCs w:val="18"/>
          <w:color w:val="auto"/>
        </w:rPr>
      </w:pPr>
    </w:p>
    <w:p>
      <w:pPr>
        <w:ind w:left="1020" w:right="140" w:hanging="503"/>
        <w:spacing w:after="0" w:line="243"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Braxton Science and Technology Group, LLC: Acquired in November 2020 at a purchase price of $310.9 million ($267 million less the tax asset), Braxton operates at the forefront of satellite operations, ground automation, flight dynamics, and spacecraft antenna simulation for the U.S. Department of War and Intelligence Community. These capabilities position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71" w:lineRule="exact"/>
        <w:rPr>
          <w:rFonts w:ascii="Times New Roman" w:cs="Times New Roman" w:eastAsia="Times New Roman" w:hAnsi="Times New Roman"/>
          <w:sz w:val="18"/>
          <w:szCs w:val="18"/>
          <w:color w:val="auto"/>
        </w:rPr>
      </w:pPr>
    </w:p>
    <w:p>
      <w:pPr>
        <w:ind w:left="1020" w:right="60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QRC® Technologies: Acquired in 2019 at a purchase price of $214.1 million, QRC® Technologies is a disruptive product company that provides design and development of open-architecture radio-frequency products.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33"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OGSystems: Acquired in 2019 at a purchase price of $292.4 million, OGSystems is a disruptive geo-intelligence solutions and immersive engineering provider that creates technology solutions for the United States intelligence community and the U.S. Department of War. OGSystems’ VIPER Labs and Immersive Engineering techniques serve as the catalysts for deployment of geospatial systems and software, embedded system threat analytics and cloud engineering solutions. OGSystems’ advanced hardware solutions include the PeARL</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family of sensors, combining industry-leading camera and optic lens technologies with our software solutions, yielding very high resolution 2D and 3D aerial imagery.</w:t>
      </w:r>
    </w:p>
    <w:p>
      <w:pPr>
        <w:spacing w:after="0" w:line="76" w:lineRule="exact"/>
        <w:rPr>
          <w:rFonts w:ascii="Times New Roman" w:cs="Times New Roman" w:eastAsia="Times New Roman" w:hAnsi="Times New Roman"/>
          <w:sz w:val="18"/>
          <w:szCs w:val="18"/>
          <w:color w:val="auto"/>
        </w:rPr>
      </w:pPr>
    </w:p>
    <w:p>
      <w:pPr>
        <w:ind w:left="1020" w:right="540" w:hanging="503"/>
        <w:spacing w:after="0" w:line="24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Polaris Alpha</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2018 at a purchase price of $489.1 million, Polaris Alpha is an advanced, technology-focused provider of innovative mission solutions for national security, intelligence, defense and other U.S. federal customers. With leading technologies in artificial intelligence/machine learning, cloud computing, command and control and data analytics, Polaris Alpha has long-term customer relationships and is known as a technology disruptor.</w:t>
      </w:r>
    </w:p>
    <w:p>
      <w:pPr>
        <w:spacing w:after="0" w:line="68" w:lineRule="exact"/>
        <w:rPr>
          <w:rFonts w:ascii="Times New Roman" w:cs="Times New Roman" w:eastAsia="Times New Roman" w:hAnsi="Times New Roman"/>
          <w:sz w:val="18"/>
          <w:szCs w:val="18"/>
          <w:color w:val="auto"/>
        </w:rPr>
      </w:pPr>
    </w:p>
    <w:p>
      <w:pPr>
        <w:ind w:left="1020" w:right="42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Williams Electric</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2017 for a purchase price of $26.4 million. Williams Electric provides industrial control system security, including utility monitoring systems and electronic support systems for customers, including the Army Corps of Engineers and the Smithsonian Institute.</w:t>
      </w:r>
    </w:p>
    <w:p>
      <w:pPr>
        <w:spacing w:after="0" w:line="17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maintain a robust acquisition pipeline and are continually evaluating potential opportunities for disciplined growth by acquisition to further transform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Growth</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growth strategy is to create the future of national security and critical infrastructure, while moving up the value chain as a solutions integrator and software provider. The future is full of possibility, and the defense, security, and critical infrastructure markets are where we can collectively shape what tomorrow will look like.</w:t>
      </w:r>
    </w:p>
    <w:p>
      <w:pPr>
        <w:spacing w:after="0" w:line="169"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In a complex security environment with adversaries challenging on every domain and an economy driven by digital transformation, Parsons leverages innovative technologies to deliver integrated solutions at the speed of relevance. Our global integrated solutions span all domains (sea, land, air, space and cyber), ensuring information dominance and smart, sustainable infrastructure.</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To create the future, we focus on people-first, “get-to-yes”, and having top positions in high-growth, sustainable and profitable markets. This focus includes hiring, retaining, and developing our employees,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continually enhancing and optimizing our core business processes, resourcing and capitalizing on our high-growth markets and acquiring and integrating companies that possess transformative and disruptive technologies.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First</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Driven by our people-first and high-purpose culture, we recognize that our people are key to our success in developing and delivering the technology and solutions to support our customers’ critical missions. Our most important asset is our team of talented employees, over 21,000 as of December 31, 2025, who are committed and passionate experts critical to delivering leading capabilities and whose expertise is sought by our clients for their most sophisticated applications and challenges. Our employees choose Parsons and stay with us for the opportunity to collaborate with our customers, deploy our expansive technical resources, rapidly bring bold ideas to market and work on leading solutions to enable a better world. Our management team has extensive experience executing strategies for delivering profitable growth and is recognized for operational excellence and leadership integrity. They have strong leadership capabilities in the markets we serve and the solutions and technology we deliver. Most importantly, we strive to give our employees and managers the best possible employee experience throughout their careers with Parsons.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committed to attracting, retaining, and developing an experienced workforce by having a:</w:t>
      </w:r>
    </w:p>
    <w:p>
      <w:pPr>
        <w:spacing w:after="0" w:line="10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Culture of employee engagement at all organizational levels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Work environment that promotes training, mentoring, and career development planning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Differentiated benefits program, including flexible work hours, remote work options, and an employee stock ownership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Dual technical career path that leads to positions as Chief Technology Officer and/or Technical Fellow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“Parsons Gives Back” program to support our communities and promote volunteering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Global hiring strategy outside of high-employment zones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Robust university relations and intern program to help shape the next generation of leaders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Internal mobility program that supports employee growth, career development and retention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“Get to Yes”</w:t>
      </w:r>
    </w:p>
    <w:p>
      <w:pPr>
        <w:spacing w:after="0" w:line="104"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By “getting to yes”, we enable the delivery of agile, innovative, and transformative solutions to our customers. This is increasingly important as our federal customers seek to reform their acquisition processes and make them more commercial. As a company that operates in both federal and commercial spaces, we align with this approach. We seek to enhance and optimize our core business and improve our financial performance, including revenue growth, margin expansion and positive cash flow, using the following strategies:</w:t>
      </w:r>
    </w:p>
    <w:p>
      <w:pPr>
        <w:spacing w:after="0" w:line="6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company-wide agile framework to enable responsive solutions delivery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Promoting collaboration and cross-company sharing to drive informed, timely decision making</w:t>
      </w:r>
    </w:p>
    <w:p>
      <w:pPr>
        <w:spacing w:after="0" w:line="11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Aligning goals through shared one-company objectives and a focus on timely feedback to ensure opportunities for improvement are realized and executed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Using artificial intelligence tools to improve our internal processes and deliver an improved customer experience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Cross-selling new solutions to our existing customers and existing solutions to new customers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Promoting a culture that enables employees to drive technology and business model innovation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Streamlining operations and processes to optimize performance delivery and reduce overhead expenditures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Rigorously managing our working capital to maximize cash flow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Committing to being a responsible corporation for Parsons and our customers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 Positions in High-Growth, Sustainable Markets</w:t>
      </w:r>
    </w:p>
    <w:p>
      <w:pPr>
        <w:spacing w:after="0" w:line="10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have a balanced portfolio between national security and critical infrastructure and a wide range of end markets. We recognize the importance of driving business focus and will resource/invest in areas where we believe Parsons can have a top position in markets that are high-growth, profitable, and enduring. These include cyber and electronic warfare, space and missile defense, transportation, water and environment, and urban development. We utilize the following strategies, among others, towards achieving this goal:</w:t>
      </w:r>
    </w:p>
    <w:p>
      <w:pPr>
        <w:spacing w:after="0" w:line="6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continuously evaluate and shape our portfolio to divest, exit and de-emphasize lower-performing businesses and markets.</w:t>
      </w:r>
    </w:p>
    <w:p>
      <w:pPr>
        <w:spacing w:after="0" w:line="11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invest in critical, differentiated technology areas, including artificial intelligence, assured position navigation and timing, PFAS remediation, cyber/electronic warfare, and product development in areas including defensive cyber, space command and control, intelligent transportation systems, spectrum operations and biometrics.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seek continuous expansion in our focused high-growth markets:</w:t>
      </w:r>
    </w:p>
    <w:p>
      <w:pPr>
        <w:spacing w:after="0" w:line="116" w:lineRule="exact"/>
        <w:rPr>
          <w:rFonts w:ascii="Times New Roman" w:cs="Times New Roman" w:eastAsia="Times New Roman" w:hAnsi="Times New Roman"/>
          <w:sz w:val="18"/>
          <w:szCs w:val="18"/>
          <w:color w:val="auto"/>
        </w:rPr>
      </w:pPr>
    </w:p>
    <w:p>
      <w:pPr>
        <w:ind w:left="1540" w:right="10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Cyber and Electronic Warfare – Continue our growth momentum by offering end-to-end full spectrum cyber operations and comprehensive electromagnetic spectrum coverage including solutions, tools, operations and platforms for our U.S. Department of War and Intelligence Community customers.</w:t>
      </w:r>
    </w:p>
    <w:p>
      <w:pPr>
        <w:spacing w:after="0" w:line="60" w:lineRule="exact"/>
        <w:rPr>
          <w:rFonts w:ascii="Times New Roman" w:cs="Times New Roman" w:eastAsia="Times New Roman" w:hAnsi="Times New Roman"/>
          <w:sz w:val="18"/>
          <w:szCs w:val="18"/>
          <w:color w:val="auto"/>
        </w:rPr>
      </w:pPr>
    </w:p>
    <w:p>
      <w:pPr>
        <w:ind w:left="1540" w:right="80" w:hanging="50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Space and Mission Defense – Extend our space situational awareness, ground systems, classified sensors and assured position, navigation and timing solutions to our current space customers and to new space, and geospatial customers' in the government and commercial space markets. Support our customer’s integrated air and missile defense strategy and deployment. Provide thought leadership in evolving areas, including Golden Dome.</w:t>
      </w:r>
    </w:p>
    <w:p>
      <w:pPr>
        <w:spacing w:after="0" w:line="65" w:lineRule="exact"/>
        <w:rPr>
          <w:rFonts w:ascii="Times New Roman" w:cs="Times New Roman" w:eastAsia="Times New Roman" w:hAnsi="Times New Roman"/>
          <w:sz w:val="18"/>
          <w:szCs w:val="18"/>
          <w:color w:val="auto"/>
        </w:rPr>
      </w:pPr>
    </w:p>
    <w:p>
      <w:pPr>
        <w:ind w:left="1540" w:right="28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Critical Infrastructure Protection – Provide critical infrastructure protection in sectors where we have installed base, including facilities, health care, transportation, water and energy. Deliver holistic solutions including electronic security systems, cybersecurity, counter unmanned air systems and biometrics.</w:t>
      </w:r>
    </w:p>
    <w:p>
      <w:pPr>
        <w:spacing w:after="0" w:line="60" w:lineRule="exact"/>
        <w:rPr>
          <w:rFonts w:ascii="Times New Roman" w:cs="Times New Roman" w:eastAsia="Times New Roman" w:hAnsi="Times New Roman"/>
          <w:sz w:val="18"/>
          <w:szCs w:val="18"/>
          <w:color w:val="auto"/>
        </w:rPr>
      </w:pPr>
    </w:p>
    <w:p>
      <w:pPr>
        <w:ind w:left="154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Transportation – Capitalize on the increased IIJA funding and increased global transportation and infrastructure spending to further our roads and highways, bridges, rail and transit, and aviation business. Leverage technology to drive smart infrastructure.</w:t>
      </w:r>
    </w:p>
    <w:p>
      <w:pPr>
        <w:spacing w:after="0" w:line="60" w:lineRule="exact"/>
        <w:rPr>
          <w:rFonts w:ascii="Times New Roman" w:cs="Times New Roman" w:eastAsia="Times New Roman" w:hAnsi="Times New Roman"/>
          <w:sz w:val="18"/>
          <w:szCs w:val="18"/>
          <w:color w:val="auto"/>
        </w:rPr>
      </w:pPr>
    </w:p>
    <w:p>
      <w:pPr>
        <w:ind w:left="1540" w:hanging="50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Water and Environment – Leverage our specialized skill and experience with respect to remediating mines and oil wells and eliminating emerging contaminants. Apply our design capabilities and innovative technologies to modernize, upgrade and create new water/wastewater treatment systems. Provide coastal resiliency. Lead elimination of emerging contaminants (PFOS) from our soil, groundwater and surface water.</w:t>
      </w:r>
    </w:p>
    <w:p>
      <w:pPr>
        <w:spacing w:after="0" w:line="65" w:lineRule="exact"/>
        <w:rPr>
          <w:rFonts w:ascii="Times New Roman" w:cs="Times New Roman" w:eastAsia="Times New Roman" w:hAnsi="Times New Roman"/>
          <w:sz w:val="18"/>
          <w:szCs w:val="18"/>
          <w:color w:val="auto"/>
        </w:rPr>
      </w:pPr>
    </w:p>
    <w:p>
      <w:pPr>
        <w:ind w:left="1540" w:right="20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Urban development – Leverage our program management, urban planning and urban design competencies to develop new industrial cities and mixed-use developments.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9" w:name="page20"/>
    <w:bookmarkEnd w:id="19"/>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pursue the acquisition and integration of high growth, technology driven companies which meet the following criteria:</w:t>
      </w:r>
    </w:p>
    <w:p>
      <w:pPr>
        <w:spacing w:after="0" w:line="10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performance goals: &gt;10% top line growth, &gt;10% Adjusted EBITDA margin, and strong cash flow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Align to our six focused markets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Technology differentiation: fill technology gaps, drive end-to-end solutions, move up the value chain, scale within and across our businesses and add valuable intellectual property rights</w:t>
      </w:r>
    </w:p>
    <w:p>
      <w:pPr>
        <w:spacing w:after="0" w:line="154"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Our objective is to continue to transform our business into an integrated, full life-cycle solutions integrator that delivers scalable solutions and drives revenue growth, expanded margins, and strong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view growth in total backlog as a key measure of our business growth. We define backlog to include the following two components:</w:t>
      </w:r>
    </w:p>
    <w:p>
      <w:pPr>
        <w:spacing w:after="0" w:line="115" w:lineRule="exact"/>
        <w:rPr>
          <w:sz w:val="20"/>
          <w:szCs w:val="20"/>
          <w:color w:val="auto"/>
        </w:rPr>
      </w:pPr>
    </w:p>
    <w:p>
      <w:pPr>
        <w:ind w:left="1020" w:right="4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contract vehicles, where task orders are competitively awarded and separately priced.</w:t>
      </w:r>
    </w:p>
    <w:p>
      <w:pPr>
        <w:spacing w:after="0" w:line="17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backlog includes orders under contracts that can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December 31, 2025, our total backlog was approximately $ 8.7 billion, consisting of $6.4 billion of funded backlog and $2.3 billion of unfunded backlog. We expect to recognize $4.1 billion of our funded backlog as of December 31, 2025 as revenues in the following twelve months. However, our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ind w:right="80" w:firstLine="509"/>
        <w:spacing w:after="0" w:line="275" w:lineRule="auto"/>
        <w:rPr>
          <w:sz w:val="20"/>
          <w:szCs w:val="20"/>
          <w:color w:val="auto"/>
        </w:rPr>
      </w:pPr>
      <w:r>
        <w:rPr>
          <w:rFonts w:ascii="Arial" w:cs="Arial" w:eastAsia="Arial" w:hAnsi="Arial"/>
          <w:sz w:val="17"/>
          <w:szCs w:val="17"/>
          <w:color w:val="auto"/>
        </w:rPr>
        <w:t>The industries we operate in consist of a wide range of enterprises ranging from small, niche-oriented companies to multi-billion-dollar corporations that serve diverse government and commercial customers. We compete on the basis of our technical expertise and innovation, our ability to deliver cost-effective multi-faceted solutions and services in a timely manner, our reputation and relationships with our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5"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customers, qualified and/or security-clearance personnel, and pricing. Our peer group in Federal Solutions are U.S. federal systems integrators and service providers such as Booz Allen Hamilton, CACI International Inc, Leidos Holdings, Inc., and Science Applications International Corporation. Our peer group in Critical Infrastructure includes AECOM, Jacobs Solutions Inc., Stantec, Tetra Tech, Inc., and WSP.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04"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We are committed to enhancing our position as a leading employer in our industry and aim to do this through providing a positive employee experience. Our culture and reputation as a leading provider of technology-driven solutions in the defense, security and critical infrastructure markets enables us to recruit and retain some of the best available talent across the globe.</w:t>
      </w:r>
    </w:p>
    <w:p>
      <w:pPr>
        <w:spacing w:after="0" w:line="6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Our professionals are highly educated, with a wide range of technical acumen and in-depth domain knowledge and expertise. Our culture and values enable us to continue attracting qualified talent, particularly those with security clearances and requisite skills in multiple areas, including Project Management, Engineering, Software Development, Cyber, Data Analytics, Environmental and Architecture. We have over 10,600 employees who hold degrees and over 3,600 with advanced degrees and professional credentials as of December 31, 2025. Our experienced teams understand our clients and are comprised of technology subject matter experts and professionals with deep knowledge and experience.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Recognition</w:t>
      </w:r>
    </w:p>
    <w:p>
      <w:pPr>
        <w:spacing w:after="0" w:line="10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As a people first organization, we are dedicated to recognizing employee performance and promoting a culture of recognition. We are immensely proud to maintain a formal employee recognition program that is 100% developed and maintained in-house – a rare accomplishment in our industry. We approach company culture this way: recognition is a mindset.</w:t>
      </w:r>
    </w:p>
    <w:p>
      <w:pPr>
        <w:spacing w:after="0" w:line="16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Distinguished Recognition and Incentive Program, affectionately known as the DRIVE Program, recognizes, rewards, and encourages high-caliber work. The DRIVE program is comprised of nine distinct award levels, each with its own criteria, workflow, and rewards – some monetary and some non-monetary. The program is open to all part- and full-time employees around the globe, and awards can be distributed from supervisor to team or team member, individual contributor to supervisor, and from peer to peer. That flexibility is what we are most proud of—all employees can recognize someone else or be recognized themself. In 2025, we are pleased that over 4,000 DRIVE awards were conveyed to our employees with monetary awards totaling over $7.1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Mentoring</w:t>
      </w:r>
    </w:p>
    <w:p>
      <w:pPr>
        <w:spacing w:after="0" w:line="10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Parsons has a robust mentoring program that facilitates several types of pairings, including senior leaders and employees, peer-to-peer, veterans-to-veterans, and early career professionals with more experienced employees. Employees choose their own mentor and work closely with them to design a mentoring relationship that is tailored to meet their unique goals. Resources are provided to both mentors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and mentees to ensure a successful and enriching experience for both. Most Parsons’ Vice Presidents and above are available and engaged in mentoring relationships thus actively fostering a culture of employee growth and development.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Development</w:t>
      </w:r>
    </w:p>
    <w:p>
      <w:pPr>
        <w:spacing w:after="0" w:line="102" w:lineRule="exact"/>
        <w:rPr>
          <w:sz w:val="20"/>
          <w:szCs w:val="20"/>
          <w:color w:val="auto"/>
        </w:rPr>
      </w:pPr>
    </w:p>
    <w:p>
      <w:pPr>
        <w:ind w:left="1020" w:right="120" w:hanging="503"/>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Parsons Learning Series – This program is open to all employees and consists of live, virtual one-hour courses across a wide range of topics appealing to both employees and managers. One or two topics are delivered each month. The live sessions are held at three separate times on the same day to accommodate our global workforce, and sessions are recorded and made available following live session dates.</w:t>
      </w:r>
    </w:p>
    <w:p>
      <w:pPr>
        <w:spacing w:after="0" w:line="68" w:lineRule="exact"/>
        <w:rPr>
          <w:rFonts w:ascii="Times New Roman" w:cs="Times New Roman" w:eastAsia="Times New Roman" w:hAnsi="Times New Roman"/>
          <w:sz w:val="18"/>
          <w:szCs w:val="18"/>
          <w:color w:val="auto"/>
        </w:rPr>
      </w:pPr>
    </w:p>
    <w:p>
      <w:pPr>
        <w:jc w:val="both"/>
        <w:ind w:left="1020" w:right="2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Engaged Leadership Program (ELP) – This 4-month, cohort-based program helps people and project managers develop their management and leadership skills through learning about and then applying new skills on the job. The extended nature of this program fosters a collaborative environment and builds cross-organizational relationships among participants.</w:t>
      </w:r>
    </w:p>
    <w:p>
      <w:pPr>
        <w:spacing w:after="0" w:line="62"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Intentional Leadership Program (ILP) – This is a program for senior leaders, Director-level and above. Participants will complete a facilitated 2-day curriculum designed to strengthen senior leadership skills and help participants intentionally define their own leadership approach while fostering cross-organizational communication and relationship-building.</w:t>
      </w:r>
    </w:p>
    <w:p>
      <w:pPr>
        <w:spacing w:after="0" w:line="62" w:lineRule="exact"/>
        <w:rPr>
          <w:rFonts w:ascii="Times New Roman" w:cs="Times New Roman" w:eastAsia="Times New Roman" w:hAnsi="Times New Roman"/>
          <w:sz w:val="18"/>
          <w:szCs w:val="18"/>
          <w:color w:val="auto"/>
        </w:rPr>
      </w:pPr>
    </w:p>
    <w:p>
      <w:pPr>
        <w:ind w:left="1020" w:right="80" w:hanging="503"/>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Fellows Program - recognizes our top technical experts and promotes innovation in solving our customers’ most difficult technical challenges. It is a collaborative network of over fifty selected motivated and passionate subject matter experts working to solve technical challenges through either strategic research and development or through the development of long-term technical policies and best practices. The program defines its success through engagement, mentorship, and retention.</w:t>
      </w:r>
    </w:p>
    <w:p>
      <w:pPr>
        <w:spacing w:after="0" w:line="68" w:lineRule="exact"/>
        <w:rPr>
          <w:rFonts w:ascii="Times New Roman" w:cs="Times New Roman" w:eastAsia="Times New Roman" w:hAnsi="Times New Roman"/>
          <w:sz w:val="18"/>
          <w:szCs w:val="18"/>
          <w:color w:val="auto"/>
        </w:rPr>
      </w:pPr>
    </w:p>
    <w:p>
      <w:pPr>
        <w:ind w:left="1020" w:right="80" w:hanging="503"/>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Technical Career Path - demonstrates two distinct career progressions for technical employees across our organization: one that follows a management path, the other that can be followed as an individual contributor. The Technical Career Path coupled with an integrated competency model and Workday tools such as the Opportunity Graph are resources designed to improve the quality of manager-employee career discussions and, ultimately, career movement.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At December 31, 2025, approximately 5,800 of our employees participated in our Employee Stock Ownership Plan (ESOP) which held 50,864,117 shares at December 31, 2025. Our employees own approximately 39% of the total outstanding shares in the ESOP. The board of directors approved amendments to the ESOP to provide greater diversification rights to participants, greater flexibility for certain eligible participants to receive their balances in fewer installments, and for lump sum distributions to participants and removing the annual installments. Annual diversification elections and five-year vested termination distributions are not impacted by this amendment and will still occur annually and over installments as outlined in the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04" w:lineRule="exact"/>
        <w:rPr>
          <w:sz w:val="20"/>
          <w:szCs w:val="20"/>
          <w:color w:val="auto"/>
        </w:rPr>
      </w:pPr>
    </w:p>
    <w:p>
      <w:pPr>
        <w:ind w:right="100" w:firstLine="509"/>
        <w:spacing w:after="0" w:line="230" w:lineRule="auto"/>
        <w:rPr>
          <w:sz w:val="20"/>
          <w:szCs w:val="20"/>
          <w:color w:val="auto"/>
        </w:rPr>
      </w:pPr>
      <w:r>
        <w:rPr>
          <w:rFonts w:ascii="Arial" w:cs="Arial" w:eastAsia="Arial" w:hAnsi="Arial"/>
          <w:sz w:val="18"/>
          <w:szCs w:val="18"/>
          <w:color w:val="auto"/>
        </w:rPr>
        <w:t>At the 2020 Annual Meeting of Parsons’ Shareholders, the shareholders approved the implementation of the Employee Stock Purchase Plan (ESPP). The ESPP provides an opportunity for eligible employees (as defined in the ESPP) to purchase Parsons’ stock. By participating in the ESPP, an eligible employee may purchase Parsons’ shares at a 5% discount from the New York Stock Exchange closing price at the end date for each offering period (June 30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December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each year). During 2025 and 2024, our employees purchased approximately 149,844 and 95,984 shares, respectively, of Parsons’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August 9, 2021, the board of directors authorized Parsons Corporation to acquire a number of shares of common stock having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market value of not greater than $100,000,000 from time to time, commencing on August 12, 2021. The Board further amended</w:t>
      </w:r>
    </w:p>
    <w:p>
      <w:pPr>
        <w:spacing w:after="0" w:line="234" w:lineRule="auto"/>
        <w:rPr>
          <w:sz w:val="20"/>
          <w:szCs w:val="20"/>
          <w:color w:val="auto"/>
        </w:rPr>
      </w:pPr>
      <w:r>
        <w:rPr>
          <w:rFonts w:ascii="Arial" w:cs="Arial" w:eastAsia="Arial" w:hAnsi="Arial"/>
          <w:sz w:val="18"/>
          <w:szCs w:val="18"/>
          <w:color w:val="auto"/>
        </w:rPr>
        <w:t>this authorization in August 2022 to remove the prior expiration date and grant executive leadership the discretion to determine the price for</w:t>
      </w:r>
    </w:p>
    <w:p>
      <w:pPr>
        <w:spacing w:after="0" w:line="235" w:lineRule="auto"/>
        <w:rPr>
          <w:sz w:val="20"/>
          <w:szCs w:val="20"/>
          <w:color w:val="auto"/>
        </w:rPr>
      </w:pPr>
      <w:r>
        <w:rPr>
          <w:rFonts w:ascii="Arial" w:cs="Arial" w:eastAsia="Arial" w:hAnsi="Arial"/>
          <w:sz w:val="18"/>
          <w:szCs w:val="18"/>
          <w:color w:val="auto"/>
        </w:rPr>
        <w:t>such share repurchases. The Board further amended this authorization in February 2024 to restore the repurchase capacity to $100 million</w:t>
      </w:r>
    </w:p>
    <w:p>
      <w:pPr>
        <w:spacing w:after="0" w:line="235" w:lineRule="auto"/>
        <w:rPr>
          <w:sz w:val="20"/>
          <w:szCs w:val="20"/>
          <w:color w:val="auto"/>
        </w:rPr>
      </w:pPr>
      <w:r>
        <w:rPr>
          <w:rFonts w:ascii="Arial" w:cs="Arial" w:eastAsia="Arial" w:hAnsi="Arial"/>
          <w:sz w:val="18"/>
          <w:szCs w:val="18"/>
          <w:color w:val="auto"/>
        </w:rPr>
        <w:t>and removed the $25 million quarterly cap on such repurchases, and (ii) March 2025 to increase the share repurchase authorization to</w:t>
      </w:r>
    </w:p>
    <w:p>
      <w:pPr>
        <w:spacing w:after="0" w:line="235" w:lineRule="auto"/>
        <w:rPr>
          <w:sz w:val="20"/>
          <w:szCs w:val="20"/>
          <w:color w:val="auto"/>
        </w:rPr>
      </w:pPr>
      <w:r>
        <w:rPr>
          <w:rFonts w:ascii="Arial" w:cs="Arial" w:eastAsia="Arial" w:hAnsi="Arial"/>
          <w:sz w:val="18"/>
          <w:szCs w:val="18"/>
          <w:color w:val="auto"/>
        </w:rPr>
        <w:t>$250,000,000. Any repurchases made by the Company during Q1 of 2025 would be deducted from the reset capacity. With the March 2025</w:t>
      </w:r>
    </w:p>
    <w:p>
      <w:pPr>
        <w:spacing w:after="0" w:line="235" w:lineRule="auto"/>
        <w:rPr>
          <w:sz w:val="20"/>
          <w:szCs w:val="20"/>
          <w:color w:val="auto"/>
        </w:rPr>
      </w:pPr>
      <w:r>
        <w:rPr>
          <w:rFonts w:ascii="Arial" w:cs="Arial" w:eastAsia="Arial" w:hAnsi="Arial"/>
          <w:sz w:val="18"/>
          <w:szCs w:val="18"/>
          <w:color w:val="auto"/>
        </w:rPr>
        <w:t>increase, the Board authorized the Corporation to appoint a Pricing Committee to approve terms for share repurchases pursuant to a Rule</w:t>
      </w:r>
    </w:p>
    <w:p>
      <w:pPr>
        <w:spacing w:after="0" w:line="234" w:lineRule="auto"/>
        <w:rPr>
          <w:sz w:val="20"/>
          <w:szCs w:val="20"/>
          <w:color w:val="auto"/>
        </w:rPr>
      </w:pPr>
      <w:r>
        <w:rPr>
          <w:rFonts w:ascii="Arial" w:cs="Arial" w:eastAsia="Arial" w:hAnsi="Arial"/>
          <w:sz w:val="18"/>
          <w:szCs w:val="18"/>
          <w:color w:val="auto"/>
        </w:rPr>
        <w:t>10b5-1 Plan to provide for regular quarterly share repurchases, and the Pricing Committee approved the Corporation’s Rule 10b5-1 Plan in</w:t>
      </w:r>
    </w:p>
    <w:p>
      <w:pPr>
        <w:spacing w:after="0" w:line="235" w:lineRule="auto"/>
        <w:rPr>
          <w:sz w:val="20"/>
          <w:szCs w:val="20"/>
          <w:color w:val="auto"/>
        </w:rPr>
      </w:pPr>
      <w:r>
        <w:rPr>
          <w:rFonts w:ascii="Arial" w:cs="Arial" w:eastAsia="Arial" w:hAnsi="Arial"/>
          <w:sz w:val="18"/>
          <w:szCs w:val="18"/>
          <w:color w:val="auto"/>
        </w:rPr>
        <w:t>May 2025. Under prior authorizations, the Company repurchased shares with an aggregate market value of $79.7 million. The aggregate</w:t>
      </w:r>
    </w:p>
    <w:p>
      <w:pPr>
        <w:spacing w:after="0" w:line="235" w:lineRule="auto"/>
        <w:rPr>
          <w:sz w:val="20"/>
          <w:szCs w:val="20"/>
          <w:color w:val="auto"/>
        </w:rPr>
      </w:pPr>
      <w:r>
        <w:rPr>
          <w:rFonts w:ascii="Arial" w:cs="Arial" w:eastAsia="Arial" w:hAnsi="Arial"/>
          <w:sz w:val="18"/>
          <w:szCs w:val="18"/>
          <w:color w:val="auto"/>
        </w:rPr>
        <w:t>market value of the shares of Common Stock that Company is authorized to acquire from prior authorizations and the March 2025</w:t>
      </w:r>
    </w:p>
    <w:p>
      <w:pPr>
        <w:spacing w:after="0" w:line="235" w:lineRule="auto"/>
        <w:rPr>
          <w:sz w:val="20"/>
          <w:szCs w:val="20"/>
          <w:color w:val="auto"/>
        </w:rPr>
      </w:pPr>
      <w:r>
        <w:rPr>
          <w:rFonts w:ascii="Arial" w:cs="Arial" w:eastAsia="Arial" w:hAnsi="Arial"/>
          <w:sz w:val="18"/>
          <w:szCs w:val="18"/>
          <w:color w:val="auto"/>
        </w:rPr>
        <w:t>authorization is not greater than $329.7 million. As of December 31, 2025, the company has spent $204.7 million to repurchase 3,535,849</w:t>
      </w:r>
    </w:p>
    <w:p>
      <w:pPr>
        <w:spacing w:after="0" w:line="235" w:lineRule="auto"/>
        <w:rPr>
          <w:sz w:val="20"/>
          <w:szCs w:val="20"/>
          <w:color w:val="auto"/>
        </w:rPr>
      </w:pPr>
      <w:r>
        <w:rPr>
          <w:rFonts w:ascii="Arial" w:cs="Arial" w:eastAsia="Arial" w:hAnsi="Arial"/>
          <w:sz w:val="18"/>
          <w:szCs w:val="18"/>
          <w:color w:val="auto"/>
        </w:rPr>
        <w:t>shares of common stock at an average price of $57.89 per share. Of the $204.7 million of repurchases, $45 million were acquired pursuant to</w:t>
      </w:r>
    </w:p>
    <w:p>
      <w:pPr>
        <w:spacing w:after="0"/>
        <w:rPr>
          <w:sz w:val="20"/>
          <w:szCs w:val="20"/>
          <w:color w:val="auto"/>
        </w:rPr>
      </w:pPr>
      <w:r>
        <w:rPr>
          <w:rFonts w:ascii="Arial" w:cs="Arial" w:eastAsia="Arial" w:hAnsi="Arial"/>
          <w:sz w:val="18"/>
          <w:szCs w:val="18"/>
          <w:color w:val="auto"/>
        </w:rPr>
        <w:t>the Rule 10b5-1 Plan.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intellectual property portfolio consists of issued and pending patents as well as trademarks for many of our technologies. In addition, we maintain a number of trade secrets that we endeavor to protect to ensure their continuing availability to us. Our technical expertise is vital to our growth strategy, and we believe they are a core competitive advantage. We have 41 issued patents and 12 pending patents in the United States and 7 pending patents internationally. We have 64 registered trademarks and 4 pending trademark applications in the United States, and 80 trademarks and 12 pending trademark applications internationally. We also currently offer 45 products for sale to our global customers.</w:t>
      </w:r>
    </w:p>
    <w:p>
      <w:pPr>
        <w:spacing w:after="0" w:line="17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While protecting trade secrets and proprietary information is important, we are not materially dependent on maintenance of any specific trade secret or group of trade secrets.</w:t>
      </w:r>
    </w:p>
    <w:p>
      <w:pPr>
        <w:spacing w:after="0" w:line="17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During the normal course of business, we perform research and development and technology consulting services and related products in support of our customers. Typically, these services do not depend on patent protection. In accordance with applicable law, our government contracts often provide government agencies certain data rights to our intellectual property. Government agencies may in turn provide to other contractors (including our competitors) the right to utilize our intellectual property. In addition, in the case of our work as a subcontractor, our prime contractor may also have certain rights to data, information and products we develop under the subcontract. At the same time, our government contracts often provide to us the right to utilize intellectual property owned by third parties.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Our business is impacted by government procurement, anti-bribery, international trade, environmental, health and safety and other regulations and requirements. Below is a summary of some of the significant regulations that impact our business.</w:t>
      </w:r>
    </w:p>
    <w:p>
      <w:pPr>
        <w:spacing w:after="0" w:line="154"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i w:val="1"/>
          <w:iCs w:val="1"/>
          <w:color w:val="auto"/>
        </w:rPr>
        <w:t>Government Procurement</w:t>
      </w:r>
      <w:r>
        <w:rPr>
          <w:rFonts w:ascii="Arial" w:cs="Arial" w:eastAsia="Arial" w:hAnsi="Arial"/>
          <w:sz w:val="18"/>
          <w:szCs w:val="18"/>
          <w:color w:val="auto"/>
        </w:rPr>
        <w:t>. The services we provide to the U.S. Government are subject to Federal Acquisition Regulation, or FAR,</w:t>
      </w:r>
      <w:r>
        <w:rPr>
          <w:rFonts w:ascii="Arial" w:cs="Arial" w:eastAsia="Arial" w:hAnsi="Arial"/>
          <w:sz w:val="18"/>
          <w:szCs w:val="18"/>
          <w:i w:val="1"/>
          <w:iCs w:val="1"/>
          <w:color w:val="auto"/>
        </w:rPr>
        <w:t xml:space="preserve"> </w:t>
      </w:r>
      <w:r>
        <w:rPr>
          <w:rFonts w:ascii="Arial" w:cs="Arial" w:eastAsia="Arial" w:hAnsi="Arial"/>
          <w:sz w:val="18"/>
          <w:szCs w:val="18"/>
          <w:color w:val="auto"/>
        </w:rPr>
        <w:t>Defense Federal Acquisition Regulation, or DFARS, the Truthful Cost and Pricing Data Act, Cost Accounting Standards, or CAS, the Services Contract Act, the False Claims Act,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export controls rules and U.S. Department of War security regulations, as well as government agency policies and many other laws and regulations. These laws and regulations affect how we transact business with our clients and, in some instances, impose additional costs on our business operations. A violation of specific laws and regulations could lead to fines, contract termination or suspension of future contracts. Generally, our government clients can also terminate, renegotiate, or modify any of their contracts with us at their convenience, and many of our government contracts are subject to renewal or extension annually.</w:t>
      </w:r>
    </w:p>
    <w:p>
      <w:pPr>
        <w:spacing w:after="0" w:line="17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January 31, 2020, the U.S. Department of War (DOW) released the Cybersecurity Maturity Model Certification (“CMMC”) program as a framework to assess and enhance the cybersecurity posture of the Defense Industrial Base (“DIB”), particularly as it relates to controlled unclassified information (CUI) within the supply chain. CMMC is designed to ensure that contractors providing services to the U.S. DOW have implemented cybersecurity controls and processes to adequately protect information that resides on DIB systems and networks. An interim rule was issued on September 29, 2020, to amend the Defense Federal Acquisition Regulation Supplement (DFARS) by adding a new DFARS clause, 252.204-7021, which specifies CMMC requirements and enables the DOW to verify the protection of the Federal Contract Information (FCI) and CUI within the unclassified networks of DIB companies. DOW initiated an internal review and ultimately published draft “Version 2.0” of the CMMC program structure in November 2021.The DOW finalized the CNNC Program rule 32 CFR on October 15, 2024 and went into effect on December 16, 2024.</w:t>
      </w:r>
    </w:p>
    <w:p>
      <w:pPr>
        <w:spacing w:after="0" w:line="189" w:lineRule="exact"/>
        <w:rPr>
          <w:sz w:val="20"/>
          <w:szCs w:val="20"/>
          <w:color w:val="auto"/>
        </w:rPr>
      </w:pPr>
    </w:p>
    <w:p>
      <w:pPr>
        <w:ind w:firstLine="509"/>
        <w:spacing w:after="0" w:line="230" w:lineRule="auto"/>
        <w:rPr>
          <w:sz w:val="20"/>
          <w:szCs w:val="20"/>
          <w:color w:val="auto"/>
        </w:rPr>
      </w:pPr>
      <w:r>
        <w:rPr>
          <w:rFonts w:ascii="Arial" w:cs="Arial" w:eastAsia="Arial" w:hAnsi="Arial"/>
          <w:sz w:val="18"/>
          <w:szCs w:val="18"/>
          <w:color w:val="auto"/>
        </w:rPr>
        <w:t>The CMMC is codified in two parts. The first, 32 CFR defines the requirements for CMMC and grants C3PAOs (CMMC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Party Assessment Organizations) the ability to conduct CMMC assessments, and companies now have the ability to have official CMMC assessments conducted. The second is the 48 CFR. This rule enforces the CMMC requirements in new and existing contracts and allows the DOW to require a specific CMMC level in a solicitation or contract. The 48 CFR went into effect on November 15, 2025, beginning Phase 1 of the CMMC Program. Companies are now required to be officially assessed by a C3PAO for Level 2 certifications and, in certain circumstances, may be reassessed by DIBCCAC (Defense Industrial Base Cybersecurity Assessment Center).</w:t>
      </w:r>
    </w:p>
    <w:p>
      <w:pPr>
        <w:spacing w:after="0" w:line="182"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As part of the Defense Contract Management Agency (DCMA) Joint Surveillance Voluntary Assessment (JSVA) Program, Parsons successfully passed a High Confidence (CMMC Level 2) Assessment in July 2023 for the FedNet® Secure closed environment. Due to a significant change in the assessment scope, FedNet® Secure required a recertification assessment on December 15, 2025 with an external C3PAO. Parsons established an internet-accessible secure environment designated for CUI program work, which was CMMC Level 2 certified on September 25, 2025. All 110 control requirements and 320 control objectives were deemed 100% satisfied within the C3PAO’s official report and the acquired certification.</w:t>
      </w:r>
    </w:p>
    <w:p>
      <w:pPr>
        <w:spacing w:after="0" w:line="17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i w:val="1"/>
          <w:iCs w:val="1"/>
          <w:color w:val="auto"/>
        </w:rPr>
        <w:t xml:space="preserve">Anti-Bribery and other regulations. </w:t>
      </w:r>
      <w:r>
        <w:rPr>
          <w:rFonts w:ascii="Arial" w:cs="Arial" w:eastAsia="Arial" w:hAnsi="Arial"/>
          <w:sz w:val="18"/>
          <w:szCs w:val="18"/>
          <w:color w:val="auto"/>
        </w:rPr>
        <w:t>We are subject to the U.S. Foreign Corrupt Practices Act and similar anti-bribery laws,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prohibit companies and their intermediaries from making improper payments to foreign government officials for the purpose of obtaining or retaining business. The U.K. Bribery Act of 2010 prohibits both domestic and international bribery, as well as bribery across both private and public sectors. In addition, an organization that “fails to prevent bribery” committed by anyone associated with the organization can be charged under the U.K. Bribery Act unless the organization can establish the defense of having implemented “adequate procedures” to prevent bribery.</w:t>
      </w:r>
    </w:p>
    <w:p>
      <w:pPr>
        <w:spacing w:after="0" w:line="179" w:lineRule="exact"/>
        <w:rPr>
          <w:sz w:val="20"/>
          <w:szCs w:val="20"/>
          <w:color w:val="auto"/>
        </w:rPr>
      </w:pPr>
    </w:p>
    <w:p>
      <w:pPr>
        <w:ind w:right="200" w:firstLine="509"/>
        <w:spacing w:after="0"/>
        <w:rPr>
          <w:sz w:val="20"/>
          <w:szCs w:val="20"/>
          <w:color w:val="auto"/>
        </w:rPr>
      </w:pPr>
      <w:r>
        <w:rPr>
          <w:rFonts w:ascii="Arial" w:cs="Arial" w:eastAsia="Arial" w:hAnsi="Arial"/>
          <w:sz w:val="18"/>
          <w:szCs w:val="18"/>
          <w:i w:val="1"/>
          <w:iCs w:val="1"/>
          <w:color w:val="auto"/>
        </w:rPr>
        <w:t>International Trade</w:t>
      </w:r>
      <w:r>
        <w:rPr>
          <w:rFonts w:ascii="Arial" w:cs="Arial" w:eastAsia="Arial" w:hAnsi="Arial"/>
          <w:sz w:val="18"/>
          <w:szCs w:val="18"/>
          <w:color w:val="auto"/>
        </w:rPr>
        <w:t>. We are subject to U.S. export control laws and regulations, including the International Traffic in Arms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or ITAR, and the Export Administration Regulations, or EAR, as well as U.S. economic and trade sanctions, including those administered and enforced by the U.S. Department of Treasury’s Office of Foreign Assets Control, or OFAC. To the extent we export items and provide services outside of the United States (or to certain parties in the United States), we must do so in compliance with these laws and regulations. These laws and regulations impose export licensing requirements, and we may not be successful in obtaining necessary licenses and other authorizations. Further, these laws and regulations restrict our ability to export items or provide services to certain countries and certain persons, including those that are the target of OFAC sanctions. Noncompliance with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9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these or similar laws could lead to government investigations, penalties, reputational harm, and other negative consequences, and thereby could adversely affect our business and financial condition. Further, any change in these laws and regulations, or any shift in the approach to their enforcement or scope, or change to the countries, persons, or items targeted by such regulations, could potentially result in our decreased ability to export or sell items or services to existing or potential customers.</w:t>
      </w:r>
    </w:p>
    <w:p>
      <w:pPr>
        <w:spacing w:after="0" w:line="17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i w:val="1"/>
          <w:iCs w:val="1"/>
          <w:color w:val="auto"/>
        </w:rPr>
        <w:t xml:space="preserve">Environmental, Health and Safety. </w:t>
      </w:r>
      <w:r>
        <w:rPr>
          <w:rFonts w:ascii="Arial" w:cs="Arial" w:eastAsia="Arial" w:hAnsi="Arial"/>
          <w:sz w:val="18"/>
          <w:szCs w:val="18"/>
          <w:color w:val="auto"/>
        </w:rPr>
        <w:t>We are subject to federal, state and local laws and regulations relating to environmental,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safety matters, including, among other things, the handling, transport and disposal of regulated substances and wastes, including hazardous and radioactive materials; contamination by regulated substances and wastes; the types, quantities and concentration of materials that can be released into the environment; the acquisition of a permit or other approval before conducting regulated activities; the maintenance of information about hazardous materials used or produced in operations and provision of such information to employees, state and local government authorities and the public; and employee health and safety. Our previous ownership and current and previous operation of real property may subject us to liability pursuant to these laws or regulations. Under the Comprehensive Environmental Response, Compensation and Liability Act, or CERCLA, and related state laws, certain persons may be liable at sites where or from a release or threatened release of hazardous substances has occurred or is threatened.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retroactive and, under certain circumstances, joint and several, so that any responsible party may be held liable for the entire cost of investigating and remediating the release of hazardous substances. The Resource Conservation and Recovery Act, or RCRA, regulates the generation, treatment, storage, handling, transportation and disposal of solid waste and requires states to develop programs to ensure the safe disposal of solid waste. Under RCRA, persons may be liable at sites where the past or present storage, handling, treatment, transportation, or disposal of any solid or hazardous waste may present an imminent and substantial endangerment to health or the environment. These persons can include the current owner or operator of property where disposal occurred, any persons who owned or operated the property when the disposal occurred, and any persons who disposed of, or arranged for the transportation or disposal of, hazardous substances at a contaminated property. Liability under RCRA is strict and, under certain circumstances, joint and several, so that any responsible party may be held liable for the entire cost of investigating and remediating the release of hazardous substances. Violations and liabilities with respect to environmental, health and safety laws and regulations could result in significant administrative, civil, or criminal penalties, remedial clean-ups, natural resource damages, permit modifications or revocations, operational interruptions or shutdowns and other liabilities. Additionally, Congress, state legislatures, local governing bodies and federal and state agencies frequently revise environmental laws and regulations, and any changes could result in more stringent or costly requirements for our operations. Our costs related to complying with environmental, health and safety laws and regulations have not been material in the past and are not currently material to our total operating costs or cash flows. However, if we have any violations of, or incur liabilities pursuant to these laws or regulations in the future, our financial condition and operating results could be adversely affected. In addition, in the unlikely event that we are required to fund remediation of a contaminated site, the statutory framework might allow us to pursue rights of contribution from other potentially responsible parties.</w:t>
      </w:r>
    </w:p>
    <w:p>
      <w:pPr>
        <w:spacing w:after="0" w:line="186"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maintain a compliance program designed to ensure compliance with the various regulations and requirements applicable to us. The compliance program, managed by our Chief Ethics and Compliance Counsel and overseen by our Chief Compliance Officer, includes an annual audit of performance with respect to our codes of ethics and business conduct and the adequacy of our compliance program, among other initiatives.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i w:val="1"/>
          <w:iCs w:val="1"/>
          <w:color w:val="auto"/>
        </w:rPr>
        <w:t xml:space="preserve">Carey A. Smith, age 62, </w:t>
      </w:r>
      <w:r>
        <w:rPr>
          <w:rFonts w:ascii="Arial" w:cs="Arial" w:eastAsia="Arial" w:hAnsi="Arial"/>
          <w:sz w:val="18"/>
          <w:szCs w:val="18"/>
          <w:color w:val="auto"/>
        </w:rPr>
        <w:t>was appointed Chair of the Board of Directors on January 18, 2022. She became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on July 1, 2021. She was initially appointed as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President and Chief Operating Officer in November 2019, Chief Operating Officer in November 2018 and led Parsons’ Federal Solutions business from November 2016. Before joining Parsons, Ms. Smith served in progressive leadership roles at Honeywell International Inc. (“Honeywell”) from 2011 to 2016, including President of the Defense and Space business unit. In total, Ms. Smith has 40 years of industry experience spanning the defense, intelligence and infrastructure markets. Ms. Smith serves on the Edison International board of directors, including on the Compensation and Executive Personnel Committee, where she is the committee chair, and the Safety and Operations Committee. She is a National Association of Corporate Directors (NACD) Directorship (NCADD.DC) and Cyber Governance Certified. Ms. Smith received an honorary doctorate from Ohio Northern University, a master’s degree in electrical engineering from Syracuse University and a bachelor-of-science in electrical engineering from Ohio Northern University. She has numerous recognitions including the GovCon Executive of the Year award in 2023. Additionally, Parsons received GovCon Company of the Year Award in 2024. Ms. Smith was selected to serve on our board of directors because of the deep industry and operations experience that she has as our CEO.</w:t>
      </w:r>
    </w:p>
    <w:p>
      <w:pPr>
        <w:spacing w:after="0" w:line="180"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Matthew Ofilos, age 46, </w:t>
      </w:r>
      <w:r>
        <w:rPr>
          <w:rFonts w:ascii="Arial" w:cs="Arial" w:eastAsia="Arial" w:hAnsi="Arial"/>
          <w:sz w:val="18"/>
          <w:szCs w:val="18"/>
          <w:color w:val="auto"/>
        </w:rPr>
        <w:t>was appointed Chief Financial Officer of Parsons Corporation effective July 25, 2022. Mr. Ofilos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Parsons’ executive vice president of finance and brings more than twenty-five years of finance experience and a proven track record of delivering profitable growth and building high-performance finance teams to the role. As executive vice president, Mr. Ofilos led the company’s financial operations, including project controls, financial planning, accounting, treasury, and financial systems. Prior to joining Parsons in 2021, he led multi-billion-dollar finance organizations, including those for Amazon Web Services (AWS) Worldwide Public Sector and Strategic Industry businesses. Prior to AWS, he held roles of increasing responsibility at Raytheon, concluding his tenure as CFO for the Space and Command &amp; Control businesses for the Intelligence, Information and Services segment. Mr. Ofilos holds a Master of Business Administration from Boston University and a Bachelor of Science from Babson College.</w:t>
      </w:r>
    </w:p>
    <w:p>
      <w:pPr>
        <w:spacing w:after="0" w:line="18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 xml:space="preserve">Michael R. Kolloway, age 65, </w:t>
      </w:r>
      <w:r>
        <w:rPr>
          <w:rFonts w:ascii="Arial" w:cs="Arial" w:eastAsia="Arial" w:hAnsi="Arial"/>
          <w:sz w:val="18"/>
          <w:szCs w:val="18"/>
          <w:color w:val="auto"/>
        </w:rPr>
        <w:t>was appointed General Counsel and Corporate Secretary of Parsons Corporation in October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later became our Chief Legal Officer in January 2019. Before assuming the role of General Counsel and Corporate Secretary, Mr. Kolloway served as Deputy General Counsel – Americas from March 2016 through October 2017. Before joining Parsons, Mr. Kolloway served as Senior Vice President and Assistant General Counsel for Operations and Risk Management at AECOM Technology Corporation, a publicly traded company. Prior to his tenure at AECOM, Mr. Kolloway was a partner in the Chicago law firm of Rock, Fusco &amp; Garvey, Ltd and a member of the Federal Trial Bar for the Northern District of Illinois. Mr. Kolloway received his Bachelor of Arts degree from St. Norbert College, his Juris Doctor from the University of Illinois College of Law and completed the General Counsel Program at the Harvard University School of Law. Mr. Kolloway served on the Board of Directors for MUSE/IQUE based in Pasadena, California. He is a member of the Association of Corporate Counsel and the In-House Mentorship Committee for the Charlotte Chapter. Mr. Kolloway will retire during the second quarter of 2026. John T. Martinez will succeed Mr. Kolloway as Chief Legal Officer on February 16, 2026.</w:t>
      </w:r>
    </w:p>
    <w:p>
      <w:pPr>
        <w:spacing w:after="0" w:line="180" w:lineRule="exact"/>
        <w:rPr>
          <w:sz w:val="20"/>
          <w:szCs w:val="20"/>
          <w:color w:val="auto"/>
        </w:rPr>
      </w:pPr>
    </w:p>
    <w:p>
      <w:pPr>
        <w:ind w:right="40" w:firstLine="509"/>
        <w:spacing w:after="0"/>
        <w:rPr>
          <w:sz w:val="20"/>
          <w:szCs w:val="20"/>
          <w:color w:val="auto"/>
        </w:rPr>
      </w:pPr>
      <w:r>
        <w:rPr>
          <w:rFonts w:ascii="Arial" w:cs="Arial" w:eastAsia="Arial" w:hAnsi="Arial"/>
          <w:sz w:val="18"/>
          <w:szCs w:val="18"/>
          <w:i w:val="1"/>
          <w:iCs w:val="1"/>
          <w:color w:val="auto"/>
        </w:rPr>
        <w:t xml:space="preserve">Susan Balaguer, age 56, </w:t>
      </w:r>
      <w:r>
        <w:rPr>
          <w:rFonts w:ascii="Arial" w:cs="Arial" w:eastAsia="Arial" w:hAnsi="Arial"/>
          <w:sz w:val="18"/>
          <w:szCs w:val="18"/>
          <w:color w:val="auto"/>
        </w:rPr>
        <w:t>was appointed as Chief Human Resources Officer of Parsons Corporation effective July 16, 2021. Ms.</w:t>
      </w:r>
      <w:r>
        <w:rPr>
          <w:rFonts w:ascii="Arial" w:cs="Arial" w:eastAsia="Arial" w:hAnsi="Arial"/>
          <w:sz w:val="18"/>
          <w:szCs w:val="18"/>
          <w:i w:val="1"/>
          <w:iCs w:val="1"/>
          <w:color w:val="auto"/>
        </w:rPr>
        <w:t xml:space="preserve"> </w:t>
      </w:r>
      <w:r>
        <w:rPr>
          <w:rFonts w:ascii="Arial" w:cs="Arial" w:eastAsia="Arial" w:hAnsi="Arial"/>
          <w:sz w:val="18"/>
          <w:szCs w:val="18"/>
          <w:color w:val="auto"/>
        </w:rPr>
        <w:t>Balaguer is responsible for all aspects of the human resources function, including benefits, recruitment, retention, and the employee lifecycle and employee experience for the company. Ms. Balaguer has over thirty-five years of extensive experience in global human resources for public and private companies, and over a decade of experience with public and private mergers and acquisitions, private equity, and large-scale business integrations. Before joining Parsons in 2021, she served as the Chief Human Resources Officer at Serco North America and Engility. She also previously served as the senior vice president of HR operations at CACI and, for over twenty years, she held progressive HR leadership positions at Raytheon.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8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SEC, including us. You may also access, free of charge, our reports filed with the SEC (for example, our Annual Report on Form 10-K, our Quarterly Reports on Form 10-Q, and our Current Reports on Form 8-K and any amendments to those forms) through the “Investors” portion of our website (www.parsons.com).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Annual Report, including our consolidated financial statements and the related notes,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Relating to Our Business</w:t>
      </w:r>
    </w:p>
    <w:p>
      <w:pPr>
        <w:spacing w:after="0" w:line="102" w:lineRule="exact"/>
        <w:rPr>
          <w:sz w:val="20"/>
          <w:szCs w:val="20"/>
          <w:color w:val="auto"/>
        </w:rPr>
      </w:pPr>
    </w:p>
    <w:p>
      <w:pPr>
        <w:ind w:left="1020" w:right="8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budgets, spending and priorities could change in a manner that adversely affects our future revenue and limits our growth prospects.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62"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4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and growth prospects may be harmed if we or our employees are unable to obtain government granted eligibility or other qualifications, we and they need to perform services for our customers.</w:t>
      </w:r>
    </w:p>
    <w:p>
      <w:pPr>
        <w:spacing w:after="0" w:line="46"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make acquisitions, investments, joint ventures and divestitures in the future that involve numerous risks, which if realized, may adversely affect our business and our future results.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acquisitions may not achieve their full intended benefits or may disrupt our plans and operations.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conduct a portion of our work through joint venture entities, some of which we do not have management control over, and with which we typically have joint and several liability with our joint venture partners.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85" w:lineRule="exact"/>
        <w:rPr>
          <w:sz w:val="20"/>
          <w:szCs w:val="20"/>
          <w:color w:val="auto"/>
        </w:rPr>
      </w:pPr>
    </w:p>
    <w:p>
      <w:pPr>
        <w:ind w:left="503" w:right="540" w:hanging="503"/>
        <w:spacing w:after="0" w:line="270"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earnings and profitability may vary based on the mix of our contracts and may be adversely affected by our failure to accurately estimate and manage costs, time and resources.</w:t>
      </w:r>
    </w:p>
    <w:p>
      <w:pPr>
        <w:spacing w:after="0" w:line="46" w:lineRule="exact"/>
        <w:rPr>
          <w:rFonts w:ascii="Times New Roman" w:cs="Times New Roman" w:eastAsia="Times New Roman" w:hAnsi="Times New Roman"/>
          <w:sz w:val="18"/>
          <w:szCs w:val="18"/>
          <w:color w:val="auto"/>
        </w:rPr>
      </w:pPr>
    </w:p>
    <w:p>
      <w:pPr>
        <w:ind w:left="503" w:right="20" w:hanging="503"/>
        <w:spacing w:after="0" w:line="270"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use estimates in recognizing revenues and, if we make changes to estimates used in recognizing revenues, our profitability may be adversely affected.</w:t>
      </w:r>
    </w:p>
    <w:p>
      <w:pPr>
        <w:spacing w:after="0" w:line="46" w:lineRule="exact"/>
        <w:rPr>
          <w:rFonts w:ascii="Times New Roman" w:cs="Times New Roman" w:eastAsia="Times New Roman" w:hAnsi="Times New Roman"/>
          <w:sz w:val="18"/>
          <w:szCs w:val="18"/>
          <w:color w:val="auto"/>
        </w:rPr>
      </w:pPr>
    </w:p>
    <w:p>
      <w:pPr>
        <w:ind w:left="503" w:right="20" w:hanging="503"/>
        <w:spacing w:after="0" w:line="270"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Systems that we develop, integrate, maintain, or otherwise support could experience security breaches which may damage our reputation with our clients and hinder future contract win rates.</w:t>
      </w:r>
    </w:p>
    <w:p>
      <w:pPr>
        <w:spacing w:after="0" w:line="46" w:lineRule="exact"/>
        <w:rPr>
          <w:rFonts w:ascii="Times New Roman" w:cs="Times New Roman" w:eastAsia="Times New Roman" w:hAnsi="Times New Roman"/>
          <w:sz w:val="18"/>
          <w:szCs w:val="18"/>
          <w:color w:val="auto"/>
        </w:rPr>
      </w:pPr>
    </w:p>
    <w:p>
      <w:pPr>
        <w:ind w:left="503" w:right="40" w:hanging="503"/>
        <w:spacing w:after="0" w:line="252"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62" w:lineRule="exact"/>
        <w:rPr>
          <w:rFonts w:ascii="Times New Roman" w:cs="Times New Roman" w:eastAsia="Times New Roman" w:hAnsi="Times New Roman"/>
          <w:sz w:val="18"/>
          <w:szCs w:val="18"/>
          <w:color w:val="auto"/>
        </w:rPr>
      </w:pPr>
    </w:p>
    <w:p>
      <w:pPr>
        <w:ind w:left="503" w:right="120" w:hanging="503"/>
        <w:spacing w:after="0" w:line="252"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62" w:lineRule="exact"/>
        <w:rPr>
          <w:rFonts w:ascii="Times New Roman" w:cs="Times New Roman" w:eastAsia="Times New Roman" w:hAnsi="Times New Roman"/>
          <w:sz w:val="18"/>
          <w:szCs w:val="18"/>
          <w:color w:val="auto"/>
        </w:rPr>
      </w:pPr>
    </w:p>
    <w:p>
      <w:pPr>
        <w:ind w:left="503" w:right="740" w:hanging="503"/>
        <w:spacing w:after="0" w:line="300" w:lineRule="auto"/>
        <w:tabs>
          <w:tab w:leader="none" w:pos="503"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23" w:lineRule="exact"/>
        <w:rPr>
          <w:rFonts w:ascii="Times New Roman" w:cs="Times New Roman" w:eastAsia="Times New Roman" w:hAnsi="Times New Roman"/>
          <w:sz w:val="17"/>
          <w:szCs w:val="17"/>
          <w:color w:val="auto"/>
        </w:rPr>
      </w:pPr>
    </w:p>
    <w:p>
      <w:pPr>
        <w:ind w:left="503" w:hanging="503"/>
        <w:spacing w:after="0" w:line="270"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the impact of supply chain disruption and inflation risk upon the cost of providing materials and services to customers and upon the profitability for certain contracts.</w:t>
      </w:r>
    </w:p>
    <w:p>
      <w:pPr>
        <w:spacing w:after="0" w:line="4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may be impacted by the imposition of tariffs upon markets in which we conduct business.</w:t>
      </w:r>
    </w:p>
    <w:p>
      <w:pPr>
        <w:spacing w:after="0" w:line="116" w:lineRule="exact"/>
        <w:rPr>
          <w:rFonts w:ascii="Times New Roman" w:cs="Times New Roman" w:eastAsia="Times New Roman" w:hAnsi="Times New Roman"/>
          <w:sz w:val="18"/>
          <w:szCs w:val="18"/>
          <w:color w:val="auto"/>
        </w:rPr>
      </w:pPr>
    </w:p>
    <w:p>
      <w:pPr>
        <w:ind w:left="503" w:right="300" w:hanging="503"/>
        <w:spacing w:after="0" w:line="270"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Goodwill and intangible assets represent a significant amount of our total assets, and any impairment of these assets would negatively impact our results of operations.</w:t>
      </w:r>
    </w:p>
    <w:p>
      <w:pPr>
        <w:spacing w:after="0" w:line="46" w:lineRule="exact"/>
        <w:rPr>
          <w:rFonts w:ascii="Times New Roman" w:cs="Times New Roman" w:eastAsia="Times New Roman" w:hAnsi="Times New Roman"/>
          <w:sz w:val="18"/>
          <w:szCs w:val="18"/>
          <w:color w:val="auto"/>
        </w:rPr>
      </w:pPr>
    </w:p>
    <w:p>
      <w:pPr>
        <w:ind w:left="503" w:right="200" w:hanging="503"/>
        <w:spacing w:after="0" w:line="252"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62" w:lineRule="exact"/>
        <w:rPr>
          <w:rFonts w:ascii="Times New Roman" w:cs="Times New Roman" w:eastAsia="Times New Roman" w:hAnsi="Times New Roman"/>
          <w:sz w:val="18"/>
          <w:szCs w:val="18"/>
          <w:color w:val="auto"/>
        </w:rPr>
      </w:pPr>
    </w:p>
    <w:p>
      <w:pPr>
        <w:ind w:left="503" w:right="120" w:hanging="503"/>
        <w:spacing w:after="0" w:line="252"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62" w:lineRule="exact"/>
        <w:rPr>
          <w:rFonts w:ascii="Times New Roman" w:cs="Times New Roman" w:eastAsia="Times New Roman" w:hAnsi="Times New Roman"/>
          <w:sz w:val="18"/>
          <w:szCs w:val="18"/>
          <w:color w:val="auto"/>
        </w:rPr>
      </w:pPr>
    </w:p>
    <w:p>
      <w:pPr>
        <w:ind w:left="503" w:right="240" w:hanging="503"/>
        <w:spacing w:after="0" w:line="270"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46" w:lineRule="exact"/>
        <w:rPr>
          <w:rFonts w:ascii="Times New Roman" w:cs="Times New Roman" w:eastAsia="Times New Roman" w:hAnsi="Times New Roman"/>
          <w:sz w:val="18"/>
          <w:szCs w:val="18"/>
          <w:color w:val="auto"/>
        </w:rPr>
      </w:pPr>
    </w:p>
    <w:p>
      <w:pPr>
        <w:ind w:left="503" w:right="380" w:hanging="503"/>
        <w:spacing w:after="0" w:line="252"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operations in the Middle East, neighboring regions, and other regions across the globe, and these regions may experience turmoil, political upheaval and similar crises that may impact our current projects, future business, and financial stability.</w:t>
      </w:r>
    </w:p>
    <w:p>
      <w:pPr>
        <w:spacing w:after="0" w:line="6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realize the full value of our backlog, which may result in lower-than-expected revenue.</w:t>
      </w:r>
    </w:p>
    <w:p>
      <w:pPr>
        <w:spacing w:after="0" w:line="116" w:lineRule="exact"/>
        <w:rPr>
          <w:rFonts w:ascii="Times New Roman" w:cs="Times New Roman" w:eastAsia="Times New Roman" w:hAnsi="Times New Roman"/>
          <w:sz w:val="18"/>
          <w:szCs w:val="18"/>
          <w:color w:val="auto"/>
        </w:rPr>
      </w:pPr>
    </w:p>
    <w:p>
      <w:pPr>
        <w:ind w:left="503" w:right="80" w:hanging="503"/>
        <w:spacing w:after="0" w:line="252"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62" w:lineRule="exact"/>
        <w:rPr>
          <w:rFonts w:ascii="Times New Roman" w:cs="Times New Roman" w:eastAsia="Times New Roman" w:hAnsi="Times New Roman"/>
          <w:sz w:val="18"/>
          <w:szCs w:val="18"/>
          <w:color w:val="auto"/>
        </w:rPr>
      </w:pPr>
    </w:p>
    <w:p>
      <w:pPr>
        <w:ind w:left="503" w:right="360" w:hanging="503"/>
        <w:spacing w:after="0" w:line="270" w:lineRule="auto"/>
        <w:tabs>
          <w:tab w:leader="none" w:pos="50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extreme weather events, including floods, hurricanes, droughts, and wildfires, including as a result of climate change or supply shortages, could have an adverse impact on our business and operations.</w:t>
      </w:r>
    </w:p>
    <w:p>
      <w:pPr>
        <w:spacing w:after="0" w:line="384" w:lineRule="exact"/>
        <w:rPr>
          <w:sz w:val="20"/>
          <w:szCs w:val="20"/>
          <w:color w:val="auto"/>
        </w:rPr>
      </w:pPr>
    </w:p>
    <w:p>
      <w:pPr>
        <w:jc w:val="center"/>
        <w:ind w:right="397"/>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3"/>
          </w:cols>
          <w:pgMar w:left="837" w:top="1440" w:right="439" w:bottom="1440" w:gutter="0" w:footer="0" w:header="0"/>
        </w:sectPr>
      </w:pPr>
    </w:p>
    <w:bookmarkStart w:id="28" w:name="page29"/>
    <w:bookmarkEnd w:id="28"/>
    <w:p>
      <w:pPr>
        <w:spacing w:after="0" w:line="85" w:lineRule="exact"/>
        <w:rPr>
          <w:sz w:val="20"/>
          <w:szCs w:val="20"/>
          <w:color w:val="auto"/>
        </w:rPr>
      </w:pPr>
    </w:p>
    <w:p>
      <w:pPr>
        <w:ind w:left="1020" w:right="20" w:hanging="503"/>
        <w:spacing w:after="0" w:line="23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global COVID-19 pandemic and variants thereof. The pandemic resulted in governments around the world implementing increasingly stringent measures to help control the spread of the virus, including quarantines, “shelter in place” and “stay at home” orders, travel restrictions, business curtailments, school closures, and other measures. While many of these restrictions have been removed or reduced, the spread of new variants or viruses may result in the imposition of additional restrictions. In addition, governments and central banks in several parts of the world have enacted, or may enact in the future, fiscal and monetary stimulus measures to counteract the impacts of any such emergency. The extent to which any emergency may impact our business will depend on future developments, which are highly uncertain and unpredictable, and the resultant financial impact cannot be estimated reasonably at this time but may materially adversely affect our ability to collect accounts receivables and our business, results of operations, financial condition and cash flows. Further, the economic impact of such events may cause extreme volatility in financial and other capital markets which may continue to adversely impact our stock price and our ability to access capital markets. Health emergencies may also have the effect of heightening many of the other risks described in this Annual Report on Form 10-K for the year ended December 31, 2023, such as those relating to government spending and priorities.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Our Common Stock</w:t>
      </w:r>
    </w:p>
    <w:p>
      <w:pPr>
        <w:spacing w:after="0" w:line="102" w:lineRule="exact"/>
        <w:rPr>
          <w:sz w:val="20"/>
          <w:szCs w:val="20"/>
          <w:color w:val="auto"/>
        </w:rPr>
      </w:pPr>
    </w:p>
    <w:p>
      <w:pPr>
        <w:jc w:val="both"/>
        <w:ind w:left="10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Your ability to influence corporate matters may be limited because the ESOP beneficially owns a significant amount of our stock and therefore our employees, voting the shares allocated to them under the ESOP, or the ESOP Trustee, who will have the right to vote shares for which no voting instructions are provided by employees, could have substantial control over us.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Government Contracts</w:t>
      </w:r>
    </w:p>
    <w:p>
      <w:pPr>
        <w:spacing w:after="0" w:line="214"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Government spending and priorities could change in a manner that adversely affects our future revenue and limits our growth prospects.</w:t>
      </w:r>
    </w:p>
    <w:p>
      <w:pPr>
        <w:spacing w:after="0" w:line="31"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derive, and expect to continue to derive, a significant portion of our revenue from contracts with government entities. As a result, our business depends upon continued government expenditures on defense, intelligence, civil and engineering programs for which we provide support, both among foreign governments and at federal, state and local levels domestically. These expenditures have not remained constant over time. Our business, prospects, financial condition or operating results could be materially harmed, among other causes, by the following:</w:t>
      </w:r>
    </w:p>
    <w:p>
      <w:pPr>
        <w:spacing w:after="0" w:line="68" w:lineRule="exact"/>
        <w:rPr>
          <w:sz w:val="20"/>
          <w:szCs w:val="20"/>
          <w:color w:val="auto"/>
        </w:rPr>
      </w:pPr>
    </w:p>
    <w:p>
      <w:pPr>
        <w:ind w:left="1020" w:right="60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budgetary constraints, including mandated automatic spending cuts, affecting across-the-board government spending, or specific agencies in particular, and changes in available funding;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shift in expenditures away from agencies or programs that we support;</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reduced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improve efficiency and reduce costs affecting government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delays in government programs that we support or the programs’ requirements;</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shutdowns due to, among other reasons, a failure by elected officials to fund the government, such as the shutdowns which occurred during government fiscal years 2019 and 2014 and, to a lesser extent, government fiscal year 2018, and other potential delays in the appropriations process;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5" w:lineRule="exact"/>
        <w:rPr>
          <w:sz w:val="20"/>
          <w:szCs w:val="20"/>
          <w:color w:val="auto"/>
        </w:rPr>
      </w:pPr>
    </w:p>
    <w:p>
      <w:pPr>
        <w:ind w:left="1020" w:right="4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resolutions (CRs) which are temporary spending bills that allow federal government operations to continue when final appropriations have not been enacted. CRs generally continue the level of funding from the prior year’s appropriations or the previously approved CR from the current year;</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payment of our invoices by government payment offices;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elections, including politicians who may have priorities that would reduce spending in areas in which we operate;</w:t>
      </w:r>
    </w:p>
    <w:p>
      <w:pPr>
        <w:spacing w:after="0" w:line="11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46"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7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Any disruption in the functioning of government agencies, including as a result of government closures and shutdowns, terrorism, war, natural disasters, destruction of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74" w:lineRule="exact"/>
        <w:rPr>
          <w:sz w:val="20"/>
          <w:szCs w:val="20"/>
          <w:color w:val="auto"/>
        </w:rPr>
      </w:pPr>
    </w:p>
    <w:p>
      <w:pPr>
        <w:ind w:right="320" w:firstLine="509"/>
        <w:spacing w:after="0" w:line="244" w:lineRule="auto"/>
        <w:rPr>
          <w:sz w:val="20"/>
          <w:szCs w:val="20"/>
          <w:color w:val="auto"/>
        </w:rPr>
      </w:pPr>
      <w:r>
        <w:rPr>
          <w:rFonts w:ascii="Arial" w:cs="Arial" w:eastAsia="Arial" w:hAnsi="Arial"/>
          <w:sz w:val="18"/>
          <w:szCs w:val="18"/>
          <w:color w:val="auto"/>
        </w:rPr>
        <w:t>In particular, with regard to our largest single customer, the U.S. federal government, budget deficits, the national debt and the prevailing economic condition, and actions taken to address them, could negatively affect the U.S. government expenditures on defense, intelligence, and civil programs for which we provide support. One customer set within the federal government exceeded 20% of Parsons’ revenue during 2025. The volume of work awarded to Parsons pursuant to the second-year option for a large confidential contract was significantly reduced during 2025 and is currently winding down.</w:t>
      </w:r>
    </w:p>
    <w:p>
      <w:pPr>
        <w:spacing w:after="0" w:line="17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Most government contracts are subject to the government’s budgetary approval process. Legislatures typically appropriate funds for a given program on a year-by-year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competing priorities for appropriation, changes in administration or control of legislatures and the timing and amount of tax receipts and the overall level of government expenditures. Similarly, the impact of an economic downturn on state and local governments may make it more difficult for them to fund infrastructure projects. If appropriations are not made in subsequent years on our government contracts, then we will not realize all of our potential revenue and profit from that contract, and we may incur substantial labor costs without reimbursement.</w:t>
      </w:r>
    </w:p>
    <w:p>
      <w:pPr>
        <w:spacing w:after="0" w:line="18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Government funding with respect to our Critical Infrastructure services fluctuates over time and new or changing government policies and priorities may affect our Critical Infrastructure business and operations. Government spending for our Critical Infrastructure services may also depend on factors related to government demand, such as the condition of the existing infrastructure and buildings and the need for new or expanded infrastructure and buildings. Our government clients may face budget cuts or deficits that prohibit them from funding proposed and existing Critical Infrastructure projects.</w:t>
      </w:r>
    </w:p>
    <w:p>
      <w:pPr>
        <w:spacing w:after="0" w:line="17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These or other factors could cause our defense, intelligence, infrastructure or civil clients to decrease the number of new government contracts awarded generally and fail to award us new government contracts, reduce their purchases under our existing government contracts, exercise their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right to terminate our government contracts or not exercise options to renew our government contracts, any of which could materially and adversely affect our business, financial condition and results of operations.</w:t>
      </w:r>
    </w:p>
    <w:p>
      <w:pPr>
        <w:spacing w:after="0" w:line="264"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U.S. federal government and its agencies, including the military and intelligence community, collectively are our largest customer. In particular, it represents substantially all of the revenue of our Federal Solutions segment. Approximately 19% and 23% of accounts receivable as of December 31, 2025 and December 31, 2024, respectively were derived from contracts with the U.S. federal government and its agencies. Our reputation and relationships with various U.S. government entities and agencies, including the U.S. Department of War, the U.S. Department of State, the Federal Aviation Administration, the United States Intelligence Community, and other federal civilian customers are key factors in maintaining and growing these revenues and winning new bids for new business. Negative press reports or publicity, regardless of accuracy, could harm our reputation. If our reputation or relationships with government agencies were to be negatively affected, or if we are suspended or debarred from contracting with government agencies for any reason, the amount of business with government and other customers would decrease and our financial condition and results of operations could be adversely affected.</w:t>
      </w:r>
    </w:p>
    <w:p>
      <w:pPr>
        <w:spacing w:after="0" w:line="2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5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government contracts, which affect how we do business with our customers and may impose added costs on our business.</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Many of our U.S. government contracts contain organizational conflict of interest, or OCI, clauses that may limit our ability to compete for or perform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7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Some U.S. federal and state statutes and regulations provide for automatic debarment based on our actions, such as violations of the U.S. False Claims Act or the U.S. Foreign Corrupt Practices Act, or FCPA. The suspension or debarment in any particular case may be limited to the facility, contract or subsidiary involved in the violation or could be applied to our entire enterprise in severe circumstances. Even a narrow scope suspension or debarment could result in negative publicity that could adversely affect our ability to renew contracts and to secure new contracts, both with governments and private customers, which could materially and adversely affect our business, financial condition and results of operations.</w:t>
      </w:r>
    </w:p>
    <w:p>
      <w:pPr>
        <w:spacing w:after="0" w:line="28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Governments may adopt new contract rules and regulations or revise their procurement practices in a manner adverse to us at any time.</w:t>
      </w:r>
    </w:p>
    <w:p>
      <w:pPr>
        <w:spacing w:after="0" w:line="31"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government-related industries within which we do business continue to experience significant changes to business practices as a result of an increased focus on affordability, efficiencies and recovery of costs, among other items. Our existing and potential clients are similarly focused on increasing the productivity of their contractual arrangements. Moreover,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Moreover, shifts in the buying practices of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business, financial condition and results of operations.</w:t>
      </w:r>
    </w:p>
    <w:p>
      <w:pPr>
        <w:spacing w:after="0" w:line="284"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Government agencies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or CAS, can result in decremented billing rates to U.S. government customers until the control deficiencies are corrected and their remediation is accepted by the Defense Contract Management Agency.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83"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If a review or investigation by a government agency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industries. If we incur a material penalty or administrative sanction or otherwise suffer harm to our reputation, our profitability, cash position and future prospects could be adversely affected.</w:t>
      </w:r>
    </w:p>
    <w:p>
      <w:pPr>
        <w:spacing w:after="0" w:line="17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and those refunds would negatively impact our revenue.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government.</w:t>
      </w:r>
    </w:p>
    <w:p>
      <w:pPr>
        <w:spacing w:after="0" w:line="2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5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Government contracts often contain provisions and are subject to laws and regulations that provide government clients with rights and remedies not typically found in commercial contracts. These rights and remedies allow government clients, among other things, to:</w:t>
      </w:r>
    </w:p>
    <w:p>
      <w:pPr>
        <w:spacing w:after="0" w:line="46" w:lineRule="exact"/>
        <w:rPr>
          <w:sz w:val="20"/>
          <w:szCs w:val="20"/>
          <w:color w:val="auto"/>
        </w:rPr>
      </w:pPr>
    </w:p>
    <w:p>
      <w:pPr>
        <w:ind w:left="5520" w:right="3480" w:hanging="5003"/>
        <w:spacing w:after="0" w:line="803" w:lineRule="auto"/>
        <w:tabs>
          <w:tab w:leader="none" w:pos="1022"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existing contracts, with short notice, for convenience as well as for default;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5"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reduce orders under or otherwise modify contracts;</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for contracts subject to the Truthful Cost and Pricing statute, reduce the contract price or cost where it was increased because a contractor or subcontractor furnished cost or pricing data during negotiations that was not complete, accurate and current;</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for some contracts, (1) demand a refund, make a forward price adjustment or terminate a contract for default if a contractor provided inaccurate or incomplete data during the contract negotiation process and (2) reduce the contract price under triggering circumstances, including the revision of price lists or other documents upon which the contract award was predicated;</w:t>
      </w:r>
    </w:p>
    <w:p>
      <w:pPr>
        <w:spacing w:after="0" w:line="62"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our facility security clearances and thereby prevent us from receiving classified contracts and complete work on existing contracts;</w:t>
      </w:r>
    </w:p>
    <w:p>
      <w:pPr>
        <w:spacing w:after="0" w:line="46" w:lineRule="exact"/>
        <w:rPr>
          <w:rFonts w:ascii="Times New Roman" w:cs="Times New Roman" w:eastAsia="Times New Roman" w:hAnsi="Times New Roman"/>
          <w:sz w:val="18"/>
          <w:szCs w:val="18"/>
          <w:color w:val="auto"/>
        </w:rPr>
      </w:pPr>
    </w:p>
    <w:p>
      <w:pPr>
        <w:ind w:left="1020" w:right="88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cancel multi-year contracts and related task orders if funds for contract performance for any subsequent year become unavailable;</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decline to exercise an option to renew a multi-year contract or issue task orders in connection with indefinite delivery/indefinite quantity contracts, or IDIQ contracts;</w:t>
      </w:r>
    </w:p>
    <w:p>
      <w:pPr>
        <w:spacing w:after="0" w:line="46" w:lineRule="exact"/>
        <w:rPr>
          <w:rFonts w:ascii="Times New Roman" w:cs="Times New Roman" w:eastAsia="Times New Roman" w:hAnsi="Times New Roman"/>
          <w:sz w:val="18"/>
          <w:szCs w:val="18"/>
          <w:color w:val="auto"/>
        </w:rPr>
      </w:pPr>
    </w:p>
    <w:p>
      <w:pPr>
        <w:jc w:val="both"/>
        <w:ind w:left="1020" w:right="6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62"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62" w:lineRule="exact"/>
        <w:rPr>
          <w:rFonts w:ascii="Times New Roman" w:cs="Times New Roman" w:eastAsia="Times New Roman" w:hAnsi="Times New Roman"/>
          <w:sz w:val="18"/>
          <w:szCs w:val="18"/>
          <w:color w:val="auto"/>
        </w:rPr>
      </w:pPr>
    </w:p>
    <w:p>
      <w:pPr>
        <w:jc w:val="both"/>
        <w:ind w:left="1020" w:right="38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debar us from doing business with the applicable government;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control or prohibit the export of our services.</w:t>
      </w:r>
    </w:p>
    <w:p>
      <w:pPr>
        <w:spacing w:after="0" w:line="22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government client were to unexpectedly terminate, cancel, or decline to exercise an option to renew with respect to one or more of our significant contracts, or suspend or debar us from doing business with such government, our revenue and operating results would be materially harmed.</w:t>
      </w:r>
    </w:p>
    <w:p>
      <w:pPr>
        <w:spacing w:after="0" w:line="28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Our revenue and growth prospects may be harmed if we or our employees are unable to obtain government granted eligibility or other qualifications, we and they need to perform services for our customers.</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 number of government programs require contractors to have certain kinds of government granted eligibility, such as security clearance credentials. Depending on the project, eligibility can be difficult and time-consuming to obtain. If we or our employees are unable to obtain or retain the necessary eligibility, including local ownership requirements, we may not be able to win new business, and our existing customers could terminate their contracts with us or decide not to renew them. To the extent we cannot obtain or maintain the required security clearances for our employees working on a particular contract, we may not derive the revenue or profit anticipated from such contract.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Operations and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10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46" w:lineRule="exact"/>
        <w:rPr>
          <w:sz w:val="20"/>
          <w:szCs w:val="20"/>
          <w:color w:val="auto"/>
        </w:rPr>
      </w:pPr>
    </w:p>
    <w:p>
      <w:pPr>
        <w:ind w:left="1020" w:right="78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4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employees’ ability to obtain or retain necessary security clearances or required certifications;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or delays or cancellations of projects, as a result of governmental budgetary processes or otherwise;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manage attrition;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upon the cost of services and materials provided to customers;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22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If our employees are under-utilized, our profit margin and profitability could suffer. Additionally, if our employees are over-utilized, it could have a material adverse effect on employee morale and attrition, which would in turn have a material adverse impact on our business, financial condition or results of operations.</w:t>
      </w:r>
    </w:p>
    <w:p>
      <w:pPr>
        <w:spacing w:after="0" w:line="169"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real estate expenses, overhead and capital and other investment-related expenditures. If we are unable to effectively manage our costs and expenses and achieve efficiencies, our competitiveness and profitability may be adversely affected.</w:t>
      </w:r>
    </w:p>
    <w:p>
      <w:pPr>
        <w:spacing w:after="0" w:line="284"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focused on growing our presence in our addressable markets by enhancing and optimizing our core operations, extending into opportunity-rich adjacent markets and acquiring and integrating transformative, disruptive technologies. These efforts entail inherent risks associated with innovation and competition from other participants in those areas, potential failure to help our clients respond to the challenges they face, our ability to comply with uncertain evolving legal standards applicable to some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described in additional detail below.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our financial condition.</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addition, our ability to grow our business by leveraging our operating model to deploy our people efficiently and effectively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financial condition and results of operations.</w:t>
      </w:r>
    </w:p>
    <w:p>
      <w:pPr>
        <w:spacing w:after="0" w:line="176"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financial condition and results of operations.</w:t>
      </w:r>
    </w:p>
    <w:p>
      <w:pPr>
        <w:spacing w:after="0" w:line="289"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have submitted claims and change orders to clients for work we performed beyond the initial scope of some of our contracts. If these clients do not approve these claims and change orders, our results of operations could be adversely impacted.</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typically have pending claims and change orders submitted under some of our contracts for payment of work performed beyond the initial contractual requirements for which we have already recorded revenue. Our client may dispute these change orders and claims, and we cannot guarantee that such claims will be approved in whole, in part, or at all. Often, these claims and disputes can be the subject of lengthy arbitration or litigation proceedings, and it is difficult to accurately predict when these claims and disputes will be fully resolved. We may also renegotiate contracts to address these additional costs. When these types of events occur, we have used working capital in projects to cover cost overruns. If our claims are not approved or resolved, our revenue may be reduced in future periods.</w:t>
      </w:r>
    </w:p>
    <w:p>
      <w:pPr>
        <w:spacing w:after="0" w:line="28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5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 Our offerings cannot be tested and proven in all situations and are otherwise subject to unforeseen problems that could negatively affect revenue and profitability such as problems with governmental inaction, quality and workmanship, delivery of subcontractor components or services, unplanned degradation of product performance, unavailability of vendor materials and changes in the project scope requested by our clients. Among the factors that may adversely affect our business, financial condition or results of operations could be unforeseen costs and expenses not covered by insurance or indemnification from the customer, diversion of management focus in responding to unforeseen problems, loss of follow-on work, damage to our reputation and repayment to the customer of contract cost and fee payments we previously received.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30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face aggressive competition that can impact our ability to obtain contracts and may affect our future revenues, profitability and growth prospects.</w:t>
      </w:r>
    </w:p>
    <w:p>
      <w:pPr>
        <w:spacing w:after="0" w:line="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For example,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 award contracts. Our failure to compete effectively in this procurement environment would adversely affect our business, financial condition and results of operations.</w:t>
      </w:r>
    </w:p>
    <w:p>
      <w:pPr>
        <w:spacing w:after="0" w:line="18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Projects may be awarded based solely upon price, but often take into account other factors, such as technical qualifications, proposed project team, schedule and past performance on similar projects. We compete with larger companies that have greater name recognition, financial resources and larger technical staffs and with smaller, more specialized companies that are able to concentrate their resources on particular areas. Additionally, we may compete with a government’s own capabilities. Technology-focused companies may also develop products and services that could disrupt our business or compete with our services. To remain competitive, we must consistently provide superior service, technology and performance on a cost-effective basis to our customers and there is no assurance that we will do so.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global tax laws or their interpretation could have a material impact on our effective income tax rate.</w:t>
      </w:r>
    </w:p>
    <w:p>
      <w:pPr>
        <w:spacing w:after="0" w:line="210"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are subject to income taxes in the U.S. and numerous foreign jurisdictions. Accordingly, our effective tax rate is impacted by changes in the mix of earnings in countries with differing tax rates and the changes in tax laws or their interpretation. Due to economic and political conditions, many tax jurisdictions, including the U.S., have called for comprehensive changes to fiscal and tax policies that could significantly impact how we are taxed on our domestic and foreign earnings. Such changes, if enacted into law, could increase our effective tax rate and have a material adverse impact on our financial condition and results of operations. For example, the Organization for Economic Co-Operation and Development has developed a two-pillar framework to reform and modernize international tax rules, including the release of global minimum tax standards referred to as the Pillar Two Model Rules (and also referred to as the Global Anti-Base Erosion or “GloBE” rules). Several jurisdictions in which we operate have enacted these rules and are effective for the Company’s 2025 fiscal year. The Company has considered the impact of the GloBE implementation in its provision for income taxes based on currently enacted legislation and continues to monitor the impacts of pending enactments and changes to the GloBE rules.</w:t>
      </w:r>
    </w:p>
    <w:p>
      <w:pPr>
        <w:spacing w:after="0" w:line="180" w:lineRule="exact"/>
        <w:rPr>
          <w:sz w:val="20"/>
          <w:szCs w:val="20"/>
          <w:color w:val="auto"/>
        </w:rPr>
      </w:pPr>
    </w:p>
    <w:p>
      <w:pPr>
        <w:ind w:right="340" w:firstLine="509"/>
        <w:spacing w:after="0" w:line="242" w:lineRule="auto"/>
        <w:rPr>
          <w:sz w:val="20"/>
          <w:szCs w:val="20"/>
          <w:color w:val="auto"/>
        </w:rPr>
      </w:pPr>
      <w:r>
        <w:rPr>
          <w:rFonts w:ascii="Arial" w:cs="Arial" w:eastAsia="Arial" w:hAnsi="Arial"/>
          <w:sz w:val="18"/>
          <w:szCs w:val="18"/>
          <w:color w:val="auto"/>
        </w:rPr>
        <w:t>We are also subject to regular examination by tax authorities. Although we believe that our positions are reasonable, they could be materially affected by many factors, including the final outcome of tax audits, introduction of new income tax legislation or regulations and related interpretations. We regularly assess the likelihood of an adverse outcome resulting from these examinations to determine the adequacy of our provision for income taxes. There can be no assurance as to the outcome of these examinations. If the ultimate determination of our taxes owed is for an amount in excess of amounts previously accrued, our financial condition and results operation could be materially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Acquisitions and Joint Ventures</w:t>
      </w:r>
    </w:p>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may make acquisitions, investments, joint ventures and divestitures in the future that involve numerous risks, which if realized, may adversely affect our business and our future results.</w:t>
      </w:r>
    </w:p>
    <w:p>
      <w:pPr>
        <w:spacing w:after="0" w:line="3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Agreement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68" w:lineRule="exact"/>
        <w:rPr>
          <w:sz w:val="20"/>
          <w:szCs w:val="20"/>
          <w:color w:val="auto"/>
        </w:rPr>
      </w:pPr>
    </w:p>
    <w:p>
      <w:pPr>
        <w:ind w:left="1020" w:right="34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successfully integrate acquired businesses, such as failing to successfully integrate information technology and other control systems relating to the operations of any acquired business;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5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financial condition and results of operations could be adversely affected.</w:t>
      </w:r>
    </w:p>
    <w:p>
      <w:pPr>
        <w:spacing w:after="0" w:line="169" w:lineRule="exact"/>
        <w:rPr>
          <w:sz w:val="20"/>
          <w:szCs w:val="20"/>
          <w:color w:val="auto"/>
        </w:rPr>
      </w:pPr>
    </w:p>
    <w:p>
      <w:pPr>
        <w:ind w:right="340" w:firstLine="509"/>
        <w:spacing w:after="0" w:line="242" w:lineRule="auto"/>
        <w:rPr>
          <w:sz w:val="20"/>
          <w:szCs w:val="20"/>
          <w:color w:val="auto"/>
        </w:rPr>
      </w:pPr>
      <w:r>
        <w:rPr>
          <w:rFonts w:ascii="Arial" w:cs="Arial" w:eastAsia="Arial" w:hAnsi="Arial"/>
          <w:sz w:val="18"/>
          <w:szCs w:val="18"/>
          <w:color w:val="auto"/>
        </w:rPr>
        <w:t>In addition, we may periodically divest or plan to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business, financial condition or results of operations. When we determine that we would like to divest a business, we may not be able to divest that business on attractive terms or at all.</w:t>
      </w:r>
    </w:p>
    <w:p>
      <w:pPr>
        <w:spacing w:after="0" w:line="28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conduct a portion of our work through joint venture entities, some of which we do not have management control over, and with which we typically have joint and several liability with our joint venture partners.</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13% of our revenue during fiscal 2025, 12% of our revenue during fiscal 2024 and 13% of our revenue during fiscal 2023 was derived from our operations through consolidated joint ventures. In addition, 3.1% of our revenue during fiscal 2025, 2.7% of our revenue during fiscal 2024 and 3.9% of our revenues in fiscal 2023 related to services we provided to our unconsolidated joint ventures, where control resides with unaffiliated third parties, and 0.6% of our operating income during fiscal 2025, (5.5)% of our operating income during fiscal 2024 and (16.6)% of our operating income during fiscal 2023 was derived from equity in our unconsolidated joint ventures.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could potentially adversely impact the business and operations of a joint venture and, in turn, our business and operations.</w:t>
      </w:r>
    </w:p>
    <w:p>
      <w:pPr>
        <w:spacing w:after="0" w:line="21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Operating through joint ventures in which we are a minority holder results in us having limited control over many decisions made with respect to projects and internal controls relating to projects.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 material adverse effect on our business, financial condition and results of operations and could also affect our reputation in the industries we serve.</w:t>
      </w:r>
    </w:p>
    <w:p>
      <w:pPr>
        <w:spacing w:after="0" w:line="28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participate in joint ventures where we provide guarantees and may be adversely impacted by the failure of such joint venture or its participants to fulfill their obligations.</w:t>
      </w:r>
    </w:p>
    <w:p>
      <w:pPr>
        <w:spacing w:after="0" w:line="31"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We have investments in and commitments to joint ventures with unrelated parties. These joint ventures from time to time may borrow money to help finance their activities and, in some circumstances, we may be required to provide guarantees of the obligations of our affiliated entities. As of December 31, 2025, we had $184.4 million of letters of credit and guarantees that relate to joint ventures. If these entities are not able to honor their obligations under the guarantees, we may be required to expend additional resources or suffer losses, which could be significant.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may not achieve their full intended benefits or may disrupt our plans and operations.</w:t>
      </w:r>
    </w:p>
    <w:p>
      <w:pPr>
        <w:spacing w:after="0" w:line="10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cannot assure you that we will be able to successfully integrate acquired companies with our business or otherwise realize the expected benefits of our acquisitions. For example, in the last several years we have made four large acquisitions. The combination of multiple independent businesses will be a complex, costly, and time-consuming process. Our business may be negatively impacted following acquisitions if we are unable to effectively manage our expanded operations. The integration process will require significant time and focus from our management team and may divert attention from the day-to-day operations of the combined business. Additionally, consummation of acquisitions could disrupt our current plans and operations, which could delay the achievement of our strategic objectives.</w:t>
      </w:r>
    </w:p>
    <w:p>
      <w:pPr>
        <w:spacing w:after="0" w:line="17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expected synergies and operating efficiencies of the acquisitions may not be fully realized, which could result in increased costs and have a material adverse effect on our business, financial condition and results of operations. In addition, the overall integration of the businesses may result in material unanticipated problems, expenses, liabilities, competitive responses, loss of customer relationships and diversion of management’s attention, among other potential adverse consequences. The risks of combining our operations of the businesses include, among others:</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underestimated the costs to integrate the information systems of acquired companies with ours;</w:t>
      </w:r>
    </w:p>
    <w:p>
      <w:pPr>
        <w:spacing w:after="0" w:line="116"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difficulties in integrating employees, integrating different corporate cultures and in attracting and retaining key personnel;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challenges in keeping existing contracts and customers.</w:t>
      </w:r>
    </w:p>
    <w:p>
      <w:pPr>
        <w:spacing w:after="0" w:line="22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Many of these risks will be outside of our control and any one of them could result in increased costs, decreases in the amount of expected revenue, and diversion of our management’s time and energy, which could have a material adverse effect on our business, financial condition and results of operations. In addition, even if our operations are integrated successfully, we may not realize the full benefits of the acquisitions, including the synergies, operating efficiencies, or sales or growth opportunities that are expected. These benefits may not be achieved within the anticipated time frame or at all.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30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of if these parties fail to satisfy their obligations to us or the customer, our revenues, profitability and growth prospects could be adversely affected.</w:t>
      </w:r>
    </w:p>
    <w:p>
      <w:pPr>
        <w:spacing w:after="0" w:line="5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the other contractors eliminate or reduce their contract relationships with us, of if our government clients terminate or reduce these other contractors’ programs, do not award them new contracts or refuse to pay under a contract. Companies that do not have access to government contracts or experience with our customers may perform services as our subcontractor that we cannot otherwise provide ourselves, and that exposure could enhance such companies’ prospects of securing a future position as a prime government contractor which could increase competition for future contracts and impair our ability to win these contracts.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Whenever our subcontractors fail to timely meet their contractual obligations, have regulatory compliance or other problems, our ability to fulfill our obligations as a prime contractor or higher tier subcontractor may be jeopardized. Subcontractor performance deficiencies under subcontracts with us as the prime contractor could lead to significant losses in future periods and could result in our termination for default as the prime contractor even though it was the subcontractor that failed to perform and not our personnel.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Estimates and Accounting</w:t>
      </w:r>
    </w:p>
    <w:p>
      <w:pPr>
        <w:spacing w:after="0" w:line="214"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generate revenue under various types of contracts, which include time-and-materials, cost-plus and fixed-price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fee contracts, is finally determined. Cost-plus and time-and-materials contracts generally have lower profitability than fixed-price contracts. To varying degrees, each of our contract types involves some risk that we could underestimate the costs and resources necessary to fulfill the contract. Our profitability is adversely affected when we incur costs on cost-plus and time-and-materials contracts that we cannot bill to our customers. While fixed-price contracts allow us to benefit from cost savings, these contracts also increase our exposure to the risk of cost overruns.</w:t>
      </w:r>
    </w:p>
    <w:p>
      <w:pPr>
        <w:spacing w:after="0" w:line="18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Revenue derived from fixed-price contracts represented 34% of our total revenue during fiscal 2025, 42% of our total revenue during fiscal 2024, and 33% of our total revenue during fiscal 2023. When making proposals on fixed-price contracts, we rely heavily on our estimates of costs, scope and timing for completing the associated projects, as well as assumptions regarding technical issues. In particular, contracts in our Critical Infrastructure segment are often won in a hard-bid process, in which clients primarily select the lowest price from a qualified bidder with the understanding that they will not pay above the bid amount, even if we perform work beyond the initial scope of our contract. In each case, our failure to accurately estimate costs, scope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303"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significant portion of our contract revenues are recognized using the cost-to-cost measure of progress method. This method requires estimates of total costs at completion or measurement of progress towards completion. Particularly due to the technical nature of the services being performed and the length of the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w:t>
      </w:r>
    </w:p>
    <w:p>
      <w:pPr>
        <w:spacing w:after="0" w:line="4"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Changes in the underlying assumptions, circumstances or estimates could result in adjustments that may adversely affect our financial results of operations.</w:t>
      </w:r>
    </w:p>
    <w:p>
      <w:pPr>
        <w:spacing w:after="0" w:line="282"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Goodwill and intangible assets represent a significant amount of our total assets and any impairment of these assets would negatively impact our results of operations.</w:t>
      </w:r>
    </w:p>
    <w:p>
      <w:pPr>
        <w:spacing w:after="0" w:line="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December 31, 2025, we had goodwill and intangible assets of $2.5 billion. Goodwill is tested for impairment annually, or more often if indicators of potential impairment exist, and intangible assets are tested for impairment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Technology Systems</w:t>
      </w:r>
    </w:p>
    <w:p>
      <w:pPr>
        <w:spacing w:after="0" w:line="21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government or commercial clients. Work for non-government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business, financial condition and results of operations.</w:t>
      </w:r>
    </w:p>
    <w:p>
      <w:pPr>
        <w:spacing w:after="0" w:line="293"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5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help our clients detect, monitor and mitigate threats to their people, information and facilities. These threats may originate from nation states, terrorist or criminal actors, activist hackers or others who seek to harm our clients. There are many factors, some of which are beyond our control, which could result in the failure of our products to detect, monitor or mitigate these threats. Successful attacks on our clients may cause physical or reputational harm to us and our clients, as well as lead to liability claims against us by our clients or third parties, particularly if such attacks are a result of a failure or perceived failure of our services or technologies. In addition, as a result of our involvement with some clients or projects, our staff, information and facilities may be targeted by these or other threat actors and may be at risk for loss, or physical or reputational harm.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0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may be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financial condition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financial condition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1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4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adverse client reaction;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provide additional services to a client at no charge;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related to remediation, monitoring and increasing our cybersecurity;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government and commercial clients;</w:t>
      </w:r>
    </w:p>
    <w:p>
      <w:pPr>
        <w:spacing w:after="0" w:line="4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third-party information; or</w:t>
      </w:r>
    </w:p>
    <w:p>
      <w:pPr>
        <w:spacing w:after="0" w:line="46"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incur significant costs, including fines from government regulators related to complying with applicable federal or state law, including laws pertaining to the security and protection of personal information.</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9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5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some new business areas, we may not be able to obtain sufficient insurance and may decide not to accept or solicit business in these areas.</w:t>
      </w:r>
    </w:p>
    <w:p>
      <w:pPr>
        <w:spacing w:after="0" w:line="18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As a contractor supporting defense and national security clients, we are also subject to regulatory compliance requirements under the Federal Acquisition Regulations, the Defense Federal Acquisition Regulation Supplement and other federal regulations requiring that our networks and information technology systems comply with the security and privacy controls in National Institute of Standards and Technology Special Publications and similar documents. To the extent that we do not comply with the applicable security and control requirements, whether imposed by regulation or contract, unauthorized access or disclosure of sensitive information could potentially result in a contract termination that has a material adverse effect on our business, financial condition and results of operations and reputational harm.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Related to Legal Matters and Insurance</w:t>
      </w:r>
    </w:p>
    <w:p>
      <w:pPr>
        <w:spacing w:after="0" w:line="214"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Unavailability or cancellation of third-party insurance coverage would increase our overall risk exposure as well as disrupt the management of our business operations.</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 no assurance that any of our existing insurance coverage will be renewable upon the expiration of the coverage period or that future coverage will be affordable at the required limits.</w:t>
      </w:r>
    </w:p>
    <w:p>
      <w:pPr>
        <w:spacing w:after="0" w:line="28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31"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w:t>
      </w:r>
    </w:p>
    <w:p>
      <w:pPr>
        <w:spacing w:after="0" w:line="174"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The results of litigation and other legal proceedings, including the claims described under “Business—Legal Proceedings”, are inherently uncertain and adverse judgments or settlements in some or all of these legal disputes may result in materially adverse monetary damages or injunctive relief against us. Additionally, our insurance policies may not protect us against potential liability due to various exclusions in the policies and self-insured retention amounts. Partially or completely uninsured claims, if successful and of significant magnitude, could have a material adverse effect on our business, financial condition and results of operations. Furthermore, any claims or litigation, even if fully indemnified or insured, could damage our reputation and make it more difficult to compete effectively or obtain adequate insurance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0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varied as data privacy and protection, employment and labor relations, immigration, taxation, anti-corruption, import/export controls, trade restrictions, internal and disclosure control obligations, securities regulation and anti-competition. Compliance with complex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work and allegations by our customers that we have not performed our contractual obligations.</w:t>
      </w:r>
    </w:p>
    <w:p>
      <w:pPr>
        <w:spacing w:after="0" w:line="18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could adversely affect our business, financial condition and results of operations. Such misconduct could include fraud or other improper activities such as falsifying time or other records, failure to comply with our policies and procedures or violations of applicable laws and regulations.</w:t>
      </w:r>
    </w:p>
    <w:p>
      <w:pPr>
        <w:spacing w:after="0" w:line="286"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services and operations sometimes involve handling or disposing of hazardous substances or dangerous materials, and we are subject to environmental requirements and risks which could result in significant costs, liabilities and obligations.</w:t>
      </w:r>
    </w:p>
    <w:p>
      <w:pPr>
        <w:spacing w:after="0" w:line="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operations are subject to stringent and complex federal, state and local laws and regulations governing the discharge of materials into the environment, the health and safety aspects of our operations, or otherwise relating to environmental protection. Some of our services and operations involve the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Numerous governmental authorities, such as the U.S. Environmental Protection Agency, or the EPA, and analogous state agencies, have the power to enforce compliance with these laws and regulations and the permits issued under them. Such enforcement actions often involve difficult and costly compliance measures or corrective actions.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and could also result in investigations, the imposition of corrective action or remedial obligations, and the issuance of orders limiting or prohibiting some or all of our operations. In certain instances, citizen groups also have the ability to bring legal proceedings against us if we are not in compliance with environmental laws. In addition, claims for damages to persons or property, including natural resources, may result from the environmental, health and safety impacts of our operations. We, like other businesses, can never completely eliminate the risk of contamination or injury from certain materials that we use in our business. If we have any violations of, or incur liabilities pursuant to, these laws or regulations, it may result in a material adverse effect on our business, financial condition or results of operations.</w:t>
      </w:r>
    </w:p>
    <w:p>
      <w:pPr>
        <w:spacing w:after="0" w:line="18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received waste generated by our operations, regardless of whether such contamination resulted from the conduct of others or from the consequences of our own actions that were in compliance with all applicable laws at the time those actions were taken.</w:t>
      </w:r>
    </w:p>
    <w:p>
      <w:pPr>
        <w:spacing w:after="0" w:line="154"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We have limited, and potentially insufficient, insurance coverage for expenses and losses that may arise in connection with environmental contamination. Finally, in connection with certain acquisitions, we could acquire, or be required to provide indemnification against, environmental liabilities that could expose us to material losses.</w:t>
      </w:r>
    </w:p>
    <w:p>
      <w:pPr>
        <w:spacing w:after="0" w:line="2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Our failure to meet contractual schedule requirements, meet a required performance standard, meet our internal contractual performance projections or otherwise perform adequately on a project could adversely affect our business, financial condition or results of operations.</w:t>
      </w:r>
    </w:p>
    <w:p>
      <w:pPr>
        <w:spacing w:after="0" w:line="5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Under some of our contracts, we can incur liquidated or other damages if we do not achieve project completion by a scheduled date. In addition, our costs generally increase from schedule delays and/or could exceed our projections for a particular project.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and other factors. Any defects or errors, or failures to meet our clients’ expectations, in our projects or services could result in claims for damages against us and could adversely affect our reputation. Material performance problems for existing and future contracts could cause actual results of operations to differ from those anticipated by us and also could cause us to suffer damage to our reputation within our industries and client base.</w:t>
      </w:r>
    </w:p>
    <w:p>
      <w:pPr>
        <w:spacing w:after="0" w:line="290"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Failure to adequately protect, maintain, or enforce our rights in our intellectual property may adversely limit our competitive position.</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290"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31" w:lineRule="exact"/>
        <w:rPr>
          <w:sz w:val="20"/>
          <w:szCs w:val="20"/>
          <w:color w:val="auto"/>
        </w:rPr>
      </w:pPr>
    </w:p>
    <w:p>
      <w:pPr>
        <w:ind w:right="340" w:firstLine="509"/>
        <w:spacing w:after="0" w:line="244"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76"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International Operations</w:t>
      </w:r>
    </w:p>
    <w:p>
      <w:pPr>
        <w:spacing w:after="0" w:line="21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operations outside the United States expose us to legal, political and economic risks in different countries as well as currency exchange rate fluctuations that could harm our business and financial results.</w:t>
      </w:r>
    </w:p>
    <w:p>
      <w:pPr>
        <w:spacing w:after="0" w:line="31"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Revenue attributable to our services provided outside of the United States as a percentage of our total revenue was 26.1% in 2025, 22.6% in 2024 and 24.4% in 2023. There are risks inherent in doing business internationally, including:</w:t>
      </w:r>
    </w:p>
    <w:p>
      <w:pPr>
        <w:spacing w:after="0" w:line="4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governmental controls and changes in laws, regulations or policies;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and economic instability and turmoil internationally, including countries in the Middle East;</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civil unrest, acts of terrorism, force majeure, war, or other armed conflict, including the ongoing war and unrest in Israel, which has the potential to impact other countries in the Middle East;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greater physical security risks;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U.S. and other national government trade policies affecting the markets for our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practices, tariffs and taxes;</w:t>
      </w:r>
    </w:p>
    <w:p>
      <w:pPr>
        <w:spacing w:after="0" w:line="116" w:lineRule="exact"/>
        <w:rPr>
          <w:rFonts w:ascii="Times New Roman" w:cs="Times New Roman" w:eastAsia="Times New Roman" w:hAnsi="Times New Roman"/>
          <w:sz w:val="18"/>
          <w:szCs w:val="18"/>
          <w:color w:val="auto"/>
        </w:rPr>
      </w:pPr>
    </w:p>
    <w:p>
      <w:pPr>
        <w:ind w:left="1020" w:right="7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non-compliance with a wide variety of laws and regulations, including anti-corruption, U.S. export controls and economic and trade sanctions, and anti-boycott laws and similar non-U.S. laws and regulations;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labor conditions;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logistical and communication challenges;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rate fluctuations, devaluations and other conversion restrictions;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health and safety concerns, including those related to the COVID-19 pandemic, variants and other potential epidemics.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have a material adverse effect on our business, financial condition or results of operations.</w:t>
      </w:r>
    </w:p>
    <w:p>
      <w:pPr>
        <w:spacing w:after="0" w:line="32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have operations in the Middle East, neighboring regions, and other regions across the globe, and these regions may experience turmoil, political upheaval or similar crises that may impact our current projects, future business and financial stability.</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currently have operations in the Middle East, including in Oman, Qatar, Saudi Arabia, and the United Arab Emirates. This part of the world often has conflicts, such as the current Israel-Hamas situation. Further, we may undertake work in other countries that may experience turmoil, political upheaval, or other similar crises. This uncertainty may affect our ability to continue our projects in these regions due to lack of resources, local support, and safety for our workers. If we are unable to finish these projects, it is likely that our finances will be impacted. Furthermore, we may experience liability regarding our employees and their safety and security in these locations. We also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30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U.S. Foreign Corrupt Practices Act and similar worldwide anti-corruption laws.</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be certain that our internal control policies and procedures always will protect us from reckless or criminal acts committed by our employees or agents. In addition, from time to time, government investigations of corruption in industries we operate in may affect us and our peers. Violations of these laws, or allegations of such violations, could disrupt our business and result in a material adverse effect on our business, financial condition or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Debt and Backlog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lower-than-expected revenue.</w:t>
      </w:r>
    </w:p>
    <w:p>
      <w:pPr>
        <w:spacing w:after="0" w:line="10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As of December 31, 2025, our total backlog was $8.7 billion, of which $6.4 billion was funded. Our backlog includes orders under contracts that can extend for several years. We historically have not realized all of the revenue included in our total backlog, and we may not realize all of the revenue included in our total backlog in the future. There is a somewhat higher degree of risk in this regard with respect to unfunded backlog and backlog related to unexercised options years and IDIQ contracts for which task orders have not yet been issued.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government spending; in the case of funded backlog, the period of performance for the contract has expired; in the case of unfunded backlog, funding may not be available; in the case of backlog related to unexercised option years, the contract option is not yet exercised or may ever be exercised; and, in the case of backlog related to IDIQ contracts where task orders have not been issued, no further task orders may be issued. In addition, headcount growth is the primary means by which we are able to achieve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appropriations that reflect changes in government policies or priorities resulting from various military, political, economic or international developments; changes in the use of government contracting vehicles, and the provisions therein used to procure our services; and adjustments to the scope of services under, or cancellation of contracts, by the applicable government at any time. Furthermore, even if our backlog results in revenue, the contracts may not be profitable.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303"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of December 31, 2025, our accounts receivable, net was $1.1 billion We depend on the timely collection of our receivables to generate cash flow, provide working capital and continue our business operations. If our customers fail to pay or delay the payment of invoices for any reason, our business and financial condition may be materially and adversely affected. Our customers have in the past and may in the future delay or fail to pay invoices for a number of reasons, including lack of appropriated funds, lack of an approved budget or as a result of audit findings by government regulatory agencies. We also experience longer payment cycles in the Middle East. We cannot assure you that we will collect all our accounts receivable in excess of our allowance for doubtful accounts in a timely manner, which would impact our cash flows.</w:t>
      </w:r>
    </w:p>
    <w:p>
      <w:pPr>
        <w:spacing w:after="0" w:line="295"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The agreements governing our debt contain a number of restrictive covenants which may limit our ability to finance future operations, acquisitions or capital needs or engage in other business activities that may be in our interest.</w:t>
      </w:r>
    </w:p>
    <w:p>
      <w:pPr>
        <w:spacing w:after="0" w:line="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2025, our total indebtedness was approximately $1.2 billion. Our Credit Agreement and the agreements governing our Term Loan and Convertible Notes contain a number of covenants that impose operating and other restrictions on us and our subsidiaries. Such restrictions affect or will affect, and in many respects limit or prohibit our ability and the ability of our subsidiaries to, among other things:</w:t>
      </w:r>
    </w:p>
    <w:p>
      <w:pPr>
        <w:spacing w:after="0" w:line="6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indebtedness;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and make other distributions in respect of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redeem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make loans, advances, investments or other restricted payments;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sell assets or receivables;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certain business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amend our ESOP’s plan documents;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effect mergers or consolidations.</w:t>
      </w:r>
    </w:p>
    <w:p>
      <w:pPr>
        <w:spacing w:after="0" w:line="22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In addition, our Credit Agreement also requires us to comply with certain financial ratio covenants, including a debt leverage ratio and an interest charge coverage ratio. Our ability to comply with these ratios may be affected by events beyond our control.</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16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 breach of any of these covenants or our inability to comply with the required financial ratios could result in a default under our debt instruments. If an event of default occurs, our creditors could elect to:</w:t>
      </w:r>
    </w:p>
    <w:p>
      <w:pPr>
        <w:spacing w:after="0" w:line="4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declare all borrowings outstanding, together with accrued and unpaid interest, to be immediately due and payable;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apply all of our available cash to repay the borrowings;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making debt service payments on some of our borrowings.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3"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If we were unable to repay or otherwise refinance these borrowings when due, the lenders under our Credit Agreement could demand payment from subsidiary guarantors, as provided under our Credit Agreement. These guarantors constitute substantially all of our domestic, wholly owned subsidiaries’ assets.</w:t>
      </w:r>
    </w:p>
    <w:p>
      <w:pPr>
        <w:spacing w:after="0" w:line="279"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Parsons' ESOP is a qualified retirement plan under the Internal Revenue Code. If the ESOP failed to meet the requirements of a tax qualified retirement plan, we could be subject to substantial penalties.</w:t>
      </w:r>
    </w:p>
    <w:p>
      <w:pPr>
        <w:spacing w:after="0" w:line="31"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ESOP is a defined contribution retirement plan subject to the requirements of the Internal Revenue Code (Code) and the Employment Retirement Income Security Act (ERISA). The ESOP received a determination letter, dated January 31, 2012, from the Internal Revenue Service (IRS) that it meets the requirements of a tax qualified retirement plan in form, and we endeavor to maintain and administer the ESOP in compliance with all requirements of the Code and ERISA. However, the rules regarding tax qualified plans, and especially ESOPs, are complex and change frequently. Accordingly, it is possible that the ESOP may not have been administered in full compliance with all applicable rules under the Code or ERISA at all times.</w:t>
      </w:r>
    </w:p>
    <w:p>
      <w:pPr>
        <w:spacing w:after="0" w:line="179"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If the ESOP were determined not to be in material compliance with the Code or ERISA, then the ESOP could lose its tax qualified status and we could be subject to substantial penalties under the Code and ERISA which could have a material adverse effect on our business, financial condition or results of operations.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Employees</w:t>
      </w:r>
    </w:p>
    <w:p>
      <w:pPr>
        <w:spacing w:after="0" w:line="214"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A failure to attract, train and retain skilled employees and our senior management team would adversely affect our ability to execute our strategy and may disrupt our operations.</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recruiting, training and retaining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business, financial condition and results of operations.</w:t>
      </w:r>
    </w:p>
    <w:p>
      <w:pPr>
        <w:spacing w:after="0" w:line="18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27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a disruption in the management of our business.</w:t>
      </w:r>
    </w:p>
    <w:p>
      <w:pPr>
        <w:spacing w:after="0" w:line="31"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providing for a specific term of employment with any members of our senior management. The loss of any member of our senior management or our failure to continue to develop new members could impair our ability to identify and secure new contracts, to maintain good client relations, and to otherwise manage our business, and could have a material adverse effect on our business, financial condition and results of operations.</w:t>
      </w:r>
    </w:p>
    <w:p>
      <w:pPr>
        <w:spacing w:after="0" w:line="28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Negotiations with labor unions and possible work actions could divert management attention and disrupt operations. In addition, new collective bargaining agreements or amendments to existing agreements could increase our labor costs and operating expenses.</w:t>
      </w:r>
    </w:p>
    <w:p>
      <w:pPr>
        <w:spacing w:after="0" w:line="5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are signatory to approximately 10 active union collective bargaining agreements as of December 31, 2025 and employ more than 400 employees represented by unions. The outcome of any future negotiations relating to union representation or collective bargaining agreements for these or other employees in the future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spacing w:after="0" w:line="2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51"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Our field project sites and facilities, particularly in our Critical Infrastructure business, often put our employees and others in close proximity with mechanized equipment, moving vehicles, chemical and manufacturing processes, and highly regulated materials. On some field project sites and in some of our facilities, we may be responsible for safety and, accordingly, we have an obligation to implement effective safety procedures. If these procedures are not appropriately implemented or are ineffective, our employees could be injured or killed, and we could be exposed to possible litigation. As a result, our failure to maintain adequate safety standards and equipment could result in reduced profitability or the loss of projects or clients and could have a material adverse impact on our business, financial condition, and results of operations.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Related to Our Common Stock</w:t>
      </w:r>
    </w:p>
    <w:p>
      <w:pPr>
        <w:spacing w:after="0" w:line="214"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 the future, investors may lose confidence in the accuracy and completeness of our financial reports and the market price of our common stock may be negatively affected.</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The process of designing, implementing and testing the internal control over financial reporting required to comply with this obligation is time-consuming, costly and complicated. If we identify material weaknesses in our internal control over financial reporting, or if we are unable to comply in a timely manner with the management certification requirements of Section 404 of the Sarbanes-Oxley Act as to the effectiveness of our internal control over financial reporting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negatively affected, and we could become subject to investigations by our stock exchange, the SEC or other regulatory authorities, which could require additional financial and management resources.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stock price fluctuates, you could lose a significant part of your investment.</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stock may be influenced by many factors, some of which are beyond our control, including the following:</w:t>
      </w:r>
    </w:p>
    <w:p>
      <w:pPr>
        <w:spacing w:after="0" w:line="10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opinions and estimates of any securities analysts who publish research about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contracts, acquisitions or capital commitments;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quarterly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future sales of our common stock;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investor perception of us and the industries we operate in.</w:t>
      </w:r>
    </w:p>
    <w:p>
      <w:pPr>
        <w:spacing w:after="0" w:line="22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a result of these factors, investors in our common stock may not be able to resell their shares at or above the initial purchase price. These broad market and industry factors may materially reduce the market price of our common stock, regardless of our operating performance.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may drop.</w:t>
      </w:r>
    </w:p>
    <w:p>
      <w:pPr>
        <w:spacing w:after="0" w:line="10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Quarterly operating results may fluctuate.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6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broader stock market;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 of new products or services by us or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awards, backlog and book-to-bill ratios in a given period;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issuance of new or changed securities analysts’ reports or recommendations;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operations that vary from expectations of securities analysis and investors;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actions by us or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by us, our competitors or our acquisition targets;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sales, or anticipated sales, of large blocks of our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legal or political developments;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8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governmental investigations;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seasonality associated with U.S. federal, state, regional and local government funding and spending;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changing economic conditions;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default under agreements governing our indebtedness;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exchange rate fluctuations; and</w:t>
      </w:r>
    </w:p>
    <w:p>
      <w:pPr>
        <w:spacing w:after="0" w:line="116"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other events or factors, including those from natural disasters, war, actors of terrorism or responses to these events and pandemics, such as the COVID-19 pandemic.</w:t>
      </w:r>
    </w:p>
    <w:p>
      <w:pPr>
        <w:spacing w:after="0" w:line="15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95"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Sales of outstanding shares of our common stock into the market in the future by the ESOP could cause the market price of our common stock to drop significantly.</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At December 31, 2025, we had 145,676,335 shares of our common stock issued and 106,968,082 outstanding. Of these shares, 50,864,117 shares are owned by the ESOP, 56,103,965 shares are publicly owned, and 38,708,253 shares are Treasury stock. We are party to a registration rights agreement with the ESOP Trustee, providing the ESOP with certain demand registration rights related to shares held by the ESOP in the event the ESOP Trustee determines in good faith, in exercising its fiduciary duties under ERISA, that the ESOP is required to sell its shares, which we believe is only likely to occur if our business, financial condition or results of operations have materially and adversely deteriorated.</w:t>
      </w:r>
    </w:p>
    <w:p>
      <w:pPr>
        <w:spacing w:after="0" w:line="289"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Qualifying ESOP participants have the right to receive distributions of shares of our common stock from the ESOP and can sell such shares in the market.</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of December 31, 2025, there were 50,864,117 shares of common stock held in the ESOP. Shares held in the ESOP are eligible for sale in the public market, subject to applicable Rule 144 limitations, vesting restrictions and any applicable market standoff agreements and lock-up agreements. Participants are generally entitled to distributions from the ESOP only following termination of employment or upon death and in order to diversify their accounts upon attaining a specified age and completing a specified number of years of service. As previously noted in the section of Part 1, Item 1 entitled “Employee Stock Ownership Plan”, the board of directors previously approved amendments to the Employee Stock Ownership Plan to provide more flexible diversification rights for participants, the modification of the thresholds for distributions to participants in the ESOP for the provision of lump sum distributions to participants and removing the annual installments. Annual diversification elections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five-year vested termination distributions were not impacted and still occur annually and over installments as outlined in the Plan.</w:t>
      </w:r>
    </w:p>
    <w:p>
      <w:pPr>
        <w:spacing w:after="0" w:line="21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ESOP distributions are made in the form of shares of our common stock (other than distributions in respect of fractional shares, which will be made in cash). Upon receiving a distribution of our common stock from the ESOP, a participant will be able to sell such shares in the market. As a result, we cannot predict the effect, if any, that these distributions and the corresponding sales of shares by the participants may have on the market price of our common stock. Distribution of substantial amounts of our common stock to participants may cause the market price of our common stock to decline.</w:t>
      </w:r>
    </w:p>
    <w:p>
      <w:pPr>
        <w:spacing w:after="0" w:line="286"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The issuance of additional stock, not reserved for issuance under our equity incentive plans or otherwise, will dilute all other stockholdings.</w:t>
      </w:r>
    </w:p>
    <w:p>
      <w:pPr>
        <w:spacing w:after="0" w:line="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have an aggregate of 854,323,665 shares of common stock authorized but not outstanding and not reserved for issuance under our 2021 Plan, under our existing Incentive Plans or otherwise. We may issue all of these shares without any action or approval by our stockholders. The issuance of additional shares could be dilutive to existing holders. We historically have made annual contributions of our common stock to the ESOP. We made contributions of 1,172,622 shares in fiscal 2025, 633,033 shares in fiscal 2024, and 915,113 shares in fiscal 2023 of our common stock to the ESOP and intend to continue to make annual contributions in shares of our common stock to the ESOP. In fiscal 2025, 2024 and 2023, we made annual contributions to the ESOP in shares of our common stock in the amount of 8% of the participants’ cash compensation for the applicable year (net of shares forfeited by participants in the applicable year). For future fiscal years, the annual contribution to the ESOP shall be in amounts as determined by the board of directors.</w:t>
      </w: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Your ability to influence corporate matters may be limited because the ESOP beneficially owns a majority of our stock and therefore our ESOP participants, voting the shares allocated to them under the ESOP, or the ESOP Trustee, who will have the right to vote shares for which no voting instructions are provided by employees, could have substantial control over us.</w:t>
      </w:r>
    </w:p>
    <w:p>
      <w:pPr>
        <w:spacing w:after="0" w:line="5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common stock has one vote per share. The ESOP beneficially owns approximately 47% of our outstanding common stock, 39% of which is owned by current employees of Parsons Corporation. Under the terms of the ESOP, each participant has the ability to direct the ESOP Trustee on the voting of the shares allocated to his or her account under the ESOP. However, the ESOP Trustee will vote any shares that a participant does not direct the voting, or any shares that are held by the ESOP which are not allocated to participants’ accounts. As such, the ESOP Trustee may be able to exercise a greater influence than otherwise over matters requiring stockholder approval, including the election of directors and approval of significant corporate transactions.</w:t>
      </w:r>
    </w:p>
    <w:p>
      <w:pPr>
        <w:spacing w:after="0" w:line="17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purpose of the ESOP is to provide retirement income to employees and their beneficiaries. Accordingly, the interests of the ESOP and the ESOP participants may be contrary to yours as an outside investor.</w:t>
      </w:r>
    </w:p>
    <w:p>
      <w:pPr>
        <w:spacing w:after="0" w:line="15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ERISA sets forth certain fiduciary requirements that require an ERISA fiduciary, like the ESOP Trustee, to act solely in the interests of plan participants and their beneficiaries for the purpose of providing retirement benefits. The Department of Labor, which is the agency with the authority to interpret and enforce the fiduciary sections of ERISA, has indicated in its interpretative guidance that voting is an ERISA fiduciary act. The ESOP Trustee’s fiduciary duties under ERISA to the ESOP and its participants may cause the ESOP Trustee to override participants’ voting directions to the extent that following such directions would violate ERISA. In such case, the ESOP Trustee will be able to exercise voting control over all of the ESOP’s shares. Further, the interests of the minority stockholders may not be aligned with those of the ESOP as the majority stockholder, because the ESOP Trustee is required under ERISA to act in the best interest of the ESOP participants and beneficiaries, this may present a conflict.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a result, the concentration of ownership in our company by the ESOP could delay or prevent a change in control of our company or otherwise discourage a potential acquirer from attempting to obtain control of our company, which in turn could reduce the price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which could limit our business plan or adversely affect your investment.</w:t>
      </w:r>
    </w:p>
    <w:p>
      <w:pPr>
        <w:spacing w:after="0" w:line="10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business and strategic plans may consume resources faster than we anticipate. In the future, we may need to raise additional funds through the issuance of new equity securities, debt or a combination of both. However, any decline in the market price of our common stock could impair our ability to raise capital. Separately, additional financing may not be available on favorable terms, or at all. If adequate funds are not available on acceptable terms, we may be unable to fund our operations or new investments.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a change in management and limit our share price.</w:t>
      </w:r>
    </w:p>
    <w:p>
      <w:pPr>
        <w:spacing w:after="0" w:line="10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6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We have a number of anti-takeover devices that could hinder takeover attempts and could reduce the market value of our common stock or prevent sale at a premium. Our anti-takeover provisions:</w:t>
      </w:r>
    </w:p>
    <w:p>
      <w:pPr>
        <w:spacing w:after="0" w:line="4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our board of directors is classified into three classes with staggered, three-year terms and that directors may only be removed for cause;</w:t>
      </w:r>
    </w:p>
    <w:p>
      <w:pPr>
        <w:spacing w:after="0" w:line="46" w:lineRule="exact"/>
        <w:rPr>
          <w:rFonts w:ascii="Times New Roman" w:cs="Times New Roman" w:eastAsia="Times New Roman" w:hAnsi="Times New Roman"/>
          <w:sz w:val="18"/>
          <w:szCs w:val="18"/>
          <w:color w:val="auto"/>
        </w:rPr>
      </w:pPr>
    </w:p>
    <w:p>
      <w:pPr>
        <w:ind w:left="1020" w:right="30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special meetings of our stockholders can be called only by our board of directors, or a board committee authorized with the power to call such meetings;</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has the effect of requiring all stockholder actions to be taken at a meeting of our stockholders;</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 in the election of directors; and</w:t>
      </w:r>
    </w:p>
    <w:p>
      <w:pPr>
        <w:spacing w:after="0" w:line="11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stockholders’ meetings.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3" w:lineRule="exact"/>
        <w:rPr>
          <w:sz w:val="20"/>
          <w:szCs w:val="20"/>
          <w:color w:val="auto"/>
        </w:rPr>
      </w:pPr>
    </w:p>
    <w:p>
      <w:pPr>
        <w:ind w:right="600" w:firstLine="509"/>
        <w:spacing w:after="0" w:line="25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(DGCL). These provisions may prohibit large stockholders, in particular those owning 15% or more of our outstanding voting stock, from merging or combining with us for a period of time.</w:t>
      </w:r>
    </w:p>
    <w:p>
      <w:pPr>
        <w:spacing w:after="0" w:line="2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the following civil actions:</w:t>
      </w:r>
    </w:p>
    <w:p>
      <w:pPr>
        <w:spacing w:after="0" w:line="46"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right="94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by any of our directors, officers, employees or agents or our stockholders;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the DGCL or our certificate of incorporation or bylaws or as to which the DGCL confers jurisdiction on the Court of Chancery of the State of Delaware;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governed by the internal affairs doctrine.</w:t>
      </w:r>
    </w:p>
    <w:p>
      <w:pPr>
        <w:spacing w:after="0" w:line="224"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the stockholder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current plans to declare dividends.</w:t>
      </w:r>
    </w:p>
    <w:p>
      <w:pPr>
        <w:spacing w:after="0" w:line="102"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We do not currently pay a dividend and have no current plans to declare any cash dividends to holders of our common stock.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cash dividends should not purchase our common stock.</w:t>
      </w:r>
    </w:p>
    <w:p>
      <w:pPr>
        <w:spacing w:after="0" w:line="289"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1"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an analyst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04"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61" w:lineRule="exact"/>
        <w:rPr>
          <w:sz w:val="20"/>
          <w:szCs w:val="20"/>
          <w:color w:val="auto"/>
        </w:rPr>
      </w:pPr>
    </w:p>
    <w:p>
      <w:pPr>
        <w:jc w:val="both"/>
        <w:ind w:right="340" w:firstLine="869"/>
        <w:spacing w:after="0" w:line="261" w:lineRule="auto"/>
        <w:rPr>
          <w:sz w:val="20"/>
          <w:szCs w:val="20"/>
          <w:color w:val="auto"/>
        </w:rPr>
      </w:pPr>
      <w:r>
        <w:rPr>
          <w:rFonts w:ascii="Arial" w:cs="Arial" w:eastAsia="Arial" w:hAnsi="Arial"/>
          <w:sz w:val="18"/>
          <w:szCs w:val="18"/>
          <w:color w:val="auto"/>
        </w:rPr>
        <w:t>We use NIST Cybersecurity Framework and CIS Critical Security Controls as a guide to help us identify, assess, and manage cybersecurity relevant to our business. We are also structured to CMMC which aligns with DOW/Federal contractor program compliance. This does not imply that we meet any particular technical standards, specifications, or requirements.</w:t>
      </w:r>
    </w:p>
    <w:p>
      <w:pPr>
        <w:spacing w:after="0" w:line="54" w:lineRule="exact"/>
        <w:rPr>
          <w:sz w:val="20"/>
          <w:szCs w:val="20"/>
          <w:color w:val="auto"/>
        </w:rPr>
      </w:pPr>
    </w:p>
    <w:p>
      <w:pPr>
        <w:ind w:right="140" w:firstLine="869"/>
        <w:spacing w:after="0" w:line="252" w:lineRule="auto"/>
        <w:rPr>
          <w:sz w:val="20"/>
          <w:szCs w:val="20"/>
          <w:color w:val="auto"/>
        </w:rPr>
      </w:pPr>
      <w:r>
        <w:rPr>
          <w:rFonts w:ascii="Arial" w:cs="Arial" w:eastAsia="Arial" w:hAnsi="Arial"/>
          <w:sz w:val="18"/>
          <w:szCs w:val="18"/>
          <w:color w:val="auto"/>
        </w:rPr>
        <w:t>Our cybersecurity risk management program is integrated with our overall enterprise risk management program, and shares common methodologies, reporting channels and governance processes that apply across the enterprise risk management program to other legal, compliance, strategic, operational, and financial risk areas. Our cybersecurity risk management program includes the following key elements:</w:t>
      </w:r>
    </w:p>
    <w:p>
      <w:pPr>
        <w:spacing w:after="0" w:line="62" w:lineRule="exact"/>
        <w:rPr>
          <w:sz w:val="20"/>
          <w:szCs w:val="20"/>
          <w:color w:val="auto"/>
        </w:rPr>
      </w:pPr>
    </w:p>
    <w:p>
      <w:pPr>
        <w:ind w:left="1020" w:right="36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information, services, and our broader enterprise IT environment;</w:t>
      </w:r>
    </w:p>
    <w:p>
      <w:pPr>
        <w:spacing w:after="0" w:line="4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team comprised of IT security, IT infrastructure, and IT compliance personnel principally responsible for directing (1) our cybersecurity risk assessment processes; (2) our security processes; and (3) our response to cybersecurity incidents;</w:t>
      </w:r>
    </w:p>
    <w:p>
      <w:pPr>
        <w:spacing w:after="0" w:line="4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cybersecurity service providers, where appropriate, to assess, test or otherwise assist with aspects of our security processes;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employees with access to our IT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and Security Operations Center to respond to cybersecurity incidents;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service providers.</w:t>
      </w:r>
    </w:p>
    <w:p>
      <w:pPr>
        <w:spacing w:after="0" w:line="116"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conditions, as we have described in the Risk Factors section of this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Cybersecurity Governance</w:t>
      </w:r>
    </w:p>
    <w:p>
      <w:pPr>
        <w:spacing w:after="0" w:line="104" w:lineRule="exact"/>
        <w:rPr>
          <w:sz w:val="20"/>
          <w:szCs w:val="20"/>
          <w:color w:val="auto"/>
        </w:rPr>
      </w:pPr>
    </w:p>
    <w:p>
      <w:pPr>
        <w:ind w:right="220" w:firstLine="869"/>
        <w:spacing w:after="0" w:line="261" w:lineRule="auto"/>
        <w:rPr>
          <w:sz w:val="20"/>
          <w:szCs w:val="20"/>
          <w:color w:val="auto"/>
        </w:rPr>
      </w:pPr>
      <w:r>
        <w:rPr>
          <w:rFonts w:ascii="Arial" w:cs="Arial" w:eastAsia="Arial" w:hAnsi="Arial"/>
          <w:sz w:val="18"/>
          <w:szCs w:val="18"/>
          <w:color w:val="auto"/>
        </w:rPr>
        <w:t>Our Board considers cybersecurity risk as critical to the enterprise and delegates the cybersecurity risk oversight function to the Audit and Risk Committee. The Audit and Risk Committee oversees management’s design, implementation, and enforcement of our cybersecurity risk management program.</w:t>
      </w:r>
    </w:p>
    <w:p>
      <w:pPr>
        <w:spacing w:after="0" w:line="54" w:lineRule="exact"/>
        <w:rPr>
          <w:sz w:val="20"/>
          <w:szCs w:val="20"/>
          <w:color w:val="auto"/>
        </w:rPr>
      </w:pPr>
    </w:p>
    <w:p>
      <w:pPr>
        <w:ind w:firstLine="869"/>
        <w:spacing w:after="0" w:line="247" w:lineRule="auto"/>
        <w:rPr>
          <w:sz w:val="20"/>
          <w:szCs w:val="20"/>
          <w:color w:val="auto"/>
        </w:rPr>
      </w:pPr>
      <w:r>
        <w:rPr>
          <w:rFonts w:ascii="Arial" w:cs="Arial" w:eastAsia="Arial" w:hAnsi="Arial"/>
          <w:sz w:val="18"/>
          <w:szCs w:val="18"/>
          <w:color w:val="auto"/>
        </w:rPr>
        <w:t>Our Chief Security &amp; Risk Officer reports to the Chief Technology Officer and works closely with the Chief Legal Officer to ensure that all disclosure or reporting requirements are satisfied if an incident were to occur. The Chief Security &amp; Risk Officer leads Parsons’ overall cybersecurity function and provides quarterly reports to the Audit and Risk Committee on our cybersecurity risks, including briefings on our cybersecurity risk management program and cybersecurity incidents. The Audit and Risk Committee also receives periodic presentations on relevant cybersecurity topics as part of the Committee and the Board’s continuing education on topics that impact public companies.</w:t>
      </w:r>
    </w:p>
    <w:p>
      <w:pPr>
        <w:spacing w:after="0" w:line="69" w:lineRule="exact"/>
        <w:rPr>
          <w:sz w:val="20"/>
          <w:szCs w:val="20"/>
          <w:color w:val="auto"/>
        </w:rPr>
      </w:pPr>
    </w:p>
    <w:p>
      <w:pPr>
        <w:ind w:right="20" w:firstLine="869"/>
        <w:spacing w:after="0" w:line="245" w:lineRule="auto"/>
        <w:rPr>
          <w:sz w:val="20"/>
          <w:szCs w:val="20"/>
          <w:color w:val="auto"/>
        </w:rPr>
      </w:pPr>
      <w:r>
        <w:rPr>
          <w:rFonts w:ascii="Arial" w:cs="Arial" w:eastAsia="Arial" w:hAnsi="Arial"/>
          <w:sz w:val="18"/>
          <w:szCs w:val="18"/>
          <w:color w:val="auto"/>
        </w:rPr>
        <w:t>Our Chief Security &amp; Risk Officer supervises efforts to prevent, detect, mitigation and remediate cybersecurity risks and incidents through various means, which include briefings from internal security personnel; threat intelligence and other information obtained from governmental, public or private sources, including external cybersecurity service providers; and alerts and reports produced by security tools deployed in the IT environment. Our Chief Security &amp; Risk Officer is responsible for assessing and managing our material risks from cybersecurity threats and has primary responsibility for leading our overall cybersecurity risks management program and supervises both our internal cybersecurity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personnel and our external cybersecurity service providers. Our Chief Security &amp; Risk Officer has significant global experience in managing and leading IT and cybersecurity teams.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headquarters are located in Chantilly, Virginia. As of December 31, 2025, we leased 248 commercial facilities (including our headquarters) with an aggregate of approximately 2.7 million square feet of space across 37 U.S. states and 16 countries used in connection with the various services rendered to our customers. Additionally, we operate at several customer-accredited Sensitive Compartmented Information Facilities, which are highly specialized, secure facilities used to perform classified work for the United States intelligence community. We also have employees working at customer sites throughout the U.S. and in other countries. We believe our facilities are adequate for our current and presently foreseeable needs.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environmental matters and other business matters. Although the outcome of any such matter is inherently uncertain and may be materially adverse, based on current information, except as noted below, we believe there are no pending lawsuits or claims that may have a material adverse effect on our business, financial condition or results of operations.</w:t>
      </w:r>
    </w:p>
    <w:p>
      <w:pPr>
        <w:spacing w:after="0" w:line="18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In March 2025, the court granted Parsons’ motion for summary judgment. The Relator has appealed this decision. We anticipate that oral argument will be heard by the appellate court in 2026.</w:t>
      </w:r>
    </w:p>
    <w:p>
      <w:pPr>
        <w:spacing w:after="0" w:line="18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 The appellate briefs have been filed with Parsons having until February 2026 to file their final brief. We anticipate oral argument will occur in 2026.</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this time, the Company is unable to determine the probability of the outcome of the litigation.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000"/>
        <w:spacing w:after="0" w:line="3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Arial" w:cs="Arial" w:eastAsia="Arial" w:hAnsi="Arial"/>
          <w:sz w:val="18"/>
          <w:szCs w:val="18"/>
          <w:color w:val="auto"/>
        </w:rPr>
        <w:t>Our common stock is listed on the NYSE under the ticker symbol “PSN”.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During the years ended December 31, 2025, 2024 and 2023, the Company did not declare any dividends. We currently do not intend to declare or pay any cash dividends in the foreseeable future. Any determination to pay dividends on our capital stock will be at the discretion of our board of directors, subject to applicable laws, and will depend on our financial condition, results of operations, capital requirements, restrictions under our Convertible Senior Notes, or the Term Loan and Credit Agreement, and other factors that our board of directors considers relevant.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 to the records of our transfer agent, there were two shareholders of record as of February 3, 2026.</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following table provides information as of December 31, 2025 regarding compensation plans under which our equity securities are authorized for issuance.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Issued upon Exercise of</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 Warrants</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Equity compensation plans approved by</w:t>
            </w:r>
          </w:p>
        </w:tc>
        <w:tc>
          <w:tcPr>
            <w:tcW w:w="2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320" w:type="dxa"/>
            <w:vAlign w:val="bottom"/>
            <w:shd w:val="clear" w:color="auto" w:fill="CFF0FC"/>
          </w:tcPr>
          <w:p>
            <w:pPr>
              <w:jc w:val="center"/>
              <w:ind w:left="30"/>
              <w:spacing w:after="0" w:line="177"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1"/>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security holders (1)</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1,217,941</w:t>
            </w:r>
          </w:p>
        </w:tc>
        <w:tc>
          <w:tcPr>
            <w:tcW w:w="3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4"/>
        </w:trPr>
        <w:tc>
          <w:tcPr>
            <w:tcW w:w="3700" w:type="dxa"/>
            <w:vAlign w:val="bottom"/>
          </w:tcPr>
          <w:p>
            <w:pPr>
              <w:spacing w:after="0" w:line="183" w:lineRule="exact"/>
              <w:rPr>
                <w:sz w:val="20"/>
                <w:szCs w:val="20"/>
                <w:color w:val="auto"/>
              </w:rPr>
            </w:pPr>
            <w:r>
              <w:rPr>
                <w:rFonts w:ascii="Arial" w:cs="Arial" w:eastAsia="Arial" w:hAnsi="Arial"/>
                <w:sz w:val="18"/>
                <w:szCs w:val="18"/>
                <w:color w:val="auto"/>
              </w:rPr>
              <w:t>Equity compensation plans not approved by</w:t>
            </w:r>
          </w:p>
        </w:tc>
        <w:tc>
          <w:tcPr>
            <w:tcW w:w="2200" w:type="dxa"/>
            <w:vAlign w:val="bottom"/>
          </w:tcPr>
          <w:p>
            <w:pPr>
              <w:spacing w:after="0"/>
              <w:rPr>
                <w:sz w:val="15"/>
                <w:szCs w:val="15"/>
                <w:color w:val="auto"/>
              </w:rPr>
            </w:pPr>
          </w:p>
        </w:tc>
        <w:tc>
          <w:tcPr>
            <w:tcW w:w="280" w:type="dxa"/>
            <w:vAlign w:val="bottom"/>
          </w:tcPr>
          <w:p>
            <w:pPr>
              <w:jc w:val="center"/>
              <w:ind w:left="10"/>
              <w:spacing w:after="0" w:line="183" w:lineRule="exact"/>
              <w:rPr>
                <w:sz w:val="20"/>
                <w:szCs w:val="20"/>
                <w:color w:val="auto"/>
              </w:rPr>
            </w:pPr>
            <w:r>
              <w:rPr>
                <w:rFonts w:ascii="Arial" w:cs="Arial" w:eastAsia="Arial" w:hAnsi="Arial"/>
                <w:sz w:val="18"/>
                <w:szCs w:val="18"/>
                <w:color w:val="auto"/>
                <w:w w:val="99"/>
              </w:rPr>
              <w:t>(</w:t>
            </w: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security holders</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1,591,245</w:t>
            </w:r>
          </w:p>
        </w:tc>
        <w:tc>
          <w:tcPr>
            <w:tcW w:w="2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3</w:t>
            </w:r>
          </w:p>
        </w:tc>
        <w:tc>
          <w:tcPr>
            <w:tcW w:w="2200" w:type="dxa"/>
            <w:vAlign w:val="bottom"/>
          </w:tcPr>
          <w:p>
            <w:pPr>
              <w:spacing w:after="0"/>
              <w:rPr>
                <w:sz w:val="17"/>
                <w:szCs w:val="17"/>
                <w:color w:val="auto"/>
              </w:rPr>
            </w:pPr>
          </w:p>
        </w:tc>
        <w:tc>
          <w:tcPr>
            <w:tcW w:w="260" w:type="dxa"/>
            <w:vAlign w:val="bottom"/>
            <w:vMerge w:val="restart"/>
          </w:tcPr>
          <w:p>
            <w:pPr>
              <w:spacing w:after="0"/>
              <w:rPr>
                <w:sz w:val="17"/>
                <w:szCs w:val="17"/>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6,931,420</w:t>
            </w:r>
          </w:p>
        </w:tc>
        <w:tc>
          <w:tcPr>
            <w:tcW w:w="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1,591,245</w:t>
            </w:r>
          </w:p>
        </w:tc>
        <w:tc>
          <w:tcPr>
            <w:tcW w:w="280" w:type="dxa"/>
            <w:vAlign w:val="bottom"/>
            <w:tcBorders>
              <w:bottom w:val="single" w:sz="8" w:color="CFF0FC"/>
            </w:tcBorders>
            <w:shd w:val="clear" w:color="auto" w:fill="CFF0FC"/>
          </w:tcPr>
          <w:p>
            <w:pPr>
              <w:spacing w:after="0"/>
              <w:rPr>
                <w:sz w:val="20"/>
                <w:szCs w:val="20"/>
                <w:color w:val="auto"/>
              </w:rPr>
            </w:pPr>
          </w:p>
        </w:tc>
        <w:tc>
          <w:tcPr>
            <w:tcW w:w="2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8,149,361</w:t>
            </w:r>
          </w:p>
        </w:tc>
        <w:tc>
          <w:tcPr>
            <w:tcW w:w="3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the 2020 Employee Stock Purchase Plan.</w:t>
      </w:r>
    </w:p>
    <w:p>
      <w:pPr>
        <w:spacing w:after="0" w:line="15" w:lineRule="exact"/>
        <w:rPr>
          <w:rFonts w:ascii="Arial" w:cs="Arial" w:eastAsia="Arial" w:hAnsi="Arial"/>
          <w:sz w:val="14"/>
          <w:szCs w:val="14"/>
          <w:color w:val="auto"/>
        </w:rPr>
      </w:pPr>
    </w:p>
    <w:p>
      <w:pPr>
        <w:ind w:left="520" w:right="160" w:hanging="512"/>
        <w:spacing w:after="0" w:line="24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represents 1,217,941 shares remaining available for future issuance under the 2020 Employee Stock Purchase Plan (of which 79,496 shares were purchased pursuant to the offering period that ended on December 31, 2025).</w:t>
      </w:r>
    </w:p>
    <w:p>
      <w:pPr>
        <w:ind w:left="520" w:right="480" w:hanging="512"/>
        <w:spacing w:after="0" w:line="24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represents the sum of 1,591,245 shares of common stock subject to outstanding RSU and PSU awards under the 2019 Incentive Plan (with PSU awards reflected at “target” levels),</w:t>
      </w: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represents 6,931,420 shares remaining available for future issuance under the 2019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following graph compares the cumulative total return, from December 31, 2020 through December 31, 2025, to shareholders of Parsons Corporation common stock relative to the cumulative total returns of the Russell 2000 Index and the Standard and Poor’s IT Consulting &amp; Other Services Index. The graph assumes that the value of the initial investment in our common stock and each of the two indexes was $100 on December 31, 2020, and tracks it through December 31, 2025 (including reinvestment of dividends). The stock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115570</wp:posOffset>
            </wp:positionV>
            <wp:extent cx="5177790" cy="4303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77790"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spacing w:after="0"/>
              <w:rPr>
                <w:sz w:val="19"/>
                <w:szCs w:val="19"/>
                <w:color w:val="auto"/>
              </w:rPr>
            </w:pPr>
          </w:p>
        </w:tc>
        <w:tc>
          <w:tcPr>
            <w:tcW w:w="1180" w:type="dxa"/>
            <w:vAlign w:val="bottom"/>
          </w:tcPr>
          <w:p>
            <w:pPr>
              <w:ind w:left="400"/>
              <w:spacing w:after="0"/>
              <w:rPr>
                <w:sz w:val="20"/>
                <w:szCs w:val="20"/>
                <w:color w:val="auto"/>
              </w:rPr>
            </w:pPr>
            <w:r>
              <w:rPr>
                <w:rFonts w:ascii="Arial" w:cs="Arial" w:eastAsia="Arial" w:hAnsi="Arial"/>
                <w:sz w:val="16"/>
                <w:szCs w:val="16"/>
                <w:b w:val="1"/>
                <w:bCs w:val="1"/>
                <w:color w:val="auto"/>
              </w:rPr>
              <w:t>12/20</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12/21</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12/22</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12/23</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12/24</w:t>
            </w:r>
          </w:p>
        </w:tc>
        <w:tc>
          <w:tcPr>
            <w:tcW w:w="780" w:type="dxa"/>
            <w:vAlign w:val="bottom"/>
          </w:tcPr>
          <w:p>
            <w:pPr>
              <w:ind w:left="280"/>
              <w:spacing w:after="0"/>
              <w:rPr>
                <w:sz w:val="20"/>
                <w:szCs w:val="20"/>
                <w:color w:val="auto"/>
              </w:rPr>
            </w:pPr>
            <w:r>
              <w:rPr>
                <w:rFonts w:ascii="Arial" w:cs="Arial" w:eastAsia="Arial" w:hAnsi="Arial"/>
                <w:sz w:val="16"/>
                <w:szCs w:val="16"/>
                <w:b w:val="1"/>
                <w:bCs w:val="1"/>
                <w:color w:val="auto"/>
              </w:rPr>
              <w:t>12/25</w:t>
            </w:r>
          </w:p>
        </w:tc>
      </w:tr>
      <w:tr>
        <w:trPr>
          <w:trHeight w:val="385"/>
        </w:trPr>
        <w:tc>
          <w:tcPr>
            <w:tcW w:w="4460" w:type="dxa"/>
            <w:vAlign w:val="bottom"/>
          </w:tcPr>
          <w:p>
            <w:pPr>
              <w:spacing w:after="0"/>
              <w:rPr>
                <w:sz w:val="20"/>
                <w:szCs w:val="20"/>
                <w:color w:val="auto"/>
              </w:rPr>
            </w:pPr>
            <w:r>
              <w:rPr>
                <w:rFonts w:ascii="Arial" w:cs="Arial" w:eastAsia="Arial" w:hAnsi="Arial"/>
                <w:sz w:val="16"/>
                <w:szCs w:val="16"/>
                <w:b w:val="1"/>
                <w:bCs w:val="1"/>
                <w:color w:val="auto"/>
              </w:rPr>
              <w:t>Parsons Corp.</w:t>
            </w:r>
          </w:p>
        </w:tc>
        <w:tc>
          <w:tcPr>
            <w:tcW w:w="1180" w:type="dxa"/>
            <w:vAlign w:val="bottom"/>
          </w:tcPr>
          <w:p>
            <w:pPr>
              <w:ind w:left="400"/>
              <w:spacing w:after="0"/>
              <w:rPr>
                <w:sz w:val="20"/>
                <w:szCs w:val="20"/>
                <w:color w:val="auto"/>
              </w:rPr>
            </w:pPr>
            <w:r>
              <w:rPr>
                <w:rFonts w:ascii="Arial" w:cs="Arial" w:eastAsia="Arial" w:hAnsi="Arial"/>
                <w:sz w:val="16"/>
                <w:szCs w:val="16"/>
                <w:b w:val="1"/>
                <w:bCs w:val="1"/>
                <w:color w:val="auto"/>
              </w:rPr>
              <w:t>100.00</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92.42</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127.03</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172.23</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253.36</w:t>
            </w:r>
          </w:p>
        </w:tc>
        <w:tc>
          <w:tcPr>
            <w:tcW w:w="780" w:type="dxa"/>
            <w:vAlign w:val="bottom"/>
          </w:tcPr>
          <w:p>
            <w:pPr>
              <w:ind w:left="280"/>
              <w:spacing w:after="0"/>
              <w:rPr>
                <w:sz w:val="20"/>
                <w:szCs w:val="20"/>
                <w:color w:val="auto"/>
              </w:rPr>
            </w:pPr>
            <w:r>
              <w:rPr>
                <w:rFonts w:ascii="Arial" w:cs="Arial" w:eastAsia="Arial" w:hAnsi="Arial"/>
                <w:sz w:val="16"/>
                <w:szCs w:val="16"/>
                <w:b w:val="1"/>
                <w:bCs w:val="1"/>
                <w:color w:val="auto"/>
                <w:w w:val="98"/>
              </w:rPr>
              <w:t>169.73</w:t>
            </w:r>
          </w:p>
        </w:tc>
      </w:tr>
      <w:tr>
        <w:trPr>
          <w:trHeight w:val="189"/>
        </w:trPr>
        <w:tc>
          <w:tcPr>
            <w:tcW w:w="4460" w:type="dxa"/>
            <w:vAlign w:val="bottom"/>
          </w:tcPr>
          <w:p>
            <w:pPr>
              <w:spacing w:after="0"/>
              <w:rPr>
                <w:sz w:val="20"/>
                <w:szCs w:val="20"/>
                <w:color w:val="auto"/>
              </w:rPr>
            </w:pPr>
            <w:r>
              <w:rPr>
                <w:rFonts w:ascii="Arial" w:cs="Arial" w:eastAsia="Arial" w:hAnsi="Arial"/>
                <w:sz w:val="16"/>
                <w:szCs w:val="16"/>
                <w:b w:val="1"/>
                <w:bCs w:val="1"/>
                <w:color w:val="auto"/>
              </w:rPr>
              <w:t>Russell 2000</w:t>
            </w:r>
          </w:p>
        </w:tc>
        <w:tc>
          <w:tcPr>
            <w:tcW w:w="1180" w:type="dxa"/>
            <w:vAlign w:val="bottom"/>
          </w:tcPr>
          <w:p>
            <w:pPr>
              <w:ind w:left="400"/>
              <w:spacing w:after="0"/>
              <w:rPr>
                <w:sz w:val="20"/>
                <w:szCs w:val="20"/>
                <w:color w:val="auto"/>
              </w:rPr>
            </w:pPr>
            <w:r>
              <w:rPr>
                <w:rFonts w:ascii="Arial" w:cs="Arial" w:eastAsia="Arial" w:hAnsi="Arial"/>
                <w:sz w:val="16"/>
                <w:szCs w:val="16"/>
                <w:b w:val="1"/>
                <w:bCs w:val="1"/>
                <w:color w:val="auto"/>
              </w:rPr>
              <w:t>100.00</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114.82</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91.35</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106.82</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119.14</w:t>
            </w:r>
          </w:p>
        </w:tc>
        <w:tc>
          <w:tcPr>
            <w:tcW w:w="780" w:type="dxa"/>
            <w:vAlign w:val="bottom"/>
          </w:tcPr>
          <w:p>
            <w:pPr>
              <w:ind w:left="280"/>
              <w:spacing w:after="0"/>
              <w:rPr>
                <w:sz w:val="20"/>
                <w:szCs w:val="20"/>
                <w:color w:val="auto"/>
              </w:rPr>
            </w:pPr>
            <w:r>
              <w:rPr>
                <w:rFonts w:ascii="Arial" w:cs="Arial" w:eastAsia="Arial" w:hAnsi="Arial"/>
                <w:sz w:val="16"/>
                <w:szCs w:val="16"/>
                <w:b w:val="1"/>
                <w:bCs w:val="1"/>
                <w:color w:val="auto"/>
                <w:w w:val="98"/>
              </w:rPr>
              <w:t>134.40</w:t>
            </w:r>
          </w:p>
        </w:tc>
      </w:tr>
      <w:tr>
        <w:trPr>
          <w:trHeight w:val="223"/>
        </w:trPr>
        <w:tc>
          <w:tcPr>
            <w:tcW w:w="4460" w:type="dxa"/>
            <w:vAlign w:val="bottom"/>
          </w:tcPr>
          <w:p>
            <w:pPr>
              <w:spacing w:after="0"/>
              <w:rPr>
                <w:sz w:val="20"/>
                <w:szCs w:val="20"/>
                <w:color w:val="auto"/>
              </w:rPr>
            </w:pPr>
            <w:r>
              <w:rPr>
                <w:rFonts w:ascii="Arial" w:cs="Arial" w:eastAsia="Arial" w:hAnsi="Arial"/>
                <w:sz w:val="16"/>
                <w:szCs w:val="16"/>
                <w:b w:val="1"/>
                <w:bCs w:val="1"/>
                <w:color w:val="auto"/>
              </w:rPr>
              <w:t>S&amp;P Composite 1500 IT Consulting &amp; Other Services</w:t>
            </w:r>
          </w:p>
        </w:tc>
        <w:tc>
          <w:tcPr>
            <w:tcW w:w="1180" w:type="dxa"/>
            <w:vAlign w:val="bottom"/>
          </w:tcPr>
          <w:p>
            <w:pPr>
              <w:ind w:left="400"/>
              <w:spacing w:after="0"/>
              <w:rPr>
                <w:sz w:val="20"/>
                <w:szCs w:val="20"/>
                <w:color w:val="auto"/>
              </w:rPr>
            </w:pPr>
            <w:r>
              <w:rPr>
                <w:rFonts w:ascii="Arial" w:cs="Arial" w:eastAsia="Arial" w:hAnsi="Arial"/>
                <w:sz w:val="16"/>
                <w:szCs w:val="16"/>
                <w:b w:val="1"/>
                <w:bCs w:val="1"/>
                <w:color w:val="auto"/>
              </w:rPr>
              <w:t>100.00</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137.94</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105.38</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133.79</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151.97</w:t>
            </w:r>
          </w:p>
        </w:tc>
        <w:tc>
          <w:tcPr>
            <w:tcW w:w="780" w:type="dxa"/>
            <w:vAlign w:val="bottom"/>
          </w:tcPr>
          <w:p>
            <w:pPr>
              <w:ind w:left="280"/>
              <w:spacing w:after="0"/>
              <w:rPr>
                <w:sz w:val="20"/>
                <w:szCs w:val="20"/>
                <w:color w:val="auto"/>
              </w:rPr>
            </w:pPr>
            <w:r>
              <w:rPr>
                <w:rFonts w:ascii="Arial" w:cs="Arial" w:eastAsia="Arial" w:hAnsi="Arial"/>
                <w:sz w:val="16"/>
                <w:szCs w:val="16"/>
                <w:b w:val="1"/>
                <w:bCs w:val="1"/>
                <w:color w:val="auto"/>
                <w:w w:val="98"/>
              </w:rPr>
              <w:t>154.21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59" w:name="page60"/>
    <w:bookmarkEnd w:id="59"/>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2026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Any purchases made by the Company during Q1 of 2025 were deducted from the reset capacity.</w:t>
      </w:r>
    </w:p>
    <w:p>
      <w:pPr>
        <w:spacing w:after="0" w:line="6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As of December 31, 2025, the Company has spent $ 204.7 million (which includes commissions paid of $71 thousand) repurchasing 3,535,849 shares of Common Stock at an average price of $57.89 per share.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Company’s purchase of equity securities for the three months ended December 31,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8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340" w:type="dxa"/>
            <w:vAlign w:val="bottom"/>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Period</w:t>
            </w:r>
          </w:p>
        </w:tc>
        <w:tc>
          <w:tcPr>
            <w:tcW w:w="14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81"/>
        </w:trPr>
        <w:tc>
          <w:tcPr>
            <w:tcW w:w="4080" w:type="dxa"/>
            <w:vAlign w:val="bottom"/>
            <w:vMerge w:val="continue"/>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2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660" w:type="dxa"/>
            <w:vAlign w:val="bottom"/>
            <w:gridSpan w:val="2"/>
            <w:vMerge w:val="restart"/>
          </w:tcPr>
          <w:p>
            <w:pPr>
              <w:jc w:val="center"/>
              <w:ind w:left="115"/>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share (or unit) (1)</w:t>
            </w:r>
          </w:p>
        </w:tc>
        <w:tc>
          <w:tcPr>
            <w:tcW w:w="16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rPr>
              <w:t>plans programs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0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October 1 to 31, 2025</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185,005,893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November 1 to 30, 2025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235,596</w:t>
            </w: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84.89</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235,596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165,006,133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December 1 to 31, 2025</w:t>
            </w: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620,832</w:t>
            </w:r>
          </w:p>
        </w:tc>
        <w:tc>
          <w:tcPr>
            <w:tcW w:w="400" w:type="dxa"/>
            <w:vAlign w:val="bottom"/>
            <w:tcBorders>
              <w:bottom w:val="single" w:sz="8" w:color="CFF0FC"/>
            </w:tcBorders>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64.43</w:t>
            </w:r>
          </w:p>
        </w:tc>
        <w:tc>
          <w:tcPr>
            <w:tcW w:w="2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620,832</w:t>
            </w:r>
          </w:p>
        </w:tc>
        <w:tc>
          <w:tcPr>
            <w:tcW w:w="3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125,006,260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856,428</w:t>
            </w:r>
          </w:p>
        </w:tc>
        <w:tc>
          <w:tcPr>
            <w:tcW w:w="40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70.06</w:t>
            </w:r>
          </w:p>
        </w:tc>
        <w:tc>
          <w:tcPr>
            <w:tcW w:w="16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856,428</w:t>
            </w: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125,006,260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-161925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-161925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900" w:hanging="518"/>
        <w:spacing w:after="0"/>
        <w:tabs>
          <w:tab w:leader="none" w:pos="9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commissions and calculated at the average price per share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Annual Report on Form 10-K. Certain amounts may not foot due to rounding.</w:t>
      </w:r>
    </w:p>
    <w:p>
      <w:pPr>
        <w:spacing w:after="0" w:line="172" w:lineRule="exact"/>
        <w:rPr>
          <w:sz w:val="20"/>
          <w:szCs w:val="20"/>
          <w:color w:val="auto"/>
        </w:rPr>
      </w:pPr>
    </w:p>
    <w:p>
      <w:pPr>
        <w:ind w:right="20" w:firstLine="509"/>
        <w:spacing w:after="0" w:line="265" w:lineRule="auto"/>
        <w:rPr>
          <w:sz w:val="20"/>
          <w:szCs w:val="20"/>
          <w:color w:val="auto"/>
        </w:rPr>
      </w:pPr>
      <w:r>
        <w:rPr>
          <w:rFonts w:ascii="Arial" w:cs="Arial" w:eastAsia="Arial" w:hAnsi="Arial"/>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3008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 and intelligence, space and missile defense, critical infrastructure protection, transportation, environmental remediation and urban development. By combining our talented team of professionals and advanced technology, we solve complex technical challenges to enable a safer, smarter, more secure and more connected world.</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61" w:name="page62"/>
    <w:bookmarkEnd w:id="61"/>
    <w:p>
      <w:pPr>
        <w:spacing w:after="0" w:line="193"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is an advanced technology provider to the U.S. government. Our Critical Infrastructure business provides integrated design and engineering services for complex physical and digital infrastructure around the globe.</w:t>
      </w:r>
    </w:p>
    <w:p>
      <w:pPr>
        <w:spacing w:after="0" w:line="169"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88265</wp:posOffset>
            </wp:positionV>
            <wp:extent cx="939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88265</wp:posOffset>
            </wp:positionV>
            <wp:extent cx="9398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88265</wp:posOffset>
            </wp:positionV>
            <wp:extent cx="9398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5"/>
                <w:szCs w:val="15"/>
                <w:color w:val="auto"/>
              </w:rPr>
            </w:pPr>
          </w:p>
        </w:tc>
      </w:tr>
      <w:tr>
        <w:trPr>
          <w:trHeight w:val="19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Awards</w:t>
            </w:r>
          </w:p>
        </w:tc>
        <w:tc>
          <w:tcPr>
            <w:tcW w:w="340" w:type="dxa"/>
            <w:vAlign w:val="bottom"/>
            <w:shd w:val="clear" w:color="auto" w:fill="CFF0FC"/>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6,371,950</w:t>
            </w:r>
          </w:p>
        </w:tc>
        <w:tc>
          <w:tcPr>
            <w:tcW w:w="3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7,039,272</w:t>
            </w:r>
          </w:p>
        </w:tc>
        <w:tc>
          <w:tcPr>
            <w:tcW w:w="600" w:type="dxa"/>
            <w:vAlign w:val="bottom"/>
            <w:gridSpan w:val="3"/>
            <w:shd w:val="clear" w:color="auto" w:fill="CFF0FC"/>
          </w:tcPr>
          <w:p>
            <w:pPr>
              <w:jc w:val="right"/>
              <w:ind w:right="168"/>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5,996,780</w:t>
            </w:r>
          </w:p>
        </w:tc>
        <w:tc>
          <w:tcPr>
            <w:tcW w:w="10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Backlog (1)</w:t>
            </w:r>
          </w:p>
        </w:tc>
        <w:tc>
          <w:tcPr>
            <w:tcW w:w="340" w:type="dxa"/>
            <w:vAlign w:val="bottom"/>
          </w:tcPr>
          <w:p>
            <w:pPr>
              <w:jc w:val="right"/>
              <w:ind w:right="156"/>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8,716,788</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8,893,915</w:t>
            </w:r>
          </w:p>
        </w:tc>
        <w:tc>
          <w:tcPr>
            <w:tcW w:w="600" w:type="dxa"/>
            <w:vAlign w:val="bottom"/>
            <w:gridSpan w:val="3"/>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8,592,271</w:t>
            </w:r>
          </w:p>
        </w:tc>
        <w:tc>
          <w:tcPr>
            <w:tcW w:w="10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Book-to-Bill</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bl>
    <w:p>
      <w:pPr>
        <w:spacing w:after="0" w:line="224" w:lineRule="exact"/>
        <w:rPr>
          <w:sz w:val="20"/>
          <w:szCs w:val="20"/>
          <w:color w:val="auto"/>
        </w:rPr>
      </w:pPr>
    </w:p>
    <w:p>
      <w:pPr>
        <w:jc w:val="both"/>
        <w:ind w:left="520" w:right="220" w:hanging="512"/>
        <w:spacing w:after="0" w:line="25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Difference between our backlog of $8.7 billion and our remaining unsatisfied performance obligations, or RUPO, of $7.1 billion, each as of December 31, 2025,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jc w:val="both"/>
        <w:ind w:right="340" w:firstLine="509"/>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total value of new awards for the periods presented below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20" w:type="dxa"/>
            <w:vAlign w:val="bottom"/>
          </w:tcPr>
          <w:p>
            <w:pPr>
              <w:spacing w:after="0"/>
              <w:rPr>
                <w:sz w:val="13"/>
                <w:szCs w:val="13"/>
                <w:color w:val="auto"/>
              </w:rPr>
            </w:pPr>
          </w:p>
        </w:tc>
        <w:tc>
          <w:tcPr>
            <w:tcW w:w="14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2025</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4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3"/>
                <w:szCs w:val="13"/>
                <w:color w:val="auto"/>
              </w:rPr>
            </w:pPr>
          </w:p>
        </w:tc>
      </w:tr>
      <w:tr>
        <w:trPr>
          <w:trHeight w:val="19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340" w:type="dxa"/>
            <w:vAlign w:val="bottom"/>
            <w:shd w:val="clear" w:color="auto" w:fill="CFF0FC"/>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2,686,461</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3,880,290</w:t>
            </w:r>
          </w:p>
        </w:tc>
        <w:tc>
          <w:tcPr>
            <w:tcW w:w="600" w:type="dxa"/>
            <w:vAlign w:val="bottom"/>
            <w:gridSpan w:val="2"/>
            <w:shd w:val="clear" w:color="auto" w:fill="CFF0FC"/>
          </w:tcPr>
          <w:p>
            <w:pPr>
              <w:jc w:val="right"/>
              <w:ind w:right="168"/>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3,259,052</w:t>
            </w:r>
          </w:p>
        </w:tc>
        <w:tc>
          <w:tcPr>
            <w:tcW w:w="10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3,685,489</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3,158,982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2,737,728</w:t>
            </w:r>
          </w:p>
        </w:tc>
        <w:tc>
          <w:tcPr>
            <w:tcW w:w="100" w:type="dxa"/>
            <w:vAlign w:val="bottom"/>
          </w:tcPr>
          <w:p>
            <w:pPr>
              <w:spacing w:after="0"/>
              <w:rPr>
                <w:sz w:val="17"/>
                <w:szCs w:val="17"/>
                <w:color w:val="auto"/>
              </w:rPr>
            </w:pPr>
          </w:p>
        </w:tc>
      </w:tr>
      <w:tr>
        <w:trPr>
          <w:trHeight w:val="21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340" w:type="dxa"/>
            <w:vAlign w:val="bottom"/>
            <w:shd w:val="clear" w:color="auto" w:fill="CFF0FC"/>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6,371,950</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7,039,272</w:t>
            </w:r>
          </w:p>
        </w:tc>
        <w:tc>
          <w:tcPr>
            <w:tcW w:w="600" w:type="dxa"/>
            <w:vAlign w:val="bottom"/>
            <w:gridSpan w:val="2"/>
            <w:shd w:val="clear" w:color="auto" w:fill="CFF0FC"/>
          </w:tcPr>
          <w:p>
            <w:pPr>
              <w:jc w:val="right"/>
              <w:ind w:right="168"/>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5,996,780</w:t>
            </w:r>
          </w:p>
        </w:tc>
        <w:tc>
          <w:tcPr>
            <w:tcW w:w="100" w:type="dxa"/>
            <w:vAlign w:val="bottom"/>
            <w:shd w:val="clear" w:color="auto" w:fill="CFF0FC"/>
          </w:tcPr>
          <w:p>
            <w:pPr>
              <w:spacing w:after="0"/>
              <w:rPr>
                <w:sz w:val="18"/>
                <w:szCs w:val="18"/>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5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change in new awards in our Critical Infrastructure segment for the year ended December 31, 2025 when compared to the corresponding period last year was primarily due to an overall increase in awards in the current year. The decrease in awards for the year ended December 31, 2025 in our Federal Solutions segment when compared to the corresponding period last year was primarily driven by a delay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the timing of awards of a number of contracts being pursued. Awards in the Federal Solutions segment for the year ended December 31, 2024 included $1.5 billion from the confidential contract compared to $293 million for the year ended December 31,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1020" w:right="50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46"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contract vehicles, where task orders are competitively awarded and separately priced.</w:t>
      </w:r>
    </w:p>
    <w:p>
      <w:pPr>
        <w:spacing w:after="0" w:line="17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value of our backlog at the respective dates presented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2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3"/>
                <w:szCs w:val="13"/>
                <w:color w:val="auto"/>
              </w:rPr>
            </w:pPr>
          </w:p>
        </w:tc>
        <w:tc>
          <w:tcPr>
            <w:tcW w:w="160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December 31, 2024</w:t>
            </w:r>
          </w:p>
        </w:tc>
        <w:tc>
          <w:tcPr>
            <w:tcW w:w="1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3"/>
                <w:szCs w:val="13"/>
                <w:color w:val="auto"/>
              </w:rPr>
            </w:pPr>
          </w:p>
        </w:tc>
      </w:tr>
      <w:tr>
        <w:trPr>
          <w:trHeight w:val="19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2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Funded</w:t>
            </w:r>
          </w:p>
        </w:tc>
        <w:tc>
          <w:tcPr>
            <w:tcW w:w="254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1,853,658</w:t>
            </w:r>
          </w:p>
        </w:tc>
        <w:tc>
          <w:tcPr>
            <w:tcW w:w="4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1,712,627</w:t>
            </w:r>
          </w:p>
        </w:tc>
        <w:tc>
          <w:tcPr>
            <w:tcW w:w="320" w:type="dxa"/>
            <w:vAlign w:val="bottom"/>
          </w:tcPr>
          <w:p>
            <w:pPr>
              <w:jc w:val="right"/>
              <w:ind w:right="136"/>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1,454,581</w:t>
            </w:r>
          </w:p>
        </w:tc>
      </w:tr>
      <w:tr>
        <w:trPr>
          <w:trHeight w:val="202"/>
        </w:trPr>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Unfunded</w:t>
            </w:r>
          </w:p>
        </w:tc>
        <w:tc>
          <w:tcPr>
            <w:tcW w:w="2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2,298,073</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2,961,356</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3,490,781</w:t>
            </w:r>
          </w:p>
        </w:tc>
      </w:tr>
      <w:tr>
        <w:trPr>
          <w:trHeight w:val="20"/>
        </w:trPr>
        <w:tc>
          <w:tcPr>
            <w:tcW w:w="432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Total Federal Solutions</w:t>
            </w:r>
          </w:p>
        </w:tc>
        <w:tc>
          <w:tcPr>
            <w:tcW w:w="2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4,151,731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4,673,983</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4,945,362</w:t>
            </w:r>
          </w:p>
        </w:tc>
      </w:tr>
      <w:tr>
        <w:trPr>
          <w:trHeight w:val="19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Critical Infrastructure:</w:t>
            </w:r>
          </w:p>
        </w:tc>
        <w:tc>
          <w:tcPr>
            <w:tcW w:w="2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Funded</w:t>
            </w:r>
          </w:p>
        </w:tc>
        <w:tc>
          <w:tcPr>
            <w:tcW w:w="2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4,523,891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4,167,611</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3,578,902</w:t>
            </w:r>
          </w:p>
        </w:tc>
      </w:tr>
      <w:tr>
        <w:trPr>
          <w:trHeight w:val="203"/>
        </w:trPr>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Unfunded</w:t>
            </w:r>
          </w:p>
        </w:tc>
        <w:tc>
          <w:tcPr>
            <w:tcW w:w="2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41,166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52,321</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68,007</w:t>
            </w:r>
          </w:p>
        </w:tc>
      </w:tr>
      <w:tr>
        <w:trPr>
          <w:trHeight w:val="20"/>
        </w:trPr>
        <w:tc>
          <w:tcPr>
            <w:tcW w:w="432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2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4,565,057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4,219,932</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3,646,909</w:t>
            </w:r>
          </w:p>
        </w:tc>
      </w:tr>
      <w:tr>
        <w:trPr>
          <w:trHeight w:val="20"/>
        </w:trPr>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Backlog (1)</w:t>
            </w:r>
          </w:p>
        </w:tc>
        <w:tc>
          <w:tcPr>
            <w:tcW w:w="2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8,716,788</w:t>
            </w:r>
          </w:p>
        </w:tc>
        <w:tc>
          <w:tcPr>
            <w:tcW w:w="42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8,893,915</w:t>
            </w:r>
          </w:p>
        </w:tc>
        <w:tc>
          <w:tcPr>
            <w:tcW w:w="320" w:type="dxa"/>
            <w:vAlign w:val="bottom"/>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8,592,271</w:t>
            </w: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-831215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-831215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-299720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-299720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left="520" w:right="40" w:hanging="512"/>
        <w:spacing w:after="0" w:line="253"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Difference between our backlog of $8.7 billion and our RUPO of $7.1 billion, each as of December 31, 2025,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expect to recognize $4.1 billion of our funded backlog at December 31, 2025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future revenues, but would generally be permitted to recover all or a portion of our incurred costs and fees for work performed. See “Risk Factors—Risks Relating to Our Business—We may not realize the full value of our backlog, which may result in lower than expected revenue.”</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 Our backlog will fluctuate in any given period based on the volume of awards issued and the rate of revenue generated from our existing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Fiscal Year Ended</w:t>
            </w:r>
          </w:p>
        </w:tc>
        <w:tc>
          <w:tcPr>
            <w:tcW w:w="1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200" w:type="dxa"/>
            <w:vAlign w:val="bottom"/>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3"/>
                <w:szCs w:val="13"/>
                <w:color w:val="auto"/>
              </w:rPr>
            </w:pPr>
          </w:p>
        </w:tc>
        <w:tc>
          <w:tcPr>
            <w:tcW w:w="168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3"/>
                <w:szCs w:val="13"/>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7"/>
                <w:szCs w:val="17"/>
                <w:color w:val="auto"/>
              </w:rPr>
            </w:pPr>
          </w:p>
        </w:tc>
      </w:tr>
    </w:tbl>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War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Sciences Consulting, Inc.</w:t>
      </w:r>
    </w:p>
    <w:p>
      <w:pPr>
        <w:spacing w:after="0" w:line="10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On October 1, 2025, the Company acquired a 100% ownership interest in Applied Sciences Consulting, Inc. ("ASC"), a privately owned company, for $28.1 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The financial results of ASC have been included in our consolidated results of operations from October 1, 2025 onward.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Chesapeake Technology International, Corp</w:t>
      </w:r>
    </w:p>
    <w:p>
      <w:pPr>
        <w:spacing w:after="0" w:line="102"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The financial results of CTI have been included in our consolidated results of operations from June 30, 2025 onward.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Group, Inc.</w:t>
      </w:r>
    </w:p>
    <w:p>
      <w:pPr>
        <w:spacing w:after="0" w:line="102"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On January 31, 2025, the Company acquired a 100% ownership interest in TRS Group, Inc. ("TRS") a privately owned company, for $36.6 million from cash on hand (of which $3.8 million will be paid in July 2026). TRS is an environmental solutions firm that specializes in remediation technology. The financial</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results of TRS have been included in our consolidated results of operations from January 31, 2025 onward.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BCC Engin</w:t>
      </w:r>
      <w:r>
        <w:rPr>
          <w:rFonts w:ascii="Arial" w:cs="Arial" w:eastAsia="Arial" w:hAnsi="Arial"/>
          <w:sz w:val="18"/>
          <w:szCs w:val="18"/>
          <w:color w:val="auto"/>
        </w:rPr>
        <w:t>eering,</w:t>
      </w:r>
      <w:r>
        <w:rPr>
          <w:rFonts w:ascii="Arial" w:cs="Arial" w:eastAsia="Arial" w:hAnsi="Arial"/>
          <w:sz w:val="18"/>
          <w:szCs w:val="18"/>
          <w:i w:val="1"/>
          <w:iCs w:val="1"/>
          <w:color w:val="auto"/>
        </w:rPr>
        <w:t xml:space="preserve"> LLC</w:t>
      </w:r>
    </w:p>
    <w:p>
      <w:pPr>
        <w:spacing w:after="0" w:line="104" w:lineRule="exact"/>
        <w:rPr>
          <w:sz w:val="20"/>
          <w:szCs w:val="20"/>
          <w:color w:val="auto"/>
        </w:rPr>
      </w:pPr>
    </w:p>
    <w:p>
      <w:pPr>
        <w:ind w:right="560" w:firstLine="509"/>
        <w:spacing w:after="0" w:line="244" w:lineRule="auto"/>
        <w:rPr>
          <w:sz w:val="20"/>
          <w:szCs w:val="20"/>
          <w:color w:val="auto"/>
        </w:rPr>
      </w:pPr>
      <w:r>
        <w:rPr>
          <w:rFonts w:ascii="Arial" w:cs="Arial" w:eastAsia="Arial" w:hAnsi="Arial"/>
          <w:sz w:val="18"/>
          <w:szCs w:val="18"/>
          <w:color w:val="auto"/>
        </w:rPr>
        <w:t>On November 1, 2024, the Company acquired a 100% ownership interest in BCC Engineering, LLC ("BCC") a privately owned company, for $ 233.5 million.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The financial results of BCC have been included in our consolidated results of operations from October 18, 2024 onward.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BlackSignal Technologies, LLC</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Headquartered in Chantilly, Virginia, BlackSignal is a next-generation digital signal processing, electronic warfare, and cyber security provider built to counter near peer threats. Parsons believes that the acquisition will expand Parsons' customer base across the Department of War and Intelligence Community and significantly strengthen Parsons' positioning within cyber warfare, while adding new capabilities in the counterspace radio frequency domain. The financial results of BlackSignal have been included in our consolidated results of operations from August 16, 2024 onward.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 Engineers, LLC</w:t>
      </w:r>
    </w:p>
    <w:p>
      <w:pPr>
        <w:spacing w:after="0" w:line="10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a privately-owned company, for $12.2 million, subject to certain adjustments. Headquartered in Texas, I.S. Engineers, LLC provides full-service consulting specializing in transportation engineering, including roads and highways, and program management. The financial results of I.S. Engineers have been included in our consolidated results of operations from October 31, 2023 onward.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Sealing Technologies, Inc.</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$176.0 million and up to an additional $25 million in the event an earn out revenue target is exceeded. Headquartered in Maryland, SealingTech expands Parsons’ customer base across the Department of War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The financial results of SealingTech have been included in our consolidated results of operations from August 23, 2023 onward.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IPKeys Power Partners</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financial results of IPKeys have been included in our consolidated results of operations from April 13, 2023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5"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540" w:right="20" w:hanging="514"/>
        <w:spacing w:after="0" w:line="246" w:lineRule="auto"/>
        <w:tabs>
          <w:tab w:leader="none" w:pos="15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540" w:right="280" w:hanging="514"/>
        <w:spacing w:after="0" w:line="252" w:lineRule="auto"/>
        <w:tabs>
          <w:tab w:leader="none" w:pos="15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w:t>
      </w:r>
      <w:r>
        <w:rPr>
          <w:rFonts w:ascii="Arial" w:cs="Arial" w:eastAsia="Arial" w:hAnsi="Arial"/>
          <w:sz w:val="18"/>
          <w:szCs w:val="18"/>
          <w:i w:val="1"/>
          <w:iCs w:val="1"/>
          <w:color w:val="auto"/>
        </w:rPr>
        <w:t>Summary of Significant Accounting Polices</w:t>
      </w:r>
      <w:r>
        <w:rPr>
          <w:rFonts w:ascii="Arial" w:cs="Arial" w:eastAsia="Arial" w:hAnsi="Arial"/>
          <w:sz w:val="18"/>
          <w:szCs w:val="18"/>
          <w:color w:val="auto"/>
        </w:rPr>
        <w:t>” in the notes to our consolidated financial statements included elsewhere in this Annual Report on Form 10-K for a description of our policies on revenue recognition applicable to each type of contract.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223"/>
        </w:trPr>
        <w:tc>
          <w:tcPr>
            <w:tcW w:w="634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6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4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34%</w:t>
            </w:r>
          </w:p>
        </w:tc>
        <w:tc>
          <w:tcPr>
            <w:tcW w:w="1760" w:type="dxa"/>
            <w:vAlign w:val="bottom"/>
            <w:gridSpan w:val="2"/>
            <w:shd w:val="clear" w:color="auto" w:fill="CFF0FC"/>
          </w:tcPr>
          <w:p>
            <w:pPr>
              <w:jc w:val="center"/>
              <w:ind w:left="30"/>
              <w:spacing w:after="0" w:line="196" w:lineRule="exact"/>
              <w:rPr>
                <w:sz w:val="20"/>
                <w:szCs w:val="20"/>
                <w:color w:val="auto"/>
              </w:rPr>
            </w:pPr>
            <w:r>
              <w:rPr>
                <w:rFonts w:ascii="Arial" w:cs="Arial" w:eastAsia="Arial" w:hAnsi="Arial"/>
                <w:sz w:val="18"/>
                <w:szCs w:val="18"/>
                <w:color w:val="auto"/>
                <w:w w:val="99"/>
              </w:rPr>
              <w:t>42%</w:t>
            </w:r>
          </w:p>
        </w:tc>
        <w:tc>
          <w:tcPr>
            <w:tcW w:w="166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9"/>
              </w:rPr>
              <w:t>33%</w:t>
            </w: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24%</w:t>
            </w:r>
          </w:p>
        </w:tc>
        <w:tc>
          <w:tcPr>
            <w:tcW w:w="176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9"/>
              </w:rPr>
              <w:t>21%</w:t>
            </w:r>
          </w:p>
        </w:tc>
        <w:tc>
          <w:tcPr>
            <w:tcW w:w="166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25%</w:t>
            </w:r>
          </w:p>
        </w:tc>
      </w:tr>
      <w:tr>
        <w:trPr>
          <w:trHeight w:val="203"/>
        </w:trPr>
        <w:tc>
          <w:tcPr>
            <w:tcW w:w="6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4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42%</w:t>
            </w:r>
          </w:p>
        </w:tc>
        <w:tc>
          <w:tcPr>
            <w:tcW w:w="176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37%</w:t>
            </w:r>
          </w:p>
        </w:tc>
        <w:tc>
          <w:tcPr>
            <w:tcW w:w="166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42%</w:t>
            </w:r>
          </w:p>
        </w:tc>
      </w:tr>
    </w:tbl>
    <w:p>
      <w:pPr>
        <w:spacing w:after="0" w:line="25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74"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significant change in the contract mix for the year ended December 31, 2025 compared to the corresponding period last year relates to decreased business volume from a fixed price contract from a confidential contract in our Federal Solutions segment.</w:t>
      </w:r>
    </w:p>
    <w:p>
      <w:pPr>
        <w:spacing w:after="0" w:line="15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169"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51%, 59%, and 55% of consolidated revenues for the years ended December 31, 2025, December 31, 2024 and December 31, 2023, respectively were derived from contracts with the United States federal government. No other customers represented 10% or more of consolidated revenues or accounts receivable in any of the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(losses) of unconsolidated joint ventures. Our revenues included $194.7 million in 2025, $182.6 million in 2024, and $213.8 million in 2023 related to services we provided to our unconsolidated joint ventures.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In 2025, 2024 and 2023, we made annual contributions to the ESOP in the amount of 8% of the participants’ cash compensation for the applicable year. Total ESOP contribution expense was $72.5 million for 2025, $59.8 million for 2024, and $58.2 million for fiscal 2023, and is recorded in “Direct cost of contracts” and “Selling, general and administrative expenses.” We expect operating expenses to increase due to our anticipated growth. However, on a forward-looking basis, we generally expect these costs to decline as a percentage of our total revenue as we realize the benefits of scale.</w:t>
      </w:r>
    </w:p>
    <w:p>
      <w:pPr>
        <w:spacing w:after="0" w:line="18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860" w:firstLine="509"/>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of interest expense incurred under our Convertible Senior Notes, Credit Agreement and Term Loan.</w:t>
      </w:r>
    </w:p>
    <w:p>
      <w:pPr>
        <w:spacing w:after="0" w:line="21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transaction gain or loss related to movements in foreign currency exchange rates, contingent consideration and convertible debt repurchase loss.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2025 compared to year ended December 31, 2024</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fiscal 2025 and fiscal 2024 as a percentage of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5"/>
          </w:tcPr>
          <w:p>
            <w:pPr>
              <w:ind w:left="4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60" w:type="dxa"/>
            <w:vAlign w:val="bottom"/>
            <w:tcBorders>
              <w:top w:val="single" w:sz="8" w:color="auto"/>
              <w:bottom w:val="single" w:sz="8" w:color="auto"/>
            </w:tcBorders>
            <w:gridSpan w:val="4"/>
          </w:tcPr>
          <w:p>
            <w:pPr>
              <w:jc w:val="right"/>
              <w:ind w:right="92"/>
              <w:spacing w:after="0" w:line="155" w:lineRule="exact"/>
              <w:rPr>
                <w:sz w:val="20"/>
                <w:szCs w:val="20"/>
                <w:color w:val="auto"/>
              </w:rPr>
            </w:pPr>
            <w:r>
              <w:rPr>
                <w:rFonts w:ascii="Arial" w:cs="Arial" w:eastAsia="Arial" w:hAnsi="Arial"/>
                <w:sz w:val="14"/>
                <w:szCs w:val="14"/>
                <w:b w:val="1"/>
                <w:bCs w:val="1"/>
                <w:color w:val="auto"/>
              </w:rPr>
              <w:t>December 31, 2025</w:t>
            </w: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8"/>
              <w:spacing w:after="0" w:line="196" w:lineRule="exact"/>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Direct costs of contracts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77.5%</w:t>
            </w:r>
          </w:p>
        </w:tc>
        <w:tc>
          <w:tcPr>
            <w:tcW w:w="200" w:type="dxa"/>
            <w:vAlign w:val="bottom"/>
          </w:tcPr>
          <w:p>
            <w:pPr>
              <w:spacing w:after="0"/>
              <w:rPr>
                <w:sz w:val="17"/>
                <w:szCs w:val="17"/>
                <w:color w:val="auto"/>
              </w:rPr>
            </w:pPr>
          </w:p>
        </w:tc>
        <w:tc>
          <w:tcPr>
            <w:tcW w:w="1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3"/>
        </w:trPr>
        <w:tc>
          <w:tcPr>
            <w:tcW w:w="56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16.0%</w:t>
            </w:r>
          </w:p>
        </w:tc>
        <w:tc>
          <w:tcPr>
            <w:tcW w:w="200" w:type="dxa"/>
            <w:vAlign w:val="bottom"/>
          </w:tcPr>
          <w:p>
            <w:pPr>
              <w:spacing w:after="0"/>
              <w:rPr>
                <w:sz w:val="17"/>
                <w:szCs w:val="17"/>
                <w:color w:val="auto"/>
              </w:rPr>
            </w:pPr>
          </w:p>
        </w:tc>
        <w:tc>
          <w:tcPr>
            <w:tcW w:w="1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8"/>
              <w:spacing w:after="0" w:line="196" w:lineRule="exact"/>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28"/>
              <w:spacing w:after="0" w:line="196"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1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ind w:left="200"/>
              <w:spacing w:after="0" w:line="196" w:lineRule="exact"/>
              <w:rPr>
                <w:sz w:val="20"/>
                <w:szCs w:val="20"/>
                <w:color w:val="auto"/>
              </w:rPr>
            </w:pPr>
            <w:r>
              <w:rPr>
                <w:rFonts w:ascii="Arial" w:cs="Arial" w:eastAsia="Arial" w:hAnsi="Arial"/>
                <w:sz w:val="18"/>
                <w:szCs w:val="18"/>
                <w:color w:val="auto"/>
              </w:rPr>
              <w:t>Total other income benefit (expense)</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1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before income tax expense</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8"/>
              <w:spacing w:after="0" w:line="196" w:lineRule="exact"/>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41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8"/>
              <w:spacing w:after="0" w:line="196" w:lineRule="exact"/>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tcBorders>
              <w:right w:val="single" w:sz="8" w:color="CFF0FC"/>
            </w:tcBorders>
            <w:gridSpan w:val="2"/>
            <w:shd w:val="clear" w:color="auto" w:fill="CFF0FC"/>
          </w:tcPr>
          <w:p>
            <w:pPr>
              <w:jc w:val="right"/>
              <w:ind w:right="128"/>
              <w:spacing w:after="0" w:line="196" w:lineRule="exact"/>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51"/>
        </w:trPr>
        <w:tc>
          <w:tcPr>
            <w:tcW w:w="4120" w:type="dxa"/>
            <w:vAlign w:val="bottom"/>
            <w:tcBorders>
              <w:top w:val="single" w:sz="8" w:color="CFF0FC"/>
            </w:tcBorders>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Pr>
          <w:p>
            <w:pPr>
              <w:spacing w:after="0"/>
              <w:rPr>
                <w:sz w:val="24"/>
                <w:szCs w:val="24"/>
                <w:color w:val="auto"/>
              </w:rPr>
            </w:pPr>
          </w:p>
        </w:tc>
        <w:tc>
          <w:tcPr>
            <w:tcW w:w="3240" w:type="dxa"/>
            <w:vAlign w:val="bottom"/>
            <w:gridSpan w:val="5"/>
          </w:tcPr>
          <w:p>
            <w:pPr>
              <w:jc w:val="right"/>
              <w:ind w:right="988"/>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gridSpan w:val="4"/>
          </w:tcPr>
          <w:p>
            <w:pPr>
              <w:jc w:val="right"/>
              <w:ind w:right="158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December 31, 2025</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488"/>
              <w:spacing w:after="0" w:line="155" w:lineRule="exact"/>
              <w:rPr>
                <w:sz w:val="20"/>
                <w:szCs w:val="20"/>
                <w:color w:val="auto"/>
              </w:rPr>
            </w:pPr>
            <w:r>
              <w:rPr>
                <w:rFonts w:ascii="Arial" w:cs="Arial" w:eastAsia="Arial" w:hAnsi="Arial"/>
                <w:sz w:val="14"/>
                <w:szCs w:val="14"/>
                <w:b w:val="1"/>
                <w:bCs w:val="1"/>
                <w:color w:val="auto"/>
              </w:rPr>
              <w:t>Dollar</w:t>
            </w:r>
          </w:p>
        </w:tc>
        <w:tc>
          <w:tcPr>
            <w:tcW w:w="20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6,364,245</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6,750,576</w:t>
            </w:r>
          </w:p>
        </w:tc>
        <w:tc>
          <w:tcPr>
            <w:tcW w:w="5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ind w:left="440"/>
              <w:spacing w:after="0" w:line="196" w:lineRule="exact"/>
              <w:rPr>
                <w:sz w:val="20"/>
                <w:szCs w:val="20"/>
                <w:color w:val="auto"/>
              </w:rPr>
            </w:pPr>
            <w:r>
              <w:rPr>
                <w:rFonts w:ascii="Arial" w:cs="Arial" w:eastAsia="Arial" w:hAnsi="Arial"/>
                <w:sz w:val="18"/>
                <w:szCs w:val="18"/>
                <w:color w:val="auto"/>
              </w:rPr>
              <w:t>(386,331)</w:t>
            </w:r>
          </w:p>
        </w:tc>
        <w:tc>
          <w:tcPr>
            <w:tcW w:w="18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-2185670</wp:posOffset>
            </wp:positionV>
            <wp:extent cx="154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-2185670</wp:posOffset>
            </wp:positionV>
            <wp:extent cx="154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-1662430</wp:posOffset>
            </wp:positionV>
            <wp:extent cx="1543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-1662430</wp:posOffset>
            </wp:positionV>
            <wp:extent cx="1543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-856615</wp:posOffset>
            </wp:positionV>
            <wp:extent cx="1543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-839470</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-856615</wp:posOffset>
            </wp:positionV>
            <wp:extent cx="1543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-839470</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31" w:lineRule="exact"/>
        <w:rPr>
          <w:sz w:val="20"/>
          <w:szCs w:val="20"/>
          <w:color w:val="auto"/>
        </w:rPr>
      </w:pPr>
    </w:p>
    <w:p>
      <w:pPr>
        <w:jc w:val="both"/>
        <w:ind w:right="520" w:firstLine="509"/>
        <w:spacing w:after="0" w:line="253" w:lineRule="auto"/>
        <w:rPr>
          <w:sz w:val="20"/>
          <w:szCs w:val="20"/>
          <w:color w:val="auto"/>
        </w:rPr>
      </w:pPr>
      <w:r>
        <w:rPr>
          <w:rFonts w:ascii="Arial" w:cs="Arial" w:eastAsia="Arial" w:hAnsi="Arial"/>
          <w:sz w:val="18"/>
          <w:szCs w:val="18"/>
          <w:color w:val="auto"/>
        </w:rPr>
        <w:t>The decrease in revenue of $386.3 million for the year ended December 31, 2025 when compared to the prior year was due to a decrease of in revenue in our Federal Solutions segment of $786.3 million offset by an increase in revenue in our Critical Infrastructure segment of $400.0 million. See “—Segment Results” below for a further discussion.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Variance</w:t>
            </w:r>
          </w:p>
        </w:tc>
        <w:tc>
          <w:tcPr>
            <w:tcW w:w="1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December 31, 2025</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December 31, 2024</w:t>
            </w: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 of contracts</w:t>
            </w:r>
          </w:p>
        </w:tc>
        <w:tc>
          <w:tcPr>
            <w:tcW w:w="9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4,932,711</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5,344,155</w:t>
            </w:r>
          </w:p>
        </w:tc>
        <w:tc>
          <w:tcPr>
            <w:tcW w:w="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(411,444)</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5"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Direct cost of contracts decreased $411.4 million for the year ended December 31, 2025 compared to the prior year, due to a decrease of $657.3 million in our Federal Solutions segment offset by an increase of $245.8 million in our Critical Infrastructure segment. The decrease in direct costs of contracts in the Federal Solutions segment is primarily related to reduced volume from our confidential contract, See “Segment Results” below for a further discussion. The increase in direct costs of contracts in the Critical Infrastructure segment is primarily related to increased volume from new and existing contracts.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Fiscal Year Ended</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vMerge w:val="continue"/>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3"/>
                <w:szCs w:val="13"/>
                <w:color w:val="auto"/>
              </w:rPr>
            </w:pPr>
          </w:p>
        </w:tc>
        <w:tc>
          <w:tcPr>
            <w:tcW w:w="142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500" w:type="dxa"/>
            <w:vAlign w:val="bottom"/>
            <w:shd w:val="clear" w:color="auto" w:fill="CFF0FC"/>
          </w:tcPr>
          <w:p>
            <w:pPr>
              <w:jc w:val="right"/>
              <w:ind w:right="31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2,583</w:t>
            </w:r>
          </w:p>
        </w:tc>
        <w:tc>
          <w:tcPr>
            <w:tcW w:w="880" w:type="dxa"/>
            <w:vAlign w:val="bottom"/>
            <w:gridSpan w:val="2"/>
            <w:shd w:val="clear" w:color="auto" w:fill="CFF0FC"/>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(23,361)</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25,944</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Equity in losses of unconsolidated joint ventures for the year ended December 31, 2025 improved by $25.9 million compared to the prior year which included significant write-downs on certain joint ventures. The Company is winding down its participation in construction joint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4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1,016,043</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954,995</w:t>
            </w:r>
          </w:p>
        </w:tc>
        <w:tc>
          <w:tcPr>
            <w:tcW w:w="5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61,048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As a percentage of revenue, SG&amp;A increased by 1.9% to 16.0% for the year ended December 31, 2025 compared to 14.1% for the corresponding period last year. The increase in SG&amp;A was primarily due to an increase in segment level SG&amp;A, in particular from business acquisitions, increased investments in bid and proposal activity, critical hires in support of our strong pipeline, and large strategic pursuits aligned to the Trump administration’s priorities. Partially offsetting these increases in SG&amp;A was a decrease in incentive compensation and equity compensation costs. Partially driving the increase in SG&amp;A as a percent of revenue, was the decrease in business volume in the Federal Solutions segment discussed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Pr>
          <w:p>
            <w:pPr>
              <w:spacing w:after="0"/>
              <w:rPr>
                <w:sz w:val="14"/>
                <w:szCs w:val="14"/>
                <w:color w:val="auto"/>
              </w:rPr>
            </w:pPr>
          </w:p>
        </w:tc>
        <w:tc>
          <w:tcPr>
            <w:tcW w:w="374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Twelve Months Ended</w:t>
            </w:r>
          </w:p>
        </w:tc>
        <w:tc>
          <w:tcPr>
            <w:tcW w:w="1020" w:type="dxa"/>
            <w:vAlign w:val="bottom"/>
          </w:tcPr>
          <w:p>
            <w:pPr>
              <w:spacing w:after="0"/>
              <w:rPr>
                <w:sz w:val="14"/>
                <w:szCs w:val="14"/>
                <w:color w:val="auto"/>
              </w:rPr>
            </w:pPr>
          </w:p>
        </w:tc>
        <w:tc>
          <w:tcPr>
            <w:tcW w:w="1180" w:type="dxa"/>
            <w:vAlign w:val="bottom"/>
            <w:gridSpan w:val="3"/>
          </w:tcPr>
          <w:p>
            <w:pPr>
              <w:ind w:left="400"/>
              <w:spacing w:after="0"/>
              <w:rPr>
                <w:sz w:val="20"/>
                <w:szCs w:val="20"/>
                <w:color w:val="auto"/>
              </w:rPr>
            </w:pPr>
            <w:r>
              <w:rPr>
                <w:rFonts w:ascii="Arial" w:cs="Arial" w:eastAsia="Arial" w:hAnsi="Arial"/>
                <w:sz w:val="14"/>
                <w:szCs w:val="14"/>
                <w:b w:val="1"/>
                <w:bCs w:val="1"/>
                <w:color w:val="auto"/>
              </w:rPr>
              <w:t>Variance</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December 31, 2025</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6,879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11,428</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(4,549)</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(51,303)</w:t>
            </w:r>
          </w:p>
        </w:tc>
        <w:tc>
          <w:tcPr>
            <w:tcW w:w="140" w:type="dxa"/>
            <w:vAlign w:val="bottom"/>
          </w:tcPr>
          <w:p>
            <w:pPr>
              <w:spacing w:after="0"/>
              <w:rPr>
                <w:sz w:val="17"/>
                <w:szCs w:val="17"/>
                <w:color w:val="auto"/>
              </w:rPr>
            </w:pPr>
          </w:p>
        </w:tc>
        <w:tc>
          <w:tcPr>
            <w:tcW w:w="1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(51,582)</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Convertible debt repurchase loss</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(18,355)</w:t>
            </w: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18,355</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8,861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(1,906)</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10,767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(35,563)</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(60,415)</w:t>
            </w:r>
          </w:p>
        </w:tc>
        <w:tc>
          <w:tcPr>
            <w:tcW w:w="1020" w:type="dxa"/>
            <w:vAlign w:val="bottom"/>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24,852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is related to interest earned on investments in government money funds.</w:t>
      </w:r>
    </w:p>
    <w:p>
      <w:pPr>
        <w:spacing w:after="0" w:line="21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Interest expense for the year ended December 31, 2025 is primarily due to debt related to our Convertible Senior Notes and Term Loan. Interest expense for the year ended December 31, 2024</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included a $3.2 million charge related to the March 2024 partial repurchase of the Company's Convertible Senior Notes due 2025 (discussed in more detail below).</w:t>
      </w:r>
    </w:p>
    <w:p>
      <w:pPr>
        <w:spacing w:after="0" w:line="154" w:lineRule="exact"/>
        <w:rPr>
          <w:sz w:val="20"/>
          <w:szCs w:val="20"/>
          <w:color w:val="auto"/>
        </w:rPr>
      </w:pPr>
    </w:p>
    <w:p>
      <w:pPr>
        <w:ind w:right="80" w:firstLine="636"/>
        <w:spacing w:after="0" w:line="244" w:lineRule="auto"/>
        <w:rPr>
          <w:sz w:val="20"/>
          <w:szCs w:val="20"/>
          <w:color w:val="auto"/>
        </w:rPr>
      </w:pPr>
      <w:r>
        <w:rPr>
          <w:rFonts w:ascii="Arial" w:cs="Arial" w:eastAsia="Arial" w:hAnsi="Arial"/>
          <w:sz w:val="18"/>
          <w:szCs w:val="18"/>
          <w:color w:val="auto"/>
        </w:rPr>
        <w:t xml:space="preserve">During the year ended December 31,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 $18.4 million loss on debt extinguishment. The Repurchase Transaction is a partial repurchase of our Convertible Senior Notes due 2025. See </w:t>
      </w:r>
      <w:r>
        <w:rPr>
          <w:rFonts w:ascii="Arial" w:cs="Arial" w:eastAsia="Arial" w:hAnsi="Arial"/>
          <w:sz w:val="18"/>
          <w:szCs w:val="18"/>
          <w:color w:val="202124"/>
        </w:rPr>
        <w:t>“Note 11 – Debt and Credit Facilities,” for a further discussion of this</w:t>
      </w:r>
      <w:r>
        <w:rPr>
          <w:rFonts w:ascii="Arial" w:cs="Arial" w:eastAsia="Arial" w:hAnsi="Arial"/>
          <w:sz w:val="18"/>
          <w:szCs w:val="18"/>
          <w:color w:val="auto"/>
        </w:rPr>
        <w:t xml:space="preserve"> </w:t>
      </w:r>
      <w:r>
        <w:rPr>
          <w:rFonts w:ascii="Arial" w:cs="Arial" w:eastAsia="Arial" w:hAnsi="Arial"/>
          <w:sz w:val="18"/>
          <w:szCs w:val="18"/>
          <w:color w:val="202124"/>
        </w:rPr>
        <w:t>transaction</w:t>
      </w:r>
      <w:r>
        <w:rPr>
          <w:rFonts w:ascii="Arial" w:cs="Arial" w:eastAsia="Arial" w:hAnsi="Arial"/>
          <w:sz w:val="18"/>
          <w:szCs w:val="18"/>
          <w:color w:val="000000"/>
        </w:rPr>
        <w:t>.</w:t>
      </w:r>
    </w:p>
    <w:p>
      <w:pPr>
        <w:spacing w:after="0" w:line="176"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and sublease income, and changes in the fair value of contingent consideration. Other income (expense), net included a net foreign currency gain of $5.5 million for the year ended December 31, 2025 compared to a net foreign currency loss of $6.9 million for the year ended December 31, 2024 for a net foreign currency gain of $12.4 million.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4"/>
                <w:szCs w:val="14"/>
                <w:b w:val="1"/>
                <w:bCs w:val="1"/>
                <w:color w:val="auto"/>
              </w:rPr>
              <w:t>Fiscal Year Ended</w:t>
            </w:r>
          </w:p>
        </w:tc>
        <w:tc>
          <w:tcPr>
            <w:tcW w:w="2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3"/>
                <w:szCs w:val="13"/>
                <w:color w:val="auto"/>
              </w:rPr>
            </w:pPr>
          </w:p>
        </w:tc>
        <w:tc>
          <w:tcPr>
            <w:tcW w:w="12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Dollar</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8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73,647</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76,986</w:t>
            </w:r>
          </w:p>
        </w:tc>
        <w:tc>
          <w:tcPr>
            <w:tcW w:w="1500" w:type="dxa"/>
            <w:vAlign w:val="bottom"/>
            <w:gridSpan w:val="2"/>
            <w:shd w:val="clear" w:color="auto" w:fill="CFF0FC"/>
          </w:tcPr>
          <w:p>
            <w:pPr>
              <w:jc w:val="right"/>
              <w:ind w:right="1048"/>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(3,339)</w:t>
            </w:r>
          </w:p>
        </w:tc>
        <w:tc>
          <w:tcPr>
            <w:tcW w:w="3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Income tax expense decreased in fiscal 2025 primarily due to a change in the jurisdictional mix of earnings, decreases in the change of valuation allowance on NOLs and nondeductible executive compensation subject to Section 162(m), an increase in untaxed income attributed to noncontrolling interests, and an increase in business tax credits, partially offset by decreases in the foreign-derived intangible income (FDII) deduction and windfall equity-based compensation deduction.</w:t>
      </w:r>
    </w:p>
    <w:p>
      <w:pPr>
        <w:spacing w:after="0" w:line="174" w:lineRule="exact"/>
        <w:rPr>
          <w:sz w:val="20"/>
          <w:szCs w:val="20"/>
          <w:color w:val="auto"/>
        </w:rPr>
      </w:pPr>
    </w:p>
    <w:p>
      <w:pPr>
        <w:ind w:right="160" w:firstLine="509"/>
        <w:spacing w:after="0" w:line="266" w:lineRule="auto"/>
        <w:rPr>
          <w:sz w:val="20"/>
          <w:szCs w:val="20"/>
          <w:color w:val="auto"/>
        </w:rPr>
      </w:pPr>
      <w:r>
        <w:rPr>
          <w:rFonts w:ascii="Arial" w:cs="Arial" w:eastAsia="Arial" w:hAnsi="Arial"/>
          <w:sz w:val="17"/>
          <w:szCs w:val="17"/>
          <w:color w:val="auto"/>
        </w:rPr>
        <w:t>Our effective tax rate was 19.3% and 20.9% for the years ended December 31, 2025 and 2024, respectively. The difference between the statutory U.S. federal income tax rate of 21% and the effective tax rate for the year ended December 31, 2025 primarily relates to state income taxes, valuation allowances and executive compensation subject to Section 162(m), offset by benefits related to untaxed income attributable to noncontrolling interests, earnings subject to lower tax in foreign jurisdictions, and federal business tax credits.</w:t>
      </w:r>
    </w:p>
    <w:p>
      <w:pPr>
        <w:spacing w:after="0" w:line="15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Company continues to evaluate the implementation of the Organization for Economic Co-operation and Development’s (OECD) Global Anti-Base Erosion (GloBE) rules, which aim to ensure that multinational enterprises (MNEs) pay a 15% minimum level of tax regardless of where the MNE operates. The Company has evaluated the impact of enacted GloBE rules on its 2025 income tax position and has determined there is no material impact on the Company’s income tax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2024 compared to year ended December 31, 2023</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fiscal 2024 and fiscal 2023 as a percentage of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gridSpan w:val="5"/>
          </w:tcPr>
          <w:p>
            <w:pPr>
              <w:jc w:val="right"/>
              <w:ind w:right="1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tcBorders>
              <w:top w:val="single" w:sz="8" w:color="auto"/>
              <w:bottom w:val="single" w:sz="8" w:color="auto"/>
            </w:tcBorders>
            <w:gridSpan w:val="4"/>
          </w:tcPr>
          <w:p>
            <w:pPr>
              <w:jc w:val="right"/>
              <w:ind w:right="92"/>
              <w:spacing w:after="0" w:line="155" w:lineRule="exact"/>
              <w:rPr>
                <w:sz w:val="20"/>
                <w:szCs w:val="20"/>
                <w:color w:val="auto"/>
              </w:rPr>
            </w:pPr>
            <w:r>
              <w:rPr>
                <w:rFonts w:ascii="Arial" w:cs="Arial" w:eastAsia="Arial" w:hAnsi="Arial"/>
                <w:sz w:val="14"/>
                <w:szCs w:val="14"/>
                <w:b w:val="1"/>
                <w:bCs w:val="1"/>
                <w:color w:val="auto"/>
              </w:rPr>
              <w:t>December 31, 2024</w:t>
            </w:r>
          </w:p>
        </w:tc>
        <w:tc>
          <w:tcPr>
            <w:tcW w:w="420" w:type="dxa"/>
            <w:vAlign w:val="bottom"/>
            <w:tcBorders>
              <w:top w:val="single" w:sz="8" w:color="auto"/>
            </w:tcBorders>
          </w:tcPr>
          <w:p>
            <w:pPr>
              <w:spacing w:after="0"/>
              <w:rPr>
                <w:sz w:val="13"/>
                <w:szCs w:val="13"/>
                <w:color w:val="auto"/>
              </w:rPr>
            </w:pPr>
          </w:p>
        </w:tc>
        <w:tc>
          <w:tcPr>
            <w:tcW w:w="1740" w:type="dxa"/>
            <w:vAlign w:val="bottom"/>
            <w:tcBorders>
              <w:top w:val="single" w:sz="8" w:color="auto"/>
              <w:bottom w:val="single" w:sz="8" w:color="auto"/>
            </w:tcBorders>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December 31, 2023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100.0%</w:t>
            </w:r>
          </w:p>
        </w:tc>
        <w:tc>
          <w:tcPr>
            <w:tcW w:w="198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Direct costs of contracts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79.2%</w:t>
            </w:r>
          </w:p>
        </w:tc>
        <w:tc>
          <w:tcPr>
            <w:tcW w:w="1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3"/>
        </w:trPr>
        <w:tc>
          <w:tcPr>
            <w:tcW w:w="572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(0.3)%</w:t>
            </w:r>
          </w:p>
        </w:tc>
        <w:tc>
          <w:tcPr>
            <w:tcW w:w="19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14.1%</w:t>
            </w:r>
          </w:p>
        </w:tc>
        <w:tc>
          <w:tcPr>
            <w:tcW w:w="1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6.3%</w:t>
            </w:r>
          </w:p>
        </w:tc>
        <w:tc>
          <w:tcPr>
            <w:tcW w:w="198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0.2%</w:t>
            </w:r>
          </w:p>
        </w:tc>
        <w:tc>
          <w:tcPr>
            <w:tcW w:w="198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(0.8)%</w:t>
            </w:r>
          </w:p>
        </w:tc>
        <w:tc>
          <w:tcPr>
            <w:tcW w:w="19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spacing w:after="0"/>
              <w:rPr>
                <w:sz w:val="17"/>
                <w:szCs w:val="17"/>
                <w:color w:val="auto"/>
              </w:rPr>
            </w:pP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(0.0)%</w:t>
            </w:r>
          </w:p>
        </w:tc>
        <w:tc>
          <w:tcPr>
            <w:tcW w:w="198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ind w:left="200"/>
              <w:spacing w:after="0" w:line="196" w:lineRule="exact"/>
              <w:rPr>
                <w:sz w:val="20"/>
                <w:szCs w:val="20"/>
                <w:color w:val="auto"/>
              </w:rPr>
            </w:pPr>
            <w:r>
              <w:rPr>
                <w:rFonts w:ascii="Arial" w:cs="Arial" w:eastAsia="Arial" w:hAnsi="Arial"/>
                <w:sz w:val="18"/>
                <w:szCs w:val="18"/>
                <w:color w:val="auto"/>
              </w:rPr>
              <w:t>Total other income benefit (expense)</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28"/>
              <w:spacing w:after="0" w:line="196" w:lineRule="exact"/>
              <w:rPr>
                <w:sz w:val="20"/>
                <w:szCs w:val="20"/>
                <w:color w:val="auto"/>
              </w:rPr>
            </w:pPr>
            <w:r>
              <w:rPr>
                <w:rFonts w:ascii="Arial" w:cs="Arial" w:eastAsia="Arial" w:hAnsi="Arial"/>
                <w:sz w:val="18"/>
                <w:szCs w:val="18"/>
                <w:color w:val="auto"/>
              </w:rPr>
              <w:t>(0.9)%</w:t>
            </w:r>
          </w:p>
        </w:tc>
        <w:tc>
          <w:tcPr>
            <w:tcW w:w="19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before income tax expense</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5.4%</w:t>
            </w:r>
          </w:p>
        </w:tc>
        <w:tc>
          <w:tcPr>
            <w:tcW w:w="198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(1.1)%</w:t>
            </w:r>
          </w:p>
        </w:tc>
        <w:tc>
          <w:tcPr>
            <w:tcW w:w="1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4.3%</w:t>
            </w:r>
          </w:p>
        </w:tc>
        <w:tc>
          <w:tcPr>
            <w:tcW w:w="198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(0.8)%</w:t>
            </w:r>
          </w:p>
        </w:tc>
        <w:tc>
          <w:tcPr>
            <w:tcW w:w="1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3.5%</w:t>
            </w:r>
          </w:p>
        </w:tc>
        <w:tc>
          <w:tcPr>
            <w:tcW w:w="198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52"/>
        </w:trPr>
        <w:tc>
          <w:tcPr>
            <w:tcW w:w="4160" w:type="dxa"/>
            <w:vAlign w:val="bottom"/>
            <w:tcBorders>
              <w:top w:val="single" w:sz="8" w:color="CFF0FC"/>
            </w:tcBorders>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24"/>
                <w:szCs w:val="24"/>
                <w:color w:val="auto"/>
              </w:rPr>
            </w:pPr>
          </w:p>
        </w:tc>
        <w:tc>
          <w:tcPr>
            <w:tcW w:w="3240" w:type="dxa"/>
            <w:vAlign w:val="bottom"/>
            <w:gridSpan w:val="5"/>
          </w:tcPr>
          <w:p>
            <w:pPr>
              <w:jc w:val="right"/>
              <w:ind w:right="988"/>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gridSpan w:val="4"/>
          </w:tcPr>
          <w:p>
            <w:pPr>
              <w:jc w:val="right"/>
              <w:ind w:right="15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468"/>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6,750,576</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5,442,749</w:t>
            </w:r>
          </w:p>
        </w:tc>
        <w:tc>
          <w:tcPr>
            <w:tcW w:w="5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1,307,827</w:t>
            </w:r>
          </w:p>
        </w:tc>
        <w:tc>
          <w:tcPr>
            <w:tcW w:w="198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-2185670</wp:posOffset>
            </wp:positionV>
            <wp:extent cx="1543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-2185670</wp:posOffset>
            </wp:positionV>
            <wp:extent cx="1543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-1662430</wp:posOffset>
            </wp:positionV>
            <wp:extent cx="154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-1662430</wp:posOffset>
            </wp:positionV>
            <wp:extent cx="1543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-856615</wp:posOffset>
            </wp:positionV>
            <wp:extent cx="1543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-839470</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-856615</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-839470</wp:posOffset>
            </wp:positionV>
            <wp:extent cx="1543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Revenue for the year ended December 31, 2024 compared to the prior year increased $1.3 billion. Revenue increased in both the Federal Solutions and Critical Infrastructure segments by $986.4 million and $321.4 million, respectively. See “—Segment Results” below for further discussion.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4"/>
                <w:szCs w:val="14"/>
                <w:b w:val="1"/>
                <w:bCs w:val="1"/>
                <w:color w:val="auto"/>
              </w:rPr>
              <w:t>Fiscal Year Ended</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Variance</w:t>
            </w:r>
          </w:p>
        </w:tc>
        <w:tc>
          <w:tcPr>
            <w:tcW w:w="1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6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 of contracts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5,344,154</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4,236,735</w:t>
            </w:r>
          </w:p>
        </w:tc>
        <w:tc>
          <w:tcPr>
            <w:tcW w:w="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1,107,419</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Direct cost of contracts for the year ended December 31, 2024 compared to the prior year increased $1.1 billion. Direct cost of contracts increased in both the Federal Solutions and Critical Infrastructure segments by $812.5 million and $294.9 million, respectively. The increase in direct costs of contracts in both the Federal Solutions and Critical Infrastructure segments was primarily related to increased volume from new and existing contracts.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Fiscal Year Ended</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December 31, 2023</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400" w:type="dxa"/>
            <w:vAlign w:val="bottom"/>
            <w:shd w:val="clear" w:color="auto" w:fill="CFF0FC"/>
          </w:tcPr>
          <w:p>
            <w:pPr>
              <w:jc w:val="right"/>
              <w:ind w:right="219"/>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(23,361)</w:t>
            </w:r>
          </w:p>
        </w:tc>
        <w:tc>
          <w:tcPr>
            <w:tcW w:w="740" w:type="dxa"/>
            <w:vAlign w:val="bottom"/>
            <w:gridSpan w:val="2"/>
            <w:shd w:val="clear" w:color="auto" w:fill="CFF0FC"/>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(47,751)</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24,390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881"/>
        </w:trPr>
        <w:tc>
          <w:tcPr>
            <w:tcW w:w="4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456"/>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Equity in losses of unconsolidated joint ventures for the year ended December 31, 2024 improved by $ 24.4 million compared to the prior year. Impacting equity in losses of unconsolidated joint ventures for the year ended December 31, 2024 were write-downs of $51.7 million related to Parsons' participation in a design build joint venture. For the year ended December 31, 2023 the Company had write-downs of $ 83.4 million, inclusive of $57.9 million related to the design build joint venture referenced above. Results for the year ended December 31, 2023 also included earnings on higher margin change orders which did not reoccur for the year ended December 31, 2024. Joint venture volume has decreased year-over-year as we move away from our participation in construction joint ventures.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4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954,995</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869,905</w:t>
            </w:r>
          </w:p>
        </w:tc>
        <w:tc>
          <w:tcPr>
            <w:tcW w:w="5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85,090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As a percentage of revenue, SG&amp;A decreased by 1.9% to 14.1% for the year ended December 31, 2024 compared to 16.0% for the corresponding period last year.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Pr>
          <w:p>
            <w:pPr>
              <w:spacing w:after="0"/>
              <w:rPr>
                <w:sz w:val="14"/>
                <w:szCs w:val="14"/>
                <w:color w:val="auto"/>
              </w:rPr>
            </w:pPr>
          </w:p>
        </w:tc>
        <w:tc>
          <w:tcPr>
            <w:tcW w:w="3740" w:type="dxa"/>
            <w:vAlign w:val="bottom"/>
            <w:gridSpan w:val="5"/>
          </w:tcPr>
          <w:p>
            <w:pPr>
              <w:jc w:val="right"/>
              <w:ind w:right="1460"/>
              <w:spacing w:after="0"/>
              <w:rPr>
                <w:sz w:val="20"/>
                <w:szCs w:val="20"/>
                <w:color w:val="auto"/>
              </w:rPr>
            </w:pPr>
            <w:r>
              <w:rPr>
                <w:rFonts w:ascii="Arial" w:cs="Arial" w:eastAsia="Arial" w:hAnsi="Arial"/>
                <w:sz w:val="14"/>
                <w:szCs w:val="14"/>
                <w:b w:val="1"/>
                <w:bCs w:val="1"/>
                <w:color w:val="auto"/>
              </w:rPr>
              <w:t>Fiscal Year Ended</w:t>
            </w:r>
          </w:p>
        </w:tc>
        <w:tc>
          <w:tcPr>
            <w:tcW w:w="340" w:type="dxa"/>
            <w:vAlign w:val="bottom"/>
          </w:tcPr>
          <w:p>
            <w:pPr>
              <w:spacing w:after="0"/>
              <w:rPr>
                <w:sz w:val="14"/>
                <w:szCs w:val="14"/>
                <w:color w:val="auto"/>
              </w:rPr>
            </w:pPr>
          </w:p>
        </w:tc>
        <w:tc>
          <w:tcPr>
            <w:tcW w:w="1860" w:type="dxa"/>
            <w:vAlign w:val="bottom"/>
            <w:gridSpan w:val="3"/>
          </w:tcPr>
          <w:p>
            <w:pPr>
              <w:ind w:left="1080"/>
              <w:spacing w:after="0"/>
              <w:rPr>
                <w:sz w:val="20"/>
                <w:szCs w:val="20"/>
                <w:color w:val="auto"/>
              </w:rPr>
            </w:pPr>
            <w:r>
              <w:rPr>
                <w:rFonts w:ascii="Arial" w:cs="Arial" w:eastAsia="Arial" w:hAnsi="Arial"/>
                <w:sz w:val="14"/>
                <w:szCs w:val="14"/>
                <w:b w:val="1"/>
                <w:bCs w:val="1"/>
                <w:color w:val="auto"/>
              </w:rPr>
              <w:t>Variance</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11,428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9,237</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(51,582)</w:t>
            </w:r>
          </w:p>
        </w:tc>
        <w:tc>
          <w:tcPr>
            <w:tcW w:w="140" w:type="dxa"/>
            <w:vAlign w:val="bottom"/>
          </w:tcPr>
          <w:p>
            <w:pPr>
              <w:spacing w:after="0"/>
              <w:rPr>
                <w:sz w:val="17"/>
                <w:szCs w:val="17"/>
                <w:color w:val="auto"/>
              </w:rPr>
            </w:pPr>
          </w:p>
        </w:tc>
        <w:tc>
          <w:tcPr>
            <w:tcW w:w="1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(31,497)</w:t>
            </w:r>
          </w:p>
        </w:tc>
        <w:tc>
          <w:tcPr>
            <w:tcW w:w="3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(20,085)</w:t>
            </w:r>
          </w:p>
        </w:tc>
        <w:tc>
          <w:tcPr>
            <w:tcW w:w="38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Convertible debt repurchase loss</w:t>
            </w:r>
          </w:p>
        </w:tc>
        <w:tc>
          <w:tcPr>
            <w:tcW w:w="1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(18,355)</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(18,355)</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(1,906)</w:t>
            </w:r>
          </w:p>
        </w:tc>
        <w:tc>
          <w:tcPr>
            <w:tcW w:w="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(6,907)</w:t>
            </w:r>
          </w:p>
        </w:tc>
        <w:tc>
          <w:tcPr>
            <w:tcW w:w="38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(60,415)</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(24,305)</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(36,110)</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Interest income is related to interest earned on investments in government money funds. Interest income increased for the year ended December 31, 2024 compared to the corresponding period last year is due to higher cash balances held and increased interest rates compared to the corresponding period last year.</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Interest expense for the year ended December 31, 2024 is primarily due to debt related to our Convertible Senior Notes and Delayed Draw Term Loan. The increase in Interest expense for the year ended December 31, 2024 compared to the corresponding period last year is primarily related to an increase in debt balances and a $3.2 million charge from the acceleration of the amortization of debt issuance costs associated with the partial repurchase of the 0.25% Convertible Senior Notes due 2025 discussed below.</w:t>
      </w:r>
    </w:p>
    <w:p>
      <w:pPr>
        <w:spacing w:after="0" w:line="1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During the year ended December 31,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an $18.4 convertible debt repurchase loss. The Repurchase Transaction is a partial repurchase of our Convertible Senior Notes due 2025. See “Note 11 – Debt and Credit Facilities,” for a further discussion of this transaction.</w:t>
      </w:r>
    </w:p>
    <w:p>
      <w:pPr>
        <w:spacing w:after="0" w:line="176"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sublease income, and a change in the fair value of contingent consideration..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December 31, 2024</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December 31, 2023</w:t>
            </w:r>
          </w:p>
        </w:tc>
        <w:tc>
          <w:tcPr>
            <w:tcW w:w="300" w:type="dxa"/>
            <w:vAlign w:val="bottom"/>
          </w:tcPr>
          <w:p>
            <w:pPr>
              <w:spacing w:after="0"/>
              <w:rPr>
                <w:sz w:val="13"/>
                <w:szCs w:val="13"/>
                <w:color w:val="auto"/>
              </w:rPr>
            </w:pPr>
          </w:p>
        </w:tc>
        <w:tc>
          <w:tcPr>
            <w:tcW w:w="11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Dollar</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76,986</w:t>
            </w:r>
          </w:p>
        </w:tc>
        <w:tc>
          <w:tcPr>
            <w:tcW w:w="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56,138</w:t>
            </w:r>
          </w:p>
        </w:tc>
        <w:tc>
          <w:tcPr>
            <w:tcW w:w="1480" w:type="dxa"/>
            <w:vAlign w:val="bottom"/>
            <w:gridSpan w:val="2"/>
            <w:shd w:val="clear" w:color="auto" w:fill="CFF0FC"/>
          </w:tcPr>
          <w:p>
            <w:pPr>
              <w:jc w:val="right"/>
              <w:ind w:right="1008"/>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20,848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Income tax expense increased in fiscal 2024 primarily due to an increase in overall pre-tax income, increases in current year foreign Net Operating Losses (NOLs) subject to valuation allowances and an increase in non-deductible executive compensation subject to Section 162(m), partially offset by increases in the foreign-derived intangible income (FDII) deduction, and increased equity based-compensation deductions.</w:t>
      </w:r>
    </w:p>
    <w:p>
      <w:pPr>
        <w:spacing w:after="0" w:line="174" w:lineRule="exact"/>
        <w:rPr>
          <w:sz w:val="20"/>
          <w:szCs w:val="20"/>
          <w:color w:val="auto"/>
        </w:rPr>
      </w:pPr>
    </w:p>
    <w:p>
      <w:pPr>
        <w:ind w:right="160" w:firstLine="509"/>
        <w:spacing w:after="0" w:line="266" w:lineRule="auto"/>
        <w:rPr>
          <w:sz w:val="20"/>
          <w:szCs w:val="20"/>
          <w:color w:val="auto"/>
        </w:rPr>
      </w:pPr>
      <w:r>
        <w:rPr>
          <w:rFonts w:ascii="Arial" w:cs="Arial" w:eastAsia="Arial" w:hAnsi="Arial"/>
          <w:sz w:val="17"/>
          <w:szCs w:val="17"/>
          <w:color w:val="auto"/>
        </w:rPr>
        <w:t>Our effective tax rate was 20.9% and 21.3% for the years ended December 31, 2024 and 2023, respectively. The difference between the statutory U.S. federal income tax rate of 21% and the effective tax rate for the year ended December 31, 2024 primarily relates to state income taxes, valuation allowance and executive compensations subject to Section 162(m) offset by benefits related to untaxed income attributable to noncontrolling interests, earnings in lower tax jurisdictions, the FDII deduction, and equity-based compensation.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Other Information:</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(1)</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609,306</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604,953</w:t>
            </w:r>
          </w:p>
        </w:tc>
        <w:tc>
          <w:tcPr>
            <w:tcW w:w="2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464,673</w:t>
            </w:r>
          </w:p>
        </w:tc>
        <w:tc>
          <w:tcPr>
            <w:tcW w:w="18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Net Income Margin (2)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140" w:type="dxa"/>
            <w:vAlign w:val="bottom"/>
          </w:tcPr>
          <w:p>
            <w:pPr>
              <w:spacing w:after="0"/>
              <w:rPr>
                <w:sz w:val="17"/>
                <w:szCs w:val="17"/>
                <w:color w:val="auto"/>
              </w:rPr>
            </w:pPr>
          </w:p>
        </w:tc>
        <w:tc>
          <w:tcPr>
            <w:tcW w:w="1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w:t>
            </w: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4"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reconciliation of net income attributable to Parsons Corporation to Adjusted EBITDA is set forth below (in thousands).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Net Income Margin is calculated as net income including noncontrolling interest divided by revenue in the applicable period.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revenue in the applicable period.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color w:val="auto"/>
              </w:rPr>
              <w:t>Net income attributable to Parsons Corporation</w:t>
            </w:r>
          </w:p>
        </w:tc>
        <w:tc>
          <w:tcPr>
            <w:tcW w:w="2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46"/>
        </w:trPr>
        <w:tc>
          <w:tcPr>
            <w:tcW w:w="6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241,139</w:t>
            </w:r>
          </w:p>
        </w:tc>
        <w:tc>
          <w:tcPr>
            <w:tcW w:w="240" w:type="dxa"/>
            <w:vAlign w:val="bottom"/>
          </w:tcPr>
          <w:p>
            <w:pPr>
              <w:spacing w:after="0"/>
              <w:rPr>
                <w:sz w:val="12"/>
                <w:szCs w:val="12"/>
                <w:color w:val="auto"/>
              </w:rPr>
            </w:pPr>
          </w:p>
        </w:tc>
        <w:tc>
          <w:tcPr>
            <w:tcW w:w="44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235,053</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Interest expense, net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44,424</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40,154</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Income tax expense</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73,647</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76,986</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116,486</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99,251</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67,725</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55,612</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Equity-based compensation</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40,225</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61,492</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Transaction-related costs (a)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18,205</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17,138</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Convertible debt repurchase loss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18,355</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Restructuring (b)</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2,653</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20"/>
                <w:szCs w:val="20"/>
                <w:color w:val="auto"/>
              </w:rPr>
            </w:pPr>
            <w:r>
              <w:rPr>
                <w:rFonts w:ascii="Arial" w:cs="Arial" w:eastAsia="Arial" w:hAnsi="Arial"/>
                <w:sz w:val="14"/>
                <w:szCs w:val="14"/>
                <w:color w:val="auto"/>
              </w:rPr>
              <w:t>Other (c)</w:t>
            </w: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56"/>
        </w:trPr>
        <w:tc>
          <w:tcPr>
            <w:tcW w:w="6640" w:type="dxa"/>
            <w:vAlign w:val="bottom"/>
          </w:tcPr>
          <w:p>
            <w:pPr>
              <w:spacing w:after="0" w:line="155" w:lineRule="exact"/>
              <w:rPr>
                <w:sz w:val="20"/>
                <w:szCs w:val="20"/>
                <w:color w:val="auto"/>
              </w:rPr>
            </w:pPr>
            <w:r>
              <w:rPr>
                <w:rFonts w:ascii="Arial" w:cs="Arial" w:eastAsia="Arial" w:hAnsi="Arial"/>
                <w:sz w:val="14"/>
                <w:szCs w:val="14"/>
                <w:color w:val="auto"/>
              </w:rPr>
              <w:t>Adjusted EBITDA</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609,306</w:t>
            </w:r>
          </w:p>
        </w:tc>
        <w:tc>
          <w:tcPr>
            <w:tcW w:w="240" w:type="dxa"/>
            <w:vAlign w:val="bottom"/>
          </w:tcPr>
          <w:p>
            <w:pPr>
              <w:spacing w:after="0"/>
              <w:rPr>
                <w:sz w:val="13"/>
                <w:szCs w:val="13"/>
                <w:color w:val="auto"/>
              </w:rPr>
            </w:pPr>
          </w:p>
        </w:tc>
        <w:tc>
          <w:tcPr>
            <w:tcW w:w="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604,953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December 31, 2023</w:t>
      </w:r>
    </w:p>
    <w:p>
      <w:pPr>
        <w:spacing w:after="0" w:line="29" w:lineRule="exact"/>
        <w:rPr>
          <w:sz w:val="20"/>
          <w:szCs w:val="20"/>
          <w:color w:val="auto"/>
        </w:rPr>
      </w:pPr>
    </w:p>
    <w:p>
      <w:pPr>
        <w:ind w:left="800" w:hanging="791"/>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161,149</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29,306</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56,138</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119,973</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46,766</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36,151</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12,013</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1,244</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8401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ind w:left="800" w:hanging="791"/>
        <w:spacing w:after="0"/>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464,673</w:t>
      </w:r>
    </w:p>
    <w:p>
      <w:pPr>
        <w:spacing w:after="0" w:line="236" w:lineRule="exact"/>
        <w:rPr>
          <w:sz w:val="20"/>
          <w:szCs w:val="20"/>
          <w:color w:val="auto"/>
        </w:rPr>
      </w:pPr>
    </w:p>
    <w:p>
      <w:pPr>
        <w:sectPr>
          <w:pgSz w:w="11900" w:h="16838" w:orient="portrait"/>
          <w:cols w:equalWidth="0" w:num="2">
            <w:col w:w="9560" w:space="240"/>
            <w:col w:w="1440"/>
          </w:cols>
          <w:pgMar w:left="320" w:top="1440" w:right="339" w:bottom="1440" w:gutter="0" w:footer="0" w:header="0"/>
          <w:type w:val="continuous"/>
        </w:sectPr>
      </w:pPr>
    </w:p>
    <w:p>
      <w:pPr>
        <w:spacing w:after="0" w:line="20"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costs incurred in connection with acquisitions, and other non-recurring transaction costs, primarily fees paid for professional services and employee retention.</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costs associated with and related to our corporate restructuring initiatives.</w:t>
      </w:r>
    </w:p>
    <w:p>
      <w:pPr>
        <w:spacing w:after="0" w:line="1" w:lineRule="exact"/>
        <w:rPr>
          <w:rFonts w:ascii="Arial" w:cs="Arial" w:eastAsia="Arial" w:hAnsi="Arial"/>
          <w:sz w:val="14"/>
          <w:szCs w:val="14"/>
          <w:color w:val="auto"/>
        </w:rPr>
      </w:pPr>
    </w:p>
    <w:p>
      <w:pPr>
        <w:ind w:left="520" w:right="380" w:hanging="512"/>
        <w:spacing w:after="0" w:line="264"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 combination of gain/loss related to sale of fixed assets, software implementation costs, and other individually insignificant items that are non-recurring in nature.</w:t>
      </w:r>
    </w:p>
    <w:p>
      <w:pPr>
        <w:spacing w:after="0" w:line="16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Adjusted EBITDA is a supplemental measure of our operating performance included in this Annual Report on Form 10-K because it is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to measure the performance of the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generally. Adjusted EBITDA is frequently used by analysts, investors and other interested parties to evaluate companies in our industry.</w:t>
      </w:r>
    </w:p>
    <w:p>
      <w:pPr>
        <w:spacing w:after="0" w:line="21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Adjusted EBITDA is not a U.S. GAAP measure of our financial performance or liquidity and should not be considered as an alternative to net income as a measure of financial performance or cash flows from operations as measures of liquidity, or any other performance measure derived in accordance with U.S.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U.S.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See “Segment Results” below and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in the notes to our consolidated financial statements included elsewhere in this Annual Report on Form 10-K for further discussion regarding our segment Adjusted EBITDA attributable to Parsons Corporation</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820" w:firstLine="509"/>
        <w:spacing w:after="0" w:line="253"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 noncontrolling interests.</w:t>
      </w:r>
    </w:p>
    <w:p>
      <w:pPr>
        <w:spacing w:after="0" w:line="169"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December 31, 2024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80" w:type="dxa"/>
            <w:vAlign w:val="bottom"/>
            <w:gridSpan w:val="4"/>
            <w:shd w:val="clear" w:color="auto" w:fill="CFF0FC"/>
          </w:tcPr>
          <w:p>
            <w:pPr>
              <w:spacing w:after="0" w:line="196" w:lineRule="exact"/>
              <w:rPr>
                <w:sz w:val="20"/>
                <w:szCs w:val="20"/>
                <w:color w:val="auto"/>
              </w:rPr>
            </w:pPr>
            <w:r>
              <w:rPr>
                <w:rFonts w:ascii="Arial" w:cs="Arial" w:eastAsia="Arial" w:hAnsi="Arial"/>
                <w:sz w:val="18"/>
                <w:szCs w:val="18"/>
                <w:color w:val="auto"/>
              </w:rPr>
              <w:t>Federal Solutions Adjusted EBITDA attributable to Parsons Corporation</w:t>
            </w:r>
          </w:p>
        </w:tc>
        <w:tc>
          <w:tcPr>
            <w:tcW w:w="720" w:type="dxa"/>
            <w:vAlign w:val="bottom"/>
            <w:gridSpan w:val="3"/>
            <w:shd w:val="clear" w:color="auto" w:fill="CFF0FC"/>
          </w:tcPr>
          <w:p>
            <w:pPr>
              <w:ind w:left="40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281,116</w:t>
            </w:r>
          </w:p>
        </w:tc>
        <w:tc>
          <w:tcPr>
            <w:tcW w:w="480" w:type="dxa"/>
            <w:vAlign w:val="bottom"/>
            <w:gridSpan w:val="3"/>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415,338</w:t>
            </w:r>
          </w:p>
        </w:tc>
        <w:tc>
          <w:tcPr>
            <w:tcW w:w="420" w:type="dxa"/>
            <w:vAlign w:val="bottom"/>
            <w:gridSpan w:val="3"/>
            <w:shd w:val="clear" w:color="auto" w:fill="CFF0FC"/>
          </w:tcPr>
          <w:p>
            <w:pPr>
              <w:ind w:left="2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289,250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gridSpan w:val="4"/>
          </w:tcPr>
          <w:p>
            <w:pPr>
              <w:spacing w:after="0" w:line="202" w:lineRule="exact"/>
              <w:rPr>
                <w:sz w:val="20"/>
                <w:szCs w:val="20"/>
                <w:color w:val="auto"/>
              </w:rPr>
            </w:pPr>
            <w:r>
              <w:rPr>
                <w:rFonts w:ascii="Arial" w:cs="Arial" w:eastAsia="Arial" w:hAnsi="Arial"/>
                <w:sz w:val="18"/>
                <w:szCs w:val="18"/>
                <w:color w:val="auto"/>
              </w:rPr>
              <w:t>Critical Infrastructure Adjusted EBITDA attributable to Parsons Corporation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260,106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132,901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127,785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68,084</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56,714</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47,638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Pr>
          <w:p>
            <w:pPr>
              <w:ind w:left="180"/>
              <w:spacing w:after="0" w:line="196" w:lineRule="exact"/>
              <w:rPr>
                <w:sz w:val="20"/>
                <w:szCs w:val="20"/>
                <w:color w:val="auto"/>
              </w:rPr>
            </w:pPr>
            <w:r>
              <w:rPr>
                <w:rFonts w:ascii="Arial" w:cs="Arial" w:eastAsia="Arial" w:hAnsi="Arial"/>
                <w:sz w:val="18"/>
                <w:szCs w:val="18"/>
                <w:color w:val="auto"/>
              </w:rPr>
              <w:t>Total Adjusted EBITDA</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609,306</w:t>
            </w:r>
          </w:p>
        </w:tc>
        <w:tc>
          <w:tcPr>
            <w:tcW w:w="260" w:type="dxa"/>
            <w:vAlign w:val="bottom"/>
            <w:gridSpan w:val="2"/>
          </w:tcPr>
          <w:p>
            <w:pPr>
              <w:spacing w:after="0"/>
              <w:rPr>
                <w:sz w:val="17"/>
                <w:szCs w:val="17"/>
                <w:color w:val="auto"/>
              </w:rPr>
            </w:pPr>
          </w:p>
        </w:tc>
        <w:tc>
          <w:tcPr>
            <w:tcW w:w="220" w:type="dxa"/>
            <w:vAlign w:val="bottom"/>
          </w:tcPr>
          <w:p>
            <w:pPr>
              <w:jc w:val="right"/>
              <w:ind w:right="42"/>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604,953</w:t>
            </w:r>
          </w:p>
        </w:tc>
        <w:tc>
          <w:tcPr>
            <w:tcW w:w="420" w:type="dxa"/>
            <w:vAlign w:val="bottom"/>
            <w:gridSpan w:val="3"/>
          </w:tcPr>
          <w:p>
            <w:pPr>
              <w:ind w:left="2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464,673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90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Year ended December 31, 2025 compared to year ended December 31, 2024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40" w:type="dxa"/>
            <w:vAlign w:val="bottom"/>
          </w:tcPr>
          <w:p>
            <w:pPr>
              <w:spacing w:after="0"/>
              <w:rPr>
                <w:sz w:val="20"/>
                <w:szCs w:val="20"/>
                <w:color w:val="auto"/>
              </w:rPr>
            </w:pPr>
            <w:r>
              <w:rPr>
                <w:rFonts w:ascii="Arial" w:cs="Arial" w:eastAsia="Arial" w:hAnsi="Arial"/>
                <w:sz w:val="18"/>
                <w:szCs w:val="18"/>
                <w:i w:val="1"/>
                <w:iCs w:val="1"/>
                <w:color w:val="auto"/>
              </w:rPr>
              <w:t>Federal Solutions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The Year Ended</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Variance</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2025</w:t>
            </w:r>
          </w:p>
        </w:tc>
        <w:tc>
          <w:tcPr>
            <w:tcW w:w="260" w:type="dxa"/>
            <w:vAlign w:val="bottom"/>
          </w:tcPr>
          <w:p>
            <w:pPr>
              <w:spacing w:after="0"/>
              <w:rPr>
                <w:sz w:val="13"/>
                <w:szCs w:val="13"/>
                <w:color w:val="auto"/>
              </w:rPr>
            </w:pPr>
          </w:p>
        </w:tc>
        <w:tc>
          <w:tcPr>
            <w:tcW w:w="134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3,220,797</w:t>
            </w:r>
          </w:p>
        </w:tc>
        <w:tc>
          <w:tcPr>
            <w:tcW w:w="400" w:type="dxa"/>
            <w:vAlign w:val="bottom"/>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4,007,114</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(786,317)</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281,116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415,338</w:t>
            </w:r>
          </w:p>
        </w:tc>
        <w:tc>
          <w:tcPr>
            <w:tcW w:w="1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(134,222)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845"/>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75"/>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-2365375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-2365375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decrease in Federal Solutions revenue for the year ended December 31, 2025 compared to the corresponding period last year was primarily driven by our confidential contract operating at a reduced volume as a result of the Department of State reorganization issued May 29, 2025. This decrease was offset by the recognition of incentive fees, growth on existing contracts, and the ramp-up of new task orders.</w:t>
      </w:r>
    </w:p>
    <w:p>
      <w:pPr>
        <w:spacing w:after="0" w:line="174" w:lineRule="exact"/>
        <w:rPr>
          <w:sz w:val="20"/>
          <w:szCs w:val="20"/>
          <w:color w:val="auto"/>
        </w:rPr>
      </w:pPr>
    </w:p>
    <w:p>
      <w:pPr>
        <w:ind w:right="560" w:firstLine="509"/>
        <w:spacing w:after="0" w:line="253" w:lineRule="auto"/>
        <w:rPr>
          <w:sz w:val="20"/>
          <w:szCs w:val="20"/>
          <w:color w:val="auto"/>
        </w:rPr>
      </w:pPr>
      <w:r>
        <w:rPr>
          <w:rFonts w:ascii="Arial" w:cs="Arial" w:eastAsia="Arial" w:hAnsi="Arial"/>
          <w:sz w:val="18"/>
          <w:szCs w:val="18"/>
          <w:color w:val="auto"/>
        </w:rPr>
        <w:t>The decrease in Federal Solutions Adjusted EBITDA attributable to Parsons Corporation for the year ended December 31, 2025 compared to the prior year was primarily due to the factors impacting revenue discussed above and an increase in SG&amp;A including investments made in key personnel and bid and proposal activity on strategic pursuits.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The Year Ended</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FF0FC"/>
          </w:tcPr>
          <w:p>
            <w:pPr>
              <w:ind w:left="3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3,143,448</w:t>
            </w:r>
          </w:p>
        </w:tc>
        <w:tc>
          <w:tcPr>
            <w:tcW w:w="72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2,743,462</w:t>
            </w:r>
          </w:p>
        </w:tc>
        <w:tc>
          <w:tcPr>
            <w:tcW w:w="5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399,986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260,106</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132,901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127,205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increase in Critical Infrastructure revenue for the year ended December 31, 2025 compared to the corresponding period last year was primarily related to organic growth of 10% and $113.9 million from business acquisitions. Organic growth was primarily due to an increase in business volume from existing contracts and ramping up of recent awards.</w:t>
      </w:r>
    </w:p>
    <w:p>
      <w:pPr>
        <w:spacing w:after="0" w:line="169"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increase in Critical Infrastructure Adjusted EBITDA attributable to Parsons for the year ended December 31, 2025 compared to the corresponding period last year was primarily due to the revenue impacts discussed above, recent business acquisitions, and improvement in equity in earnings (losses) from unconsolidated joint ventures. These increases in Adjusted EBITDA, were partially offset by an increase in SG&amp;A.</w:t>
      </w:r>
    </w:p>
    <w:p>
      <w:pPr>
        <w:spacing w:after="0" w:line="176" w:lineRule="exact"/>
        <w:rPr>
          <w:sz w:val="20"/>
          <w:szCs w:val="20"/>
          <w:color w:val="auto"/>
        </w:rPr>
      </w:pPr>
    </w:p>
    <w:p>
      <w:pPr>
        <w:ind w:right="4280" w:firstLine="509"/>
        <w:spacing w:after="0" w:line="394" w:lineRule="auto"/>
        <w:rPr>
          <w:sz w:val="20"/>
          <w:szCs w:val="20"/>
          <w:color w:val="auto"/>
        </w:rPr>
      </w:pPr>
      <w:r>
        <w:rPr>
          <w:rFonts w:ascii="Arial" w:cs="Arial" w:eastAsia="Arial" w:hAnsi="Arial"/>
          <w:sz w:val="18"/>
          <w:szCs w:val="18"/>
          <w:b w:val="1"/>
          <w:bCs w:val="1"/>
          <w:i w:val="1"/>
          <w:iCs w:val="1"/>
          <w:color w:val="auto"/>
        </w:rPr>
        <w:t xml:space="preserve">Year ended December 31, 2024 compared to year ended December 31, 2023 </w:t>
      </w:r>
      <w:r>
        <w:rPr>
          <w:rFonts w:ascii="Arial" w:cs="Arial" w:eastAsia="Arial" w:hAnsi="Arial"/>
          <w:sz w:val="18"/>
          <w:szCs w:val="18"/>
          <w:i w:val="1"/>
          <w:iCs w:val="1"/>
          <w:color w:val="auto"/>
        </w:rPr>
        <w:t>Federal Solutions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The Year Ended</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Variance</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3"/>
                <w:szCs w:val="13"/>
                <w:color w:val="auto"/>
              </w:rPr>
            </w:pPr>
          </w:p>
        </w:tc>
        <w:tc>
          <w:tcPr>
            <w:tcW w:w="7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020" w:type="dxa"/>
            <w:vAlign w:val="bottom"/>
            <w:gridSpan w:val="2"/>
            <w:shd w:val="clear" w:color="auto" w:fill="CFF0FC"/>
          </w:tcPr>
          <w:p>
            <w:pPr>
              <w:jc w:val="right"/>
              <w:ind w:right="208"/>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4,007,114</w:t>
            </w:r>
          </w:p>
        </w:tc>
        <w:tc>
          <w:tcPr>
            <w:tcW w:w="640" w:type="dxa"/>
            <w:vAlign w:val="bottom"/>
            <w:gridSpan w:val="2"/>
            <w:shd w:val="clear" w:color="auto" w:fill="CFF0FC"/>
          </w:tcPr>
          <w:p>
            <w:pPr>
              <w:jc w:val="right"/>
              <w:ind w:right="368"/>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3,020,701</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986,413</w:t>
            </w:r>
          </w:p>
        </w:tc>
        <w:tc>
          <w:tcPr>
            <w:tcW w:w="9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415,338</w:t>
            </w:r>
          </w:p>
        </w:tc>
        <w:tc>
          <w:tcPr>
            <w:tcW w:w="64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289,250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126,088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increase in Federal Solutions revenue for the year ended December 31, 2024 compared to the corresponding period last year was primarily related to organic growth of 30% and $73.6 million from business acquisitions. Organic growth was primarily due to the ramp up of recent awards including growth on a significant contract, growth of existing contracts, partially offset by the winding down of certain contracts. Revenue for the year ended December 31, 2023 included incentive fees on two contracts of approximately $20 million that did not reoccur for the year ended December 31, 2024.</w:t>
      </w:r>
    </w:p>
    <w:p>
      <w:pPr>
        <w:spacing w:after="0" w:line="176"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increase in Federal Solutions Adjusted EBITDA attributable to Parsons Corporation for the year ended December 31, 2024 compared to the prior year was primarily due to the factors impacting revenue discussed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The Year Ended</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vMerge w:val="continue"/>
          </w:tcPr>
          <w:p>
            <w:pPr>
              <w:spacing w:after="0"/>
              <w:rPr>
                <w:sz w:val="13"/>
                <w:szCs w:val="13"/>
                <w:color w:val="auto"/>
              </w:rPr>
            </w:pPr>
          </w:p>
        </w:tc>
        <w:tc>
          <w:tcPr>
            <w:tcW w:w="14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8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6"/>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2,743,462</w:t>
            </w:r>
          </w:p>
        </w:tc>
        <w:tc>
          <w:tcPr>
            <w:tcW w:w="660" w:type="dxa"/>
            <w:vAlign w:val="bottom"/>
            <w:gridSpan w:val="2"/>
            <w:shd w:val="clear" w:color="auto" w:fill="CFF0FC"/>
          </w:tcPr>
          <w:p>
            <w:pPr>
              <w:jc w:val="right"/>
              <w:ind w:right="368"/>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2,422,048</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321,414</w:t>
            </w:r>
          </w:p>
        </w:tc>
        <w:tc>
          <w:tcPr>
            <w:tcW w:w="9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9"/>
        </w:trPr>
        <w:tc>
          <w:tcPr>
            <w:tcW w:w="55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132,901</w:t>
            </w:r>
          </w:p>
        </w:tc>
        <w:tc>
          <w:tcPr>
            <w:tcW w:w="6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127,785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increase in Critical Infrastructure revenue for the year ended December 31, 2024 compared to the corresponding period last year was primarily related to organic growth of 12% and $29.9 million from business acquisitions. Organic growth was primarily due to an increase in business volume from existing contracts and ramping up of recent awards offset by the winding down of certain contracts and contract write-downs of $44.5 million.</w:t>
      </w:r>
    </w:p>
    <w:p>
      <w:pPr>
        <w:spacing w:after="0" w:line="17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increase in Critical Infrastructure Adjusted EBITDA attributable to Parsons for the year ended December 31, 2024 compared to the corresponding period last year was primarily due to the increase in organic revenue. This increase was offset by the contract write-downs discussed above along with a write-down in equity in losses from unconsolidated joint ventures of $ 51.7 million compared to write-downs of $83.4 million for the year ended December 31, 2023. Also impacting Adjusted EBITDA were higher margin change orders on an unconsolidated joint venture for the year ended December 31, 2023 which did not reoccur for the year ended December 31, 2024.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Term Loan and periodic borrowings under our Revolving Credit Facility.</w:t>
      </w:r>
    </w:p>
    <w:p>
      <w:pPr>
        <w:spacing w:after="0" w:line="15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Revolving Credit Facility.</w:t>
      </w:r>
    </w:p>
    <w:p>
      <w:pPr>
        <w:spacing w:after="0" w:line="174"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As of December 31, 2025,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improve working capital. Net DSO was 67 days at December 31, 2025, up from 55 days at December 31, 2024 and 59 days at December 31, 2023. Our working capital (current assets less current liabilities) was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$1.2 billion at December 31, 2025, $546.8 million at December 31, 2024 and $726.6 million at December 31, 2023.</w:t>
      </w:r>
    </w:p>
    <w:p>
      <w:pPr>
        <w:spacing w:after="0" w:line="216"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Our cash and cash equivalents increased by $12.8 million to $466.4 million at December 31, 2025 from $453.5 million at December 31, 2024. This compares to an increase in cash and cash equivalents of $180.6 million to $453.5 million at December 31, 2024 from $272.9 million at December 31, 2023.</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2025</w:t>
            </w:r>
          </w:p>
        </w:tc>
        <w:tc>
          <w:tcPr>
            <w:tcW w:w="80" w:type="dxa"/>
            <w:vAlign w:val="bottom"/>
          </w:tcPr>
          <w:p>
            <w:pPr>
              <w:spacing w:after="0"/>
              <w:rPr>
                <w:sz w:val="13"/>
                <w:szCs w:val="13"/>
                <w:color w:val="auto"/>
              </w:rPr>
            </w:pPr>
          </w:p>
        </w:tc>
        <w:tc>
          <w:tcPr>
            <w:tcW w:w="15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13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3"/>
                <w:szCs w:val="13"/>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478,382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523,606</w:t>
            </w:r>
          </w:p>
        </w:tc>
        <w:tc>
          <w:tcPr>
            <w:tcW w:w="2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407,699</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(255,584)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(556,715)</w:t>
            </w:r>
          </w:p>
        </w:tc>
        <w:tc>
          <w:tcPr>
            <w:tcW w:w="3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(375,970)</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(214,100)</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218,749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(21,871)</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4,142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(5,035)</w:t>
            </w: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10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540" w:type="dxa"/>
            <w:vAlign w:val="bottom"/>
            <w:gridSpan w:val="2"/>
            <w:shd w:val="clear" w:color="auto" w:fill="CFF0FC"/>
          </w:tcPr>
          <w:p>
            <w:pPr>
              <w:ind w:left="118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12,840</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180,605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10,404</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Net cash provided by operating activities decreased $45.2 million to $478.4 million during 2025 compared to $523.6 million during 2024. The decrease in net cash provided by operating activities is primarily due to changes in our working capital accounts of $66.9 million (primarily from contract assets and prepaid expenses, accrued expenses and other current liabilities, and other assets offset by accounts payable, and contract liabilities). This decrease was offset by a $ 15.9 million change in net income after adjusting for non-cash items and convertible debt settlement and by a $5.8 million change in cash used for other long-term liabilities.</w:t>
      </w:r>
    </w:p>
    <w:p>
      <w:pPr>
        <w:spacing w:after="0" w:line="68" w:lineRule="exact"/>
        <w:rPr>
          <w:sz w:val="20"/>
          <w:szCs w:val="20"/>
          <w:color w:val="auto"/>
        </w:rPr>
      </w:pPr>
    </w:p>
    <w:p>
      <w:pPr>
        <w:jc w:val="both"/>
        <w:ind w:right="320" w:firstLine="509"/>
        <w:spacing w:after="0" w:line="247" w:lineRule="auto"/>
        <w:rPr>
          <w:sz w:val="20"/>
          <w:szCs w:val="20"/>
          <w:color w:val="auto"/>
        </w:rPr>
      </w:pPr>
      <w:r>
        <w:rPr>
          <w:rFonts w:ascii="Arial" w:cs="Arial" w:eastAsia="Arial" w:hAnsi="Arial"/>
          <w:sz w:val="18"/>
          <w:szCs w:val="18"/>
          <w:color w:val="auto"/>
        </w:rPr>
        <w:t>Net cash provided by operating activities increased $115.9 million to $523.6 million during 2024 compared to $407.7 million during 2023. The increase in net cash provided by operating activities is primarily due to a $98.4 million change in net income after adjusting for non-cash items and convertible debt settlement and from changes in our working capital accounts of $46.4 million (primarily from contract assets and prepaid expenses and other assets offset by accounts payable, accrued expenses and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 and contract liabilities). These increase were offset by a $29.0 million change in cash used for other long-term liabilities.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10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Net cash used in investing activities decreased $301.1 million to $255.6 million during 2025 compared to $556.7 million during 2024. The change was primarily driven by a $283.6 million decrease in payments for acquisitions and a $50.3 million reduction in investments in unconsolidated joint ventures offset by an increase of $18.8 million in capital expenditures and $14.7 million in return of investments in unconsolidated joint ventures. The increase in capital expenditures is primarily due to facilities related investments.</w:t>
      </w:r>
    </w:p>
    <w:p>
      <w:pPr>
        <w:spacing w:after="0" w:line="66"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Net cash used in investing activities increased $180.7 million to $556.7 million during 2024 compared to $376.0 million during 2023. The change was primarily driven by a $206.8 million increase in payments for acquisitions, $14.3 million from investments in unconsolidated joint ventures, and $8.8 million from capital expenditures offset by a $49.9 million increase in return of investments in consolidated joint ventures.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Net cash provided by (used in) financing activities is primarily associated with proceeds from debt, the repayment thereof, transactions related to the Company’s common stock, and contributions by and distributions to noncontrolling interests.</w:t>
      </w:r>
    </w:p>
    <w:p>
      <w:pPr>
        <w:spacing w:after="0" w:line="15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Net cash used in financing activities changed by $ 432.8 million to $214.1 million used in 2025 compared to $218.7 million provided by in 2024. The change in cash flows provided by (used in) financing activities is primarily driven by net cash inflows from our convertible bond transactions of $302.4 million for the year ended December 31, 2024. See “Note 11 – Debt and Credit Facilities,” for a further discussion of these transactions and proceeds from the term loan of $100 million. Offsetting cash provided by financing activities were $125.0 million of repurchase of common stock and a $34.1 million change in distributions to noncontrolling interests.</w:t>
      </w:r>
    </w:p>
    <w:p>
      <w:pPr>
        <w:spacing w:after="0" w:line="176"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During the year ended December 31, 2025, the Company paid $113.4 million to holders of the remaining balance of the Company's Convertible Senior Notes due 2025 that matured on August 15, 2025.</w:t>
      </w:r>
    </w:p>
    <w:p>
      <w:pPr>
        <w:spacing w:after="0" w:line="4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Net cash provided by (used in) financing activities increased by $240.6 million to $218.7 million in 2024 compared to $(21.9) million in 2023. The change in cash flows from financing activities is primarily driven by net cash inflows from our convertible bond transactions which generated $285.4 million in cash. See “Note 11 – Debt and Credit Facilities,” for a further discussion of these transactions. This increase was offset in part by distributions to noncontrolling interests of $16.7 million, taxes paid on vested stock of $15.3 million and $14.0 million from repurchases of common stock.</w:t>
      </w:r>
    </w:p>
    <w:p>
      <w:pPr>
        <w:spacing w:after="0" w:line="6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January 2026, the company spent approximately $340 million to acquire Altamira Technologies Corporation. The Company drew down $350 million from the revolving credit facility to partially fund the acquisition and for working capital needs. The company expects to pay back the outstanding balance under the revolving credit facility in February 2026 from working capital.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$356.2 million as of December 31, 2025. Letters of credit outstanding under the Credit Agreement total $41.8 million.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significant accounting policies are described in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our consolidated financial statements included elsewhere in this Annual Report on Form 10-K. Management makes estimates and judgments in preparing our consolidated financial statements. These estimates and judgments affect the reported amounts of certain assets and liabilities and the revenues and expenses reported for the periods presented in the consolidated financial statements. Although such estimates and assumptions are based on information available through the date of the issuance of our consolidated financial statements, actual results could differ significantly from those estimates and assumptions. Our estimates, judgments and assumptions are evaluated periodically and adjusted accordingly.</w:t>
      </w:r>
    </w:p>
    <w:p>
      <w:pPr>
        <w:spacing w:after="0" w:line="185"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We believe that the following items are the most critical accounting policies and estimates that involved significant judgment as we prepared our financial statements. We consider an accounting policy or estimate to be critical if the policy or estimate requires assumptions to be made that were uncertain at the time they were made and if changes in these assumptions could have a material impact on our financial condition or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10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our industry, recognition of revenue and profit on long-term contracts requires the use of assumptions and estimates related to total contract revenue, total cost at completion, and the measurement of progress towards completion. Estimates are continually evaluated as work progresses and are revised when necessary. When a change in estimate is determined to have an impact on contract revenue or profit, we record a positive or negative adjustment to the consolidated statements of income.</w:t>
      </w:r>
    </w:p>
    <w:p>
      <w:pPr>
        <w:spacing w:after="0" w:line="174"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The transaction price of a contract is allocated to each distinct performance obligation and recognized as revenue when, or as, the performance obligation is satisfied. To the extent a contract is deemed to have multiple performance obligations, we allocate the transaction price of the contract to each performance obligation using our best estimate of the standalone selling price of each distinct good or service in the contract. We determine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we provide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we are not liable for the construction of the asset, but have an overall responsibility to oversee, coordinate, measure, and evaluate the quality of construction work and the performance of the construction contractor on behalf of the customer. Customers are generally billed as we satisfy our performance obligations and payment terms typically range from 30 to 120 days from the invoice date. Billings under certain fixed-price contracts may be based upon the achievement of specified milestones, while some arrangements may require advance customer payment. Our contracts generally do not include a significant financing component.</w:t>
      </w:r>
    </w:p>
    <w:p>
      <w:pPr>
        <w:spacing w:after="0" w:line="18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transaction price for our contracts may include variable consideration, which includes award and incentive fees, increases to the transaction price for approved and unpriced change orders, claims, and reductions to transaction price for liquidated damages. We recognize adjustments in estimated profit on contracts under the cumulative catch-up method. Under this method, the impact of the adjustment on profit recorded to-date is recognized in the period the adjustment is identified. If at any time the estimate of contract profitability indicates an anticipated loss on the contract, we recognize the total loss in the quarter it is identified.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Claims revenue is related to amounts in excess of agreed contract price that we seek to collect from clients or others for customer-caused delays, errors in specifications and designs, contract terminations, change orders that are either in dispute or are unapproved as to both price and scope, or other causes of unanticipated additional contract costs, including factors outside of our control, where we therefore believe we are entitled to additional compensation. Claims revenue, when recorded, is only recorded to the extent it is probable that a significant reversal of cumulative revenue recognized will not occur. We include certain unapproved claims in the transaction price when the claims are legally enforceable, we consider collection to be probable and believe we can reliably estimate the ultimate value. We continue to engage in negotiations with our customers on our outstanding claims. However, these claims may be resolved at amounts that differ from our current estimates, which could result in increases or decreases in future estimated contract profits or losses. Costs related to claims are recognized when they are incurred.</w:t>
      </w:r>
    </w:p>
    <w:p>
      <w:pPr>
        <w:spacing w:after="0" w:line="18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Change orders, which are a normal and recurring part of our business, are generally not distinct and are accounted for as part of the existing contract. The effect of a change order that is not distinct on the transaction price and our measure of progress for the performance obligation to which it relates is recognized on a cumulative catch-up basis. To the extent change orders included in the transaction price are not resolved in our favor, there could be reductions in, or reversals of previously reported amounts of, revenues and profits, and charges against current earnings. Costs relating to change orders are recognized when they are incurred.</w:t>
      </w:r>
    </w:p>
    <w:p>
      <w:pPr>
        <w:spacing w:after="0" w:line="176"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recognize revenue for most of our contracts over time as performance obligations are satisfied, as we are continuously transferring control to the customer. Typically, revenue is recognized over time using an input measure (i.e., costs incurred to date relative to total estimated costs at completion) to measure progress.</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often enter into contracts in which the amount billed to the customer corresponds directly with the amount of work performed. These contract types qualify for the “right to invoice” practical expedient method of measuring progress, in which the right to consideration corresponds directly with the value to the customer of our performance to date. For these contracts, revenue is recognized in the amount that we have the right to invoice.</w:t>
      </w:r>
    </w:p>
    <w:p>
      <w:pPr>
        <w:spacing w:after="0" w:line="17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Provisions for anticipated losses on contracts, including those arising from disputes and other contingencies, are recorded in the period such loss becomes known; provisions not ultimately required are released as disputes or contingencies are resolved.</w:t>
      </w:r>
    </w:p>
    <w:p>
      <w:pPr>
        <w:spacing w:after="0" w:line="15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Contract costs include labor and materials, amounts payable to 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interest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9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certain that we will exercise that option. Lease expense for operating lease payments is recognized on a straight-line basis over the lease term.</w:t>
      </w:r>
    </w:p>
    <w:p>
      <w:pPr>
        <w:spacing w:after="0" w:line="154"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have operating and finance leases for corporate and project office spaces, vehicles, heavy machinery and office equipment. Our leases have remaining lease terms of one year to ten years, some of which may include options to extend the leases for up to five years, and some of which may include options to terminate the leases up to the third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cost of an acquired company is assigned to the tangible and intangible assets purchased and the liabilities assumed on the basis of their fair values at the date of acquisition. The determination of fair values of assets acquired and liabilities assumed requires us to make estimates and use valuation techniques when a market value is not readily available. Any excess of purchase price over the fair value of tangible and intangible assets acquired and obligations assumed is allocated to goodwill. Goodwill typically represents the value paid for the assembled workforce and enhancement of our service offerings. Transaction costs associated with business combinations are expensed as incurred. The determination of fair values of assets acquired and liabilities assumed requires the Company to make estimates and use valuation techniques when a market value is not readily available. The Company adjusts the preliminary purchase prices allocation, as necessary, during the measurement period of up to one year after the acquisition closing date as the Company obtains more information as to facts and circumstances existing at the acquisition date.</w:t>
      </w:r>
    </w:p>
    <w:p>
      <w:pPr>
        <w:spacing w:after="0" w:line="7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Certain business acquisitions include contingent earn-out arrangements, which are generally based on meeting a revenue target. The fair value of this contingent consideration is included as part of the purchase price of the acquired company on the acquisition date and recorded at its fair value within other liabilities or other long-term liabilities, as appropriate on the consolidated balance sheets.</w:t>
      </w:r>
    </w:p>
    <w:p>
      <w:pPr>
        <w:spacing w:after="0" w:line="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measure our contingent consideration at fair value on a recurring basis using significant unobservable inputs classified within Level 3 of the fair value hierarchy. The fair value of contingent consideration is determined using the option pricing method prescribed in the earnout valuation guide published by The Appraisal Foundation. We consider three major risks associated with earnout, i.e. risk in the underlying metric, risk in the earnout structure, and counterparty credit risk. Our valuation model is based on the Black Scholes option pricing formula and major assumptions including projected revenue, the revenue discount rate, the revenue volatility, and the Company's credit adjusted discount rate. Subsequent adjustments to these assumptions can cause changes to the measure of contingent consideration.</w:t>
      </w:r>
    </w:p>
    <w:p>
      <w:pPr>
        <w:spacing w:after="0" w:line="7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Company reassess the estimated fair value of contingent consideration on a quarterly basis with any change in the fair value recorded to selling, general and administrative expense in the current quarter. The updated fair value could differ materially from the acquisition date fair value. The amount of contingent consideration ultimately paid that is less than or equal to the liability on the acquisition date is reflected as cash used in financing activities in our consolidated statements of cash flows. Any amounts paid in excess of the liability on the acquisition date is reflected as cash used in operating activities in our consolidated statements of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2"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Goodwill is not amortized but is subject to an annual impairment test. Interim testing for impairment is performed if indicators of potential impairment exist. For purposes of impairment testing, goodwill is allocated to the applicable reporting units based on the current reporting structure. When evaluating goodwill for impairment, we may decide to first perform a qualitative assessment, or “step zero”</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8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impairment test, to determine whether it is more likely than not that impairment has occurred. If we do not perform a qualitative assessment, or if we determine that it is not more likely than not that the fair value of our reporting units exceeds their carrying amounts, we perform a quantitative assessment and calculate the estimated fair value of the respective reporting unit. If the carrying amount of a reporting unit’s goodwill exceeds the fair value of that goodwill, an impairment loss is recognized.</w:t>
      </w:r>
    </w:p>
    <w:p>
      <w:pPr>
        <w:spacing w:after="0" w:line="174"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Our decision to perform a qualitative impairment assessment in a given year is influenced by a number of factors, including the significance of the excess of our estimated fair value over carrying value at the last quantitative assessment date, the amount of time in between quantitative fair value assessments, and the date of the applicable acquisitions, if any.</w:t>
      </w:r>
    </w:p>
    <w:p>
      <w:pPr>
        <w:spacing w:after="0" w:line="175" w:lineRule="exact"/>
        <w:rPr>
          <w:sz w:val="20"/>
          <w:szCs w:val="20"/>
          <w:color w:val="auto"/>
        </w:rPr>
      </w:pPr>
    </w:p>
    <w:p>
      <w:pPr>
        <w:jc w:val="both"/>
        <w:ind w:right="40" w:firstLine="509"/>
        <w:spacing w:after="0" w:line="228" w:lineRule="auto"/>
        <w:rPr>
          <w:sz w:val="20"/>
          <w:szCs w:val="20"/>
          <w:color w:val="auto"/>
        </w:rPr>
      </w:pPr>
      <w:r>
        <w:rPr>
          <w:rFonts w:ascii="Arial" w:cs="Arial" w:eastAsia="Arial" w:hAnsi="Arial"/>
          <w:sz w:val="18"/>
          <w:szCs w:val="18"/>
          <w:color w:val="auto"/>
        </w:rPr>
        <w:t>We perform a goodwill impairment test annually, on October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each year, for each reporting unit that requires certain assumptions and estimates be made regarding industry economic factors and future profitability. For the years ended December 31, 2025, December 31, 2024 and December 31, 2023, we performed a quantitative analysis for all of our reporting units. It was determined that the fair value of each of our reporting units substantially exceeded their carrying values. As a result, no goodwill impairments were identified for those periods.</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goodwill impairment test involves determination of the fair value of our reporting units. This process requires significant judgments and estimates, including assumptions about our strategic plans for operations as well as the interpretation of current economic indicators. Development of the present value of future cash flow projections includes assumptions and estimates derived from a review of our expected revenue growth rates, profit margins, business plans, cost of capital and tax rates. We also make certain assumptions about future market conditions, market prices, interest rates and changes in business strategies. Changes in assumptions or estimates could materially affect the determination of the fair value of a reporting unit. This could eliminate the excess of fair value over carrying value of a reporting unit entirely and, in some cases, result in impairment. Such changes in assumptions could be caused by a loss of one or more significant contracts, reductions in government or commercial client spending, or a decline in the demand for our services due to changing economic conditions. In the event that we determine that our goodwill is impaired, we would be required to record a non-cash charge that could result in a material adverse effect on our results of operations or financial position.</w:t>
      </w:r>
    </w:p>
    <w:p>
      <w:pPr>
        <w:spacing w:after="0" w:line="18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use the Income Approach and Market Approach (Guideline Transaction and Guideline Company Method) to determine the fair value of reporting units. The Income Approach utilizes the discounted cash flow method, which focuses on the expected cash flow of the reporting unit. In applying this approach, the cash flow is calculated for a finite period of years. Beyond the finite period, a terminal value is developed using a sustainable long-term annual growth rate estimate. Then the finite period cash flows and the terminal value are discounted to present value to arrive at an indication of fair value. We utilized internal financial projections through fiscal 2030. The Market Approach utilizes market comparable transactions and comparable companies to calculate the estimated fair value. The guideline company approach focuses on comparing the reporting unit to select reasonably similar (or ”guideline”) publicly traded companies. Under this method, valuation multiples are derived from the median of the operating data of selected guideline companies and applied to the operating data of the reporting unit to arrive at an indicative value. In the similar transactions approach, consideration is given to prices paid in recent transactions that have occurred in the reporting unit's industry or in related industries. For the Federal Solutions reporting unit, only the Guideline Company Method is used as the Federal Solutions reporting unit has gone through multiple acquisitions during the past two years, thus making Guideline Transaction Method difficult to apply. For the Critical Infrastructure reporting unit, both the Guideline Transaction Method and Guideline Company Method are utilized to calculate the estimated fair value. Equal weighing is given to each of the methods used to estimate the fair value of reporting units. Our last review at October 1, 2025 (i.e., the first day of our fourth quarter in fiscal 2025), indicated that we had no impairment of goodwill, and all of our reporting units had estimated fair values that were in excess of their carrying values, including goodwill.</w:t>
      </w:r>
    </w:p>
    <w:p>
      <w:pPr>
        <w:spacing w:after="0" w:line="18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or on a straight-line basis over the useful lives of the underlying assets, ranging from one to ten years. These primarily consist of customer relationships, backlog, and covenants not to compete. We assess the recoverability of the unamortized balance of our intangible assets when indicators of impairment are present based on expected future profitability and undiscounted expected cash flows and their contribution to overall operations. Should the review indicate that the carrying value is not fully recoverable, the excess of the carrying value over the fair value of the intangible assets would be recognized as an impairment loss.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Joint Ventures and Variable Interest Entities</w:t>
      </w:r>
    </w:p>
    <w:p>
      <w:pPr>
        <w:spacing w:after="0" w:line="10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participate in joint ventures, which include partnerships and partially owned limited liability corporations, to bid, negotiate and complete specific projects. We are required to consolidate these joint ventures if we hold the majority voting interest or if we meet the criteria under the consolidation model as described below.</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 variable interest entity, or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Our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83"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We are required to perform an analysis to determine whether we are the primary beneficiary of our VIEs. We are deemed to be the primary beneficiary of a VIE if we have (i) the power to direct the activities of the VIE that most significantly impact the VIE’s economic performance; and (ii) the obligation to absorb losses or the right to receive benefits that could potentially be significant to the VIE.</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Many of the joint ventures we enter into are deemed to be VIEs because they lack sufficient equity to finance the activities of the joint venture. We use a qualitative approach to determine if we are the primary beneficiary of the VIE, which considers factors that indicate a party has the power to direct the activities that most significantly impact the joint venture’s economic performance. In determining whether we are the primary beneficiary of the VIE,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We analyze each joint venture initially to determine if it should be consolidated or unconsolidated into our financial statements:</w:t>
      </w:r>
    </w:p>
    <w:p>
      <w:pPr>
        <w:spacing w:after="0" w:line="72" w:lineRule="exact"/>
        <w:rPr>
          <w:sz w:val="20"/>
          <w:szCs w:val="20"/>
          <w:color w:val="auto"/>
        </w:rPr>
      </w:pPr>
    </w:p>
    <w:p>
      <w:pPr>
        <w:ind w:left="1020" w:right="46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 joint venture is consolidated into our financial statements if we are the primary beneficiary of a VIE or hold the majority of voting interests of a non-VIE (and no significant participative rights are available to the other partners).</w:t>
      </w:r>
    </w:p>
    <w:p>
      <w:pPr>
        <w:spacing w:after="0" w:line="4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 joint venture is not consolidated into our financial statements if we are not the primary beneficiary of a VIE, or do not hold the majority of voting interest of a non-VIE.</w:t>
      </w:r>
    </w:p>
    <w:p>
      <w:pPr>
        <w:spacing w:after="0" w:line="15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account for our unconsolidated joint ventures using the equity method of accounting. Under this method, we recognize our proportionate share of the net earnings of these joint ventures as “Equity in earnings (loss) of unconsolidated joint ventures”. Our maximum exposure to loss as a result of our investments in unconsolidated variable interest entities is typically limited to the aggregate of the carrying value of the investment and future funding commitments in these entities.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02"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Throughout the year, as employee services are rendered, we record compensation expense based on salaries of eligible employees. Contributions of our common stock to the ESOP are made annually in amounts determined by our board of directors and are held in trust for the sole benefit of the participants. Shares allocated to a participant’s account are fully vested after three years of credited service, or in the event(s) of reaching age 65, death or disability while an active employee, whichever occurs first.</w:t>
      </w:r>
    </w:p>
    <w:p>
      <w:pPr>
        <w:spacing w:after="0" w:line="17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our common stock based on quoted prices of a share of our common stock on the NYSE. A participant will be able to sell such shares of common stock in the market, subject to any requirements of the federal securities laws.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measure the value of services received from employees and directors in exchange for an equity-based award based on the grant date fair value. We issue equity-based awards that settle in shares of our common stock. Awards containing performance measures are adjusted at each reporting period for the number of shares expected to be earned. Compensation cost for performance awards are trued-up at each reporting period for changes in expected shares pro-rated for the portion of the requisite service period rendered. We recognize compensation costs for these awards on either a straight-line or accelerated basis over the vesting period of the award in “Selling, general and administrative expenses” in the consolidated statements of income. For awards that include market conditions, the grant date fair value is determined using a Monte Carlo simulation.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02"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We are self-insured for a portion of our losses and liabilities primarily associated with workers’ compensation, general, professional, automobile, employee matters, certain medical plans, and project specific liability claims. Losses are accrued based upon our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 Actual losses and related expenses may deviate, perhaps substantially, from the self-insurance liability estimates reflected in our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right="1100" w:firstLine="509"/>
        <w:spacing w:after="0" w:line="301" w:lineRule="auto"/>
        <w:rPr>
          <w:sz w:val="20"/>
          <w:szCs w:val="20"/>
          <w:color w:val="auto"/>
        </w:rPr>
      </w:pPr>
      <w:r>
        <w:rPr>
          <w:rFonts w:ascii="Arial" w:cs="Arial" w:eastAsia="Arial" w:hAnsi="Arial"/>
          <w:sz w:val="17"/>
          <w:szCs w:val="17"/>
          <w:color w:val="auto"/>
        </w:rPr>
        <w:t>See the information set forth in “Note 2—</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—Recently Adopted Accounting Pronouncements” in the notes to our consolidated financial statements included elsewhere in this Annual Report on Form 10-K.</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of December 31, 2025,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Commitments and Contingencies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are subject to certain claims and assessments that arise in the ordinary course of business. Additionally, Parsons has been named as a defendant in lawsuits alleging personal injuries as a result of</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93"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contact with asbestos products at various project sites. We believe that any significant costs relating to these claims will be reimbursed by applicable insurance and do not expect any of these claims to have a material adverse effect on our financial condition or results of operations. We record a liability when we believe that it is both probable that a loss has been incurred and the amount can be reasonably estimated.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interest rate risks related to the Company’s Revolving Credit Facility and Term Loan.</w:t>
      </w:r>
    </w:p>
    <w:p>
      <w:pPr>
        <w:spacing w:after="0" w:line="212"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As of December 31, 2025 and December 31, 2024, there were no amounts outstanding under the Revolving Credit Facility. Borrowings under the Revolving Credit Facility effective June 2025 bear interest at either an adjusted Term SOFR rate plus a margin between 1.0% and 1.625%, or a base rate (as defined in the Credit Agreement) plus a margin of between 0% and 0.625%, both based on the leverage ratio of the Company at the end of each quarter.</w:t>
      </w:r>
    </w:p>
    <w:p>
      <w:pPr>
        <w:spacing w:after="0" w:line="17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As of December 31, 2025, there was $450.0 million outstanding under the Term Loan Agreement. Borrowings under the Term Loan Agreement effective June 2025 will bear interest at either an adjusted Term SOFR benchmark rate plus a margin between 0.875% and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1.500% or a base rate plus a margin of between 0% and 0.500% and will initially bear interest at the middle of this range. The interest rate at December 31, 2025 and December 31, 2024 was 4.8% and 5.6% (prior facility), respectively.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 Debt and Credit Facilities,” for a further discussion of the Company's debt.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information required by this item 8 is submitted as a separate section beginning on page F-1 of this Annual Report on Form 10-K and is incorporated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Our management carried out, as of December 31, 2025,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December 31, 2025, our disclosure controls and procedures were effective to provide reasonable assurance that information required to be disclosed by us in reports we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6" w:name="page87"/>
    <w:bookmarkEnd w:id="86"/>
    <w:p>
      <w:pPr>
        <w:spacing w:after="0" w:line="8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file or submit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Management is responsible for establishing and maintaining for the Company adequate internal control over financial reporting, as defined in Rule 13a-15(f) under the Exchange Act. Management, with the participation of its Chair and Chief Executive Officer (principal executive officer) and Chief Financial Officer (principal financial officer), has assessed the effectiveness of the Company’s internal control over financial reporting as of December 31, 2025 based on the framework established in “Internal Control—Integrated Framework,” issued by the Committee of Sponsoring Organizations of the Treadway Commission (2013 framework). Based on this assessment, management has concluded that the Company’s internal control over financial reporting was effective as of December 31, 2025.</w:t>
      </w:r>
    </w:p>
    <w:p>
      <w:pPr>
        <w:spacing w:after="0" w:line="179"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The Company’s independent registered public accounting firm, PricewaterhouseCoopers LLP, which audited the Company’s consolidated financial statements included in this Annual Report on Form 10-K, also audited the effectiveness of our internal control over financial reporting as of December 31, 2025, as stated in their audit report included in this Annual Report on Form 10-K.</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Consistent with the guidance issued by the Securities and Exchange Commission Staff, management has excluded TRS Group, Inc. ("TRS"), Chesapeake Technology International, Corp ("CTI"), and Applied Sciences Consulting, Inc. ("ASC") from its assessment of internal controls over financial reporting as of December 31, 2025. TRS Group is a wholly owned subsidiary, which we acquired on January 31, 2025, Chesapeake Technology International is a wholly owned subsidiary, which we acquired on June 30, 2025, and Applied Science Consulting is a wholly owned subsidiary, which we acquired on October 1, 2025, all combined, have total assets and revenue of 0.8% and 1.1%, respectively of the related consolidated financial statement amounts as of and for the year ended December 31, 2025.</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during the quarter ended December 31, 2025 that materially affected, or are reasonably likely to materially affect, our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During the fiscal quarter ended December 31, 2025, no director or named executive officer of the Company adopted or terminated a "Rule 10b5-1 trading arrangement" or a "non-Rule 10b5-1 trading arrangement" (in each case, as defined in Item 408 of Regulation S-K).</w:t>
      </w:r>
    </w:p>
    <w:p>
      <w:pPr>
        <w:spacing w:after="0" w:line="46"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ind w:left="52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6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Information related to our directors will be set forth under the caption “Proposal 1: Election of Directors” of our Proxy Statement for our Annual Meeting of Stockholders in 2026 (the “2026 Proxy Statement”). Such information is incorporated herein by reference.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relating to our Executive Officers is included in Part I of this Annual Report under the caption “Executive Officers.”</w:t>
      </w:r>
    </w:p>
    <w:p>
      <w:pPr>
        <w:spacing w:after="0" w:line="21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Information relating to compliance with Section 16(a) of the Exchange Act will be set forth under the caption “Section 16(a) Beneficial Ownership Reporting Compliance” of our 2026 Proxy Statement. Such information is incorporated herein by reference.</w:t>
      </w:r>
    </w:p>
    <w:p>
      <w:pPr>
        <w:spacing w:after="0" w:line="154" w:lineRule="exact"/>
        <w:rPr>
          <w:sz w:val="20"/>
          <w:szCs w:val="20"/>
          <w:color w:val="auto"/>
        </w:rPr>
      </w:pPr>
    </w:p>
    <w:p>
      <w:pPr>
        <w:ind w:right="140" w:firstLine="509"/>
        <w:spacing w:after="0" w:line="301" w:lineRule="auto"/>
        <w:rPr>
          <w:sz w:val="20"/>
          <w:szCs w:val="20"/>
          <w:color w:val="auto"/>
        </w:rPr>
      </w:pPr>
      <w:r>
        <w:rPr>
          <w:rFonts w:ascii="Arial" w:cs="Arial" w:eastAsia="Arial" w:hAnsi="Arial"/>
          <w:sz w:val="17"/>
          <w:szCs w:val="17"/>
          <w:color w:val="auto"/>
        </w:rPr>
        <w:t>Information related to our code of ethics will be set forth under the caption “Corporate Governance and General Information Concerning the Board of Directors and its Committees” of our 2026 Proxy Statement. Such information is incorporated herein by reference.</w:t>
      </w:r>
    </w:p>
    <w:p>
      <w:pPr>
        <w:spacing w:after="0" w:line="13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Information relating to the Audit Committee and Board of Directors determinations concerning whether a member of the Audit Committee is a “financial expert” as that term is defined under Item 407(d)(5) of Regulation S-K will be set forth under the caption “Corporate Governance and General Information Concerning the Board of Directors and its Committees” of our 2026 Proxy Statement. Such information is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Information relating to this item will be set forth under the captions “Compensation Discussion and Analysis,” “Director Compensation,” “Compensation Committee Interlocks and Insider Participation” and “Compensation Committee Report on Executive Compensation” of our 2026 Proxy Statement. Such information is incorporated herein by reference.</w:t>
      </w: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relating to the security ownership of certain beneficial owners and management will be included in our 2026 Proxy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Statement under the caption “Security Ownership of Certain Beneficial Owners and Management” and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Information relating to this item will be set forth under the captions “Certain Relationships and Related Party Transactions” and “Corporate Governance and General Information Concerning the Board of Directors and its Committees” of our 2026 Proxy Statement. Such information is incorporated herein by reference.</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8" w:name="page89"/>
    <w:bookmarkEnd w:id="88"/>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Information relating to this item will be set forth under the caption “Independent Registered Public Accounting Firm Fees” of our 2026 Proxy Statement. Such information is incorporated herein by reference.</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89" w:name="page90"/>
    <w:bookmarkEnd w:id="89"/>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3" w:lineRule="exact"/>
        <w:rPr>
          <w:rFonts w:ascii="Arial" w:cs="Arial" w:eastAsia="Arial" w:hAnsi="Arial"/>
          <w:sz w:val="18"/>
          <w:szCs w:val="18"/>
          <w:color w:val="auto"/>
        </w:rPr>
      </w:pPr>
    </w:p>
    <w:p>
      <w:pPr>
        <w:jc w:val="both"/>
        <w:ind w:left="1540" w:right="20" w:hanging="514"/>
        <w:spacing w:after="0" w:line="275" w:lineRule="auto"/>
        <w:tabs>
          <w:tab w:leader="none" w:pos="15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Company’s Consolidated Financial Statements at December 31, 2025 and December 31, 2024 and for each of the three years in the period ended December 31, 2025, and the notes thereto, together with the report of the independent auditors on those Consolidated Financial Statements, are hereby filed as part of this report, beginning on page F-1.</w:t>
      </w:r>
    </w:p>
    <w:p>
      <w:pPr>
        <w:spacing w:after="0" w:line="43" w:lineRule="exact"/>
        <w:rPr>
          <w:rFonts w:ascii="Arial" w:cs="Arial" w:eastAsia="Arial" w:hAnsi="Arial"/>
          <w:sz w:val="17"/>
          <w:szCs w:val="17"/>
          <w:color w:val="auto"/>
        </w:rPr>
      </w:pPr>
    </w:p>
    <w:p>
      <w:pPr>
        <w:ind w:left="1540" w:hanging="514"/>
        <w:spacing w:after="0" w:line="271"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Valuation &amp; Qualifying Accounts for each of the three years in the period ended December 31, 2025 are hereby filed as part of this report on page F-61.</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See Exhibit Index below.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17" w:right="5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47"/>
        </w:trPr>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20" w:type="dxa"/>
            <w:vAlign w:val="bottom"/>
            <w:gridSpan w:val="25"/>
          </w:tcPr>
          <w:p>
            <w:pPr>
              <w:ind w:left="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27"/>
        </w:trPr>
        <w:tc>
          <w:tcPr>
            <w:tcW w:w="10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040" w:type="dxa"/>
            <w:vAlign w:val="bottom"/>
            <w:tcBorders>
              <w:bottom w:val="single" w:sz="8" w:color="auto"/>
            </w:tcBorders>
            <w:gridSpan w:val="35"/>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71"/>
        </w:trPr>
        <w:tc>
          <w:tcPr>
            <w:tcW w:w="1020" w:type="dxa"/>
            <w:vAlign w:val="bottom"/>
          </w:tcPr>
          <w:p>
            <w:pPr>
              <w:ind w:left="20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85">
              <w:r>
                <w:rPr>
                  <w:rFonts w:ascii="Arial" w:cs="Arial" w:eastAsia="Arial" w:hAnsi="Arial"/>
                  <w:sz w:val="18"/>
                  <w:szCs w:val="18"/>
                  <w:color w:val="0000FF"/>
                </w:rPr>
                <w:t>Amended and Restated Certificate of Incorporation of Parsons Corporation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91"/>
        </w:trPr>
        <w:tc>
          <w:tcPr>
            <w:tcW w:w="1020" w:type="dxa"/>
            <w:vAlign w:val="bottom"/>
          </w:tcPr>
          <w:p>
            <w:pPr>
              <w:ind w:left="2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5940" w:type="dxa"/>
            <w:vAlign w:val="bottom"/>
            <w:tcBorders>
              <w:top w:val="single" w:sz="8" w:color="0000FF"/>
            </w:tcBorders>
            <w:gridSpan w:val="18"/>
          </w:tcPr>
          <w:p>
            <w:pPr>
              <w:spacing w:after="0"/>
              <w:rPr>
                <w:rFonts w:ascii="Arial" w:cs="Arial" w:eastAsia="Arial" w:hAnsi="Arial"/>
                <w:sz w:val="18"/>
                <w:szCs w:val="18"/>
                <w:color w:val="0000FF"/>
              </w:rPr>
            </w:pPr>
            <w:hyperlink r:id="rId186">
              <w:r>
                <w:rPr>
                  <w:rFonts w:ascii="Arial" w:cs="Arial" w:eastAsia="Arial" w:hAnsi="Arial"/>
                  <w:sz w:val="18"/>
                  <w:szCs w:val="18"/>
                  <w:color w:val="0000FF"/>
                </w:rPr>
                <w:t>Amended and Restated Bylaws of Parsons Corporation</w:t>
              </w:r>
            </w:hyperlink>
            <w:r>
              <w:rPr>
                <w:rFonts w:ascii="Arial" w:cs="Arial" w:eastAsia="Arial" w:hAnsi="Arial"/>
                <w:sz w:val="18"/>
                <w:szCs w:val="18"/>
                <w:color w:val="000000"/>
              </w:rPr>
              <w:t>.</w:t>
            </w:r>
          </w:p>
        </w:tc>
        <w:tc>
          <w:tcPr>
            <w:tcW w:w="41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2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5120" w:type="dxa"/>
            <w:vAlign w:val="bottom"/>
            <w:tcBorders>
              <w:bottom w:val="single" w:sz="8" w:color="0000FF"/>
            </w:tcBorders>
            <w:gridSpan w:val="16"/>
          </w:tcPr>
          <w:p>
            <w:pPr>
              <w:spacing w:after="0"/>
              <w:rPr>
                <w:rFonts w:ascii="Arial" w:cs="Arial" w:eastAsia="Arial" w:hAnsi="Arial"/>
                <w:sz w:val="18"/>
                <w:szCs w:val="18"/>
                <w:color w:val="0000FF"/>
                <w:w w:val="99"/>
              </w:rPr>
            </w:pPr>
            <w:hyperlink r:id="rId187">
              <w:r>
                <w:rPr>
                  <w:rFonts w:ascii="Arial" w:cs="Arial" w:eastAsia="Arial" w:hAnsi="Arial"/>
                  <w:sz w:val="18"/>
                  <w:szCs w:val="18"/>
                  <w:color w:val="0000FF"/>
                  <w:w w:val="99"/>
                </w:rPr>
                <w:t>Second Amended and Restated Bylaws of Parsons Corporation.</w:t>
              </w:r>
            </w:hyperlink>
          </w:p>
        </w:tc>
        <w:tc>
          <w:tcPr>
            <w:tcW w:w="49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160" w:type="dxa"/>
            <w:vAlign w:val="bottom"/>
            <w:tcBorders>
              <w:bottom w:val="single" w:sz="8" w:color="0000FF"/>
            </w:tcBorders>
            <w:gridSpan w:val="12"/>
          </w:tcPr>
          <w:p>
            <w:pPr>
              <w:spacing w:after="0"/>
              <w:rPr>
                <w:rFonts w:ascii="Arial" w:cs="Arial" w:eastAsia="Arial" w:hAnsi="Arial"/>
                <w:sz w:val="18"/>
                <w:szCs w:val="18"/>
                <w:color w:val="0000FF"/>
                <w:w w:val="99"/>
              </w:rPr>
            </w:pPr>
            <w:hyperlink r:id="rId188">
              <w:r>
                <w:rPr>
                  <w:rFonts w:ascii="Arial" w:cs="Arial" w:eastAsia="Arial" w:hAnsi="Arial"/>
                  <w:sz w:val="18"/>
                  <w:szCs w:val="18"/>
                  <w:color w:val="0000FF"/>
                  <w:w w:val="99"/>
                </w:rPr>
                <w:t>Description of Capital Stock of Parsons Corporation.</w:t>
              </w:r>
            </w:hyperlink>
          </w:p>
        </w:tc>
        <w:tc>
          <w:tcPr>
            <w:tcW w:w="20" w:type="dxa"/>
            <w:vAlign w:val="bottom"/>
            <w:tcBorders>
              <w:bottom w:val="single" w:sz="8" w:color="0000EE"/>
            </w:tcBorders>
          </w:tcPr>
          <w:p>
            <w:pPr>
              <w:spacing w:after="0"/>
              <w:rPr>
                <w:sz w:val="24"/>
                <w:szCs w:val="24"/>
                <w:color w:val="auto"/>
              </w:rPr>
            </w:pPr>
          </w:p>
        </w:tc>
        <w:tc>
          <w:tcPr>
            <w:tcW w:w="58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2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89">
              <w:r>
                <w:rPr>
                  <w:rFonts w:ascii="Arial" w:cs="Arial" w:eastAsia="Arial" w:hAnsi="Arial"/>
                  <w:sz w:val="18"/>
                  <w:szCs w:val="18"/>
                  <w:color w:val="0000FF"/>
                </w:rPr>
                <w:t>Indenture, dated as of August 20, 2020, between Parsons Corporation and U.S. Bank National Association.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20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0">
              <w:r>
                <w:rPr>
                  <w:rFonts w:ascii="Arial" w:cs="Arial" w:eastAsia="Arial" w:hAnsi="Arial"/>
                  <w:sz w:val="18"/>
                  <w:szCs w:val="18"/>
                  <w:color w:val="0000FF"/>
                </w:rPr>
                <w:t>Indenture, Dated as of February 26, 2024, between Parsons Corporation and U.S. Bank Trust Company, National</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8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Association.</w:t>
              </w:r>
            </w:hyperlink>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6100" w:type="dxa"/>
            <w:vAlign w:val="bottom"/>
            <w:tcBorders>
              <w:bottom w:val="single" w:sz="8" w:color="0000FF"/>
            </w:tcBorders>
            <w:gridSpan w:val="19"/>
          </w:tcPr>
          <w:p>
            <w:pPr>
              <w:spacing w:after="0"/>
              <w:rPr>
                <w:rFonts w:ascii="Arial" w:cs="Arial" w:eastAsia="Arial" w:hAnsi="Arial"/>
                <w:sz w:val="18"/>
                <w:szCs w:val="18"/>
                <w:color w:val="0000FF"/>
                <w:w w:val="99"/>
              </w:rPr>
            </w:pPr>
            <w:hyperlink r:id="rId190">
              <w:r>
                <w:rPr>
                  <w:rFonts w:ascii="Arial" w:cs="Arial" w:eastAsia="Arial" w:hAnsi="Arial"/>
                  <w:sz w:val="18"/>
                  <w:szCs w:val="18"/>
                  <w:color w:val="0000FF"/>
                  <w:w w:val="99"/>
                </w:rPr>
                <w:t>Form of 2.625% Convertible Senior Notes due 2029 (included in Exhibit 4.3).</w:t>
              </w:r>
            </w:hyperlink>
          </w:p>
        </w:tc>
        <w:tc>
          <w:tcPr>
            <w:tcW w:w="20" w:type="dxa"/>
            <w:vAlign w:val="bottom"/>
            <w:tcBorders>
              <w:bottom w:val="single" w:sz="8" w:color="0000EE"/>
            </w:tcBorders>
          </w:tcPr>
          <w:p>
            <w:pPr>
              <w:spacing w:after="0"/>
              <w:rPr>
                <w:sz w:val="24"/>
                <w:szCs w:val="24"/>
                <w:color w:val="auto"/>
              </w:rPr>
            </w:pPr>
          </w:p>
        </w:tc>
        <w:tc>
          <w:tcPr>
            <w:tcW w:w="39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10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040" w:type="dxa"/>
            <w:vAlign w:val="bottom"/>
            <w:tcBorders>
              <w:bottom w:val="single" w:sz="8" w:color="0000FF"/>
            </w:tcBorders>
            <w:gridSpan w:val="35"/>
          </w:tcPr>
          <w:p>
            <w:pPr>
              <w:spacing w:after="0"/>
              <w:rPr>
                <w:rFonts w:ascii="Arial" w:cs="Arial" w:eastAsia="Arial" w:hAnsi="Arial"/>
                <w:sz w:val="18"/>
                <w:szCs w:val="18"/>
                <w:color w:val="0000FF"/>
              </w:rPr>
            </w:pPr>
            <w:hyperlink r:id="rId191">
              <w:r>
                <w:rPr>
                  <w:rFonts w:ascii="Arial" w:cs="Arial" w:eastAsia="Arial" w:hAnsi="Arial"/>
                  <w:sz w:val="18"/>
                  <w:szCs w:val="18"/>
                  <w:color w:val="0000FF"/>
                </w:rPr>
                <w:t>2012 Amendment and Restatement of Parsons Employee Stock Ownership Plan (including all amendments to date), currently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40" w:type="dxa"/>
            <w:vAlign w:val="bottom"/>
            <w:gridSpan w:val="35"/>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in effect</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2">
              <w:r>
                <w:rPr>
                  <w:rFonts w:ascii="Arial" w:cs="Arial" w:eastAsia="Arial" w:hAnsi="Arial"/>
                  <w:sz w:val="18"/>
                  <w:szCs w:val="18"/>
                  <w:color w:val="0000FF"/>
                </w:rPr>
                <w:t>2019 Amendment and Restatement of Parsons Employee Stock Ownership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vMerge w:val="restart"/>
          </w:tcPr>
          <w:p>
            <w:pPr>
              <w:ind w:left="10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040" w:type="dxa"/>
            <w:vAlign w:val="bottom"/>
            <w:tcBorders>
              <w:bottom w:val="single" w:sz="8" w:color="0000FF"/>
            </w:tcBorders>
            <w:gridSpan w:val="35"/>
          </w:tcPr>
          <w:p>
            <w:pPr>
              <w:spacing w:after="0"/>
              <w:rPr>
                <w:rFonts w:ascii="Arial" w:cs="Arial" w:eastAsia="Arial" w:hAnsi="Arial"/>
                <w:sz w:val="18"/>
                <w:szCs w:val="18"/>
                <w:color w:val="0000FF"/>
              </w:rPr>
            </w:pPr>
            <w:hyperlink r:id="rId193">
              <w:r>
                <w:rPr>
                  <w:rFonts w:ascii="Arial" w:cs="Arial" w:eastAsia="Arial" w:hAnsi="Arial"/>
                  <w:sz w:val="18"/>
                  <w:szCs w:val="18"/>
                  <w:color w:val="0000FF"/>
                </w:rPr>
                <w:t>First Amendment to the 2019 Amendment and Restatement of Parsons Employee Stock Ownership Plan, effective January 1,</w:t>
              </w:r>
            </w:hyperlink>
          </w:p>
        </w:tc>
        <w:tc>
          <w:tcPr>
            <w:tcW w:w="0" w:type="dxa"/>
            <w:vAlign w:val="bottom"/>
          </w:tcPr>
          <w:p>
            <w:pPr>
              <w:spacing w:after="0"/>
              <w:rPr>
                <w:sz w:val="1"/>
                <w:szCs w:val="1"/>
                <w:color w:val="auto"/>
              </w:rPr>
            </w:pPr>
          </w:p>
        </w:tc>
      </w:tr>
      <w:tr>
        <w:trPr>
          <w:trHeight w:val="119"/>
        </w:trPr>
        <w:tc>
          <w:tcPr>
            <w:tcW w:w="1020" w:type="dxa"/>
            <w:vAlign w:val="bottom"/>
            <w:vMerge w:val="continue"/>
          </w:tcPr>
          <w:p>
            <w:pPr>
              <w:spacing w:after="0"/>
              <w:rPr>
                <w:sz w:val="10"/>
                <w:szCs w:val="10"/>
                <w:color w:val="auto"/>
              </w:rPr>
            </w:pPr>
          </w:p>
        </w:tc>
        <w:tc>
          <w:tcPr>
            <w:tcW w:w="600" w:type="dxa"/>
            <w:vAlign w:val="bottom"/>
            <w:gridSpan w:val="2"/>
            <w:vMerge w:val="restart"/>
          </w:tcPr>
          <w:p>
            <w:pPr>
              <w:ind w:left="180"/>
              <w:spacing w:after="0" w:line="182" w:lineRule="exact"/>
              <w:rPr>
                <w:rFonts w:ascii="Arial" w:cs="Arial" w:eastAsia="Arial" w:hAnsi="Arial"/>
                <w:sz w:val="18"/>
                <w:szCs w:val="18"/>
                <w:color w:val="0000FF"/>
                <w:w w:val="94"/>
              </w:rPr>
            </w:pPr>
            <w:hyperlink r:id="rId193">
              <w:r>
                <w:rPr>
                  <w:rFonts w:ascii="Arial" w:cs="Arial" w:eastAsia="Arial" w:hAnsi="Arial"/>
                  <w:sz w:val="18"/>
                  <w:szCs w:val="18"/>
                  <w:color w:val="0000FF"/>
                  <w:w w:val="94"/>
                </w:rPr>
                <w:t>2020</w:t>
              </w:r>
            </w:hyperlink>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vMerge w:val="restart"/>
          </w:tcPr>
          <w:p>
            <w:pPr>
              <w:ind w:left="10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000" w:type="dxa"/>
            <w:vAlign w:val="bottom"/>
            <w:tcBorders>
              <w:bottom w:val="single" w:sz="8" w:color="0000FF"/>
            </w:tcBorders>
            <w:gridSpan w:val="34"/>
          </w:tcPr>
          <w:p>
            <w:pPr>
              <w:spacing w:after="0"/>
              <w:rPr>
                <w:rFonts w:ascii="Arial" w:cs="Arial" w:eastAsia="Arial" w:hAnsi="Arial"/>
                <w:sz w:val="18"/>
                <w:szCs w:val="18"/>
                <w:color w:val="0000FF"/>
              </w:rPr>
            </w:pPr>
            <w:hyperlink r:id="rId194">
              <w:r>
                <w:rPr>
                  <w:rFonts w:ascii="Arial" w:cs="Arial" w:eastAsia="Arial" w:hAnsi="Arial"/>
                  <w:sz w:val="18"/>
                  <w:szCs w:val="18"/>
                  <w:color w:val="0000FF"/>
                </w:rPr>
                <w:t>Second Amendment to the 2019 Amendment and Restatement of Parsons Employee Stock Ownership Plan, effective May 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20" w:type="dxa"/>
            <w:vAlign w:val="bottom"/>
            <w:vMerge w:val="continue"/>
          </w:tcPr>
          <w:p>
            <w:pPr>
              <w:spacing w:after="0"/>
              <w:rPr>
                <w:sz w:val="10"/>
                <w:szCs w:val="10"/>
                <w:color w:val="auto"/>
              </w:rPr>
            </w:pPr>
          </w:p>
        </w:tc>
        <w:tc>
          <w:tcPr>
            <w:tcW w:w="640" w:type="dxa"/>
            <w:vAlign w:val="bottom"/>
            <w:gridSpan w:val="3"/>
            <w:vMerge w:val="restart"/>
          </w:tcPr>
          <w:p>
            <w:pPr>
              <w:ind w:left="180"/>
              <w:spacing w:after="0" w:line="182" w:lineRule="exact"/>
              <w:rPr>
                <w:rFonts w:ascii="Arial" w:cs="Arial" w:eastAsia="Arial" w:hAnsi="Arial"/>
                <w:sz w:val="18"/>
                <w:szCs w:val="18"/>
                <w:color w:val="0000FF"/>
                <w:w w:val="93"/>
              </w:rPr>
            </w:pPr>
            <w:hyperlink r:id="rId194">
              <w:r>
                <w:rPr>
                  <w:rFonts w:ascii="Arial" w:cs="Arial" w:eastAsia="Arial" w:hAnsi="Arial"/>
                  <w:sz w:val="18"/>
                  <w:szCs w:val="18"/>
                  <w:color w:val="0000FF"/>
                  <w:w w:val="93"/>
                </w:rPr>
                <w:t>2019.</w:t>
              </w:r>
            </w:hyperlink>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1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5">
              <w:r>
                <w:rPr>
                  <w:rFonts w:ascii="Arial" w:cs="Arial" w:eastAsia="Arial" w:hAnsi="Arial"/>
                  <w:sz w:val="18"/>
                  <w:szCs w:val="18"/>
                  <w:color w:val="0000FF"/>
                </w:rPr>
                <w:t>Parsons Corporation Employee Stock Ownership Trust Agreement, effective as of December 31, 2005</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8140" w:type="dxa"/>
            <w:vAlign w:val="bottom"/>
            <w:tcBorders>
              <w:top w:val="single" w:sz="8" w:color="0000FF"/>
            </w:tcBorders>
            <w:gridSpan w:val="28"/>
          </w:tcPr>
          <w:p>
            <w:pPr>
              <w:spacing w:after="0"/>
              <w:rPr>
                <w:rFonts w:ascii="Arial" w:cs="Arial" w:eastAsia="Arial" w:hAnsi="Arial"/>
                <w:sz w:val="18"/>
                <w:szCs w:val="18"/>
                <w:color w:val="0000FF"/>
              </w:rPr>
            </w:pPr>
            <w:hyperlink r:id="rId196">
              <w:r>
                <w:rPr>
                  <w:rFonts w:ascii="Arial" w:cs="Arial" w:eastAsia="Arial" w:hAnsi="Arial"/>
                  <w:sz w:val="18"/>
                  <w:szCs w:val="18"/>
                  <w:color w:val="0000FF"/>
                </w:rPr>
                <w:t>Parsons Corporation Restricted Award Plan</w:t>
              </w:r>
            </w:hyperlink>
            <w:r>
              <w:rPr>
                <w:rFonts w:ascii="Arial" w:cs="Arial" w:eastAsia="Arial" w:hAnsi="Arial"/>
                <w:sz w:val="18"/>
                <w:szCs w:val="18"/>
                <w:color w:val="000000"/>
              </w:rPr>
              <w:t>.</w:t>
            </w:r>
          </w:p>
        </w:tc>
        <w:tc>
          <w:tcPr>
            <w:tcW w:w="19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7">
              <w:r>
                <w:rPr>
                  <w:rFonts w:ascii="Arial" w:cs="Arial" w:eastAsia="Arial" w:hAnsi="Arial"/>
                  <w:sz w:val="18"/>
                  <w:szCs w:val="18"/>
                  <w:color w:val="0000FF"/>
                </w:rPr>
                <w:t>Form of Restricted Award Units agreement under the Parsons Corporation Restricted Award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7740" w:type="dxa"/>
            <w:vAlign w:val="bottom"/>
            <w:tcBorders>
              <w:top w:val="single" w:sz="8" w:color="0000FF"/>
            </w:tcBorders>
            <w:gridSpan w:val="27"/>
          </w:tcPr>
          <w:p>
            <w:pPr>
              <w:spacing w:after="0"/>
              <w:rPr>
                <w:rFonts w:ascii="Arial" w:cs="Arial" w:eastAsia="Arial" w:hAnsi="Arial"/>
                <w:sz w:val="18"/>
                <w:szCs w:val="18"/>
                <w:color w:val="0000FF"/>
              </w:rPr>
            </w:pPr>
            <w:hyperlink r:id="rId198">
              <w:r>
                <w:rPr>
                  <w:rFonts w:ascii="Arial" w:cs="Arial" w:eastAsia="Arial" w:hAnsi="Arial"/>
                  <w:sz w:val="18"/>
                  <w:szCs w:val="18"/>
                  <w:color w:val="0000FF"/>
                </w:rPr>
                <w:t>Parsons Corporation Annual Incentive Plan dated January 1, 2020</w:t>
              </w:r>
            </w:hyperlink>
            <w:r>
              <w:rPr>
                <w:rFonts w:ascii="Arial" w:cs="Arial" w:eastAsia="Arial" w:hAnsi="Arial"/>
                <w:sz w:val="18"/>
                <w:szCs w:val="18"/>
                <w:color w:val="000000"/>
              </w:rPr>
              <w:t>.</w:t>
            </w:r>
          </w:p>
        </w:tc>
        <w:tc>
          <w:tcPr>
            <w:tcW w:w="2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9">
              <w:r>
                <w:rPr>
                  <w:rFonts w:ascii="Arial" w:cs="Arial" w:eastAsia="Arial" w:hAnsi="Arial"/>
                  <w:sz w:val="18"/>
                  <w:szCs w:val="18"/>
                  <w:color w:val="0000FF"/>
                </w:rPr>
                <w:t>Parsons Corporation Annual Incentive Plan Amended as of October 19,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0">
              <w:r>
                <w:rPr>
                  <w:rFonts w:ascii="Arial" w:cs="Arial" w:eastAsia="Arial" w:hAnsi="Arial"/>
                  <w:sz w:val="18"/>
                  <w:szCs w:val="18"/>
                  <w:color w:val="0000FF"/>
                </w:rPr>
                <w:t>Parsons Corporation Annual Incentive Plan Amendment dated January 1, 2021.</w:t>
              </w:r>
            </w:hyperlink>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4"/>
                <w:szCs w:val="24"/>
                <w:color w:val="auto"/>
              </w:rPr>
            </w:pPr>
          </w:p>
        </w:tc>
        <w:tc>
          <w:tcPr>
            <w:tcW w:w="6340" w:type="dxa"/>
            <w:vAlign w:val="bottom"/>
            <w:tcBorders>
              <w:top w:val="single" w:sz="8" w:color="0000FF"/>
            </w:tcBorders>
            <w:gridSpan w:val="22"/>
          </w:tcPr>
          <w:p>
            <w:pPr>
              <w:spacing w:after="0"/>
              <w:rPr>
                <w:rFonts w:ascii="Arial" w:cs="Arial" w:eastAsia="Arial" w:hAnsi="Arial"/>
                <w:sz w:val="18"/>
                <w:szCs w:val="18"/>
                <w:color w:val="0000FF"/>
              </w:rPr>
            </w:pPr>
            <w:hyperlink r:id="rId201">
              <w:r>
                <w:rPr>
                  <w:rFonts w:ascii="Arial" w:cs="Arial" w:eastAsia="Arial" w:hAnsi="Arial"/>
                  <w:sz w:val="18"/>
                  <w:szCs w:val="18"/>
                  <w:color w:val="0000FF"/>
                </w:rPr>
                <w:t>Parsons Corporation Shareholder Value Plan</w:t>
              </w:r>
            </w:hyperlink>
            <w:r>
              <w:rPr>
                <w:rFonts w:ascii="Arial" w:cs="Arial" w:eastAsia="Arial" w:hAnsi="Arial"/>
                <w:sz w:val="18"/>
                <w:szCs w:val="18"/>
                <w:color w:val="000000"/>
              </w:rPr>
              <w:t>.</w:t>
            </w:r>
          </w:p>
        </w:tc>
        <w:tc>
          <w:tcPr>
            <w:tcW w:w="3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2">
              <w:r>
                <w:rPr>
                  <w:rFonts w:ascii="Arial" w:cs="Arial" w:eastAsia="Arial" w:hAnsi="Arial"/>
                  <w:sz w:val="18"/>
                  <w:szCs w:val="18"/>
                  <w:color w:val="0000FF"/>
                </w:rPr>
                <w:t>Parsons Corporation Long Term Growth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3">
              <w:r>
                <w:rPr>
                  <w:rFonts w:ascii="Arial" w:cs="Arial" w:eastAsia="Arial" w:hAnsi="Arial"/>
                  <w:sz w:val="18"/>
                  <w:szCs w:val="18"/>
                  <w:color w:val="0000FF"/>
                </w:rPr>
                <w:t>Parsons Corporation Share Value Retirement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4020" w:type="dxa"/>
            <w:vAlign w:val="bottom"/>
            <w:tcBorders>
              <w:top w:val="single" w:sz="8" w:color="0000FF"/>
            </w:tcBorders>
            <w:gridSpan w:val="11"/>
          </w:tcPr>
          <w:p>
            <w:pPr>
              <w:spacing w:after="0"/>
              <w:rPr>
                <w:rFonts w:ascii="Arial" w:cs="Arial" w:eastAsia="Arial" w:hAnsi="Arial"/>
                <w:sz w:val="18"/>
                <w:szCs w:val="18"/>
                <w:color w:val="0000FF"/>
              </w:rPr>
            </w:pPr>
            <w:hyperlink r:id="rId204">
              <w:r>
                <w:rPr>
                  <w:rFonts w:ascii="Arial" w:cs="Arial" w:eastAsia="Arial" w:hAnsi="Arial"/>
                  <w:sz w:val="18"/>
                  <w:szCs w:val="18"/>
                  <w:color w:val="0000FF"/>
                </w:rPr>
                <w:t>Parsons Corporation Incentive Award Plan</w:t>
              </w:r>
            </w:hyperlink>
            <w:r>
              <w:rPr>
                <w:rFonts w:ascii="Arial" w:cs="Arial" w:eastAsia="Arial" w:hAnsi="Arial"/>
                <w:sz w:val="18"/>
                <w:szCs w:val="18"/>
                <w:color w:val="000000"/>
              </w:rPr>
              <w:t>.</w:t>
            </w:r>
          </w:p>
        </w:tc>
        <w:tc>
          <w:tcPr>
            <w:tcW w:w="602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7580" w:type="dxa"/>
            <w:vAlign w:val="bottom"/>
            <w:tcBorders>
              <w:bottom w:val="single" w:sz="8" w:color="0000FF"/>
            </w:tcBorders>
            <w:gridSpan w:val="25"/>
          </w:tcPr>
          <w:p>
            <w:pPr>
              <w:spacing w:after="0"/>
              <w:rPr>
                <w:rFonts w:ascii="Arial" w:cs="Arial" w:eastAsia="Arial" w:hAnsi="Arial"/>
                <w:sz w:val="18"/>
                <w:szCs w:val="18"/>
                <w:color w:val="0000FF"/>
                <w:w w:val="99"/>
              </w:rPr>
            </w:pPr>
            <w:hyperlink r:id="rId205">
              <w:r>
                <w:rPr>
                  <w:rFonts w:ascii="Arial" w:cs="Arial" w:eastAsia="Arial" w:hAnsi="Arial"/>
                  <w:sz w:val="18"/>
                  <w:szCs w:val="18"/>
                  <w:color w:val="0000FF"/>
                  <w:w w:val="99"/>
                </w:rPr>
                <w:t>Form of Restricted Stock Unit Agreement under the Parsons Corporation Incentive Award Plan.</w:t>
              </w:r>
            </w:hyperlink>
          </w:p>
        </w:tc>
        <w:tc>
          <w:tcPr>
            <w:tcW w:w="20" w:type="dxa"/>
            <w:vAlign w:val="bottom"/>
            <w:tcBorders>
              <w:bottom w:val="single" w:sz="8" w:color="0000EE"/>
            </w:tcBorders>
          </w:tcPr>
          <w:p>
            <w:pPr>
              <w:spacing w:after="0"/>
              <w:rPr>
                <w:sz w:val="24"/>
                <w:szCs w:val="24"/>
                <w:color w:val="auto"/>
              </w:rPr>
            </w:pPr>
          </w:p>
        </w:tc>
        <w:tc>
          <w:tcPr>
            <w:tcW w:w="2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100"/>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6">
              <w:r>
                <w:rPr>
                  <w:rFonts w:ascii="Arial" w:cs="Arial" w:eastAsia="Arial" w:hAnsi="Arial"/>
                  <w:sz w:val="18"/>
                  <w:szCs w:val="18"/>
                  <w:color w:val="0000FF"/>
                </w:rPr>
                <w:t>Third Amendment to the 2019 Amendment and Restatement of Parsons Employee Stock Ownership Plan, effective January</w:t>
              </w:r>
            </w:hyperlink>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1, 2021.</w:t>
              </w:r>
            </w:hyperlink>
          </w:p>
        </w:tc>
        <w:tc>
          <w:tcPr>
            <w:tcW w:w="38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100"/>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Awards commencing in 2020).</w:t>
              </w:r>
            </w:hyperlink>
          </w:p>
        </w:tc>
        <w:tc>
          <w:tcPr>
            <w:tcW w:w="20" w:type="dxa"/>
            <w:vAlign w:val="bottom"/>
            <w:tcBorders>
              <w:top w:val="single" w:sz="8" w:color="0000FF"/>
              <w:bottom w:val="single" w:sz="8" w:color="0000EE"/>
            </w:tcBorders>
          </w:tcPr>
          <w:p>
            <w:pPr>
              <w:spacing w:after="0"/>
              <w:rPr>
                <w:sz w:val="15"/>
                <w:szCs w:val="15"/>
                <w:color w:val="auto"/>
              </w:rPr>
            </w:pPr>
          </w:p>
        </w:tc>
        <w:tc>
          <w:tcPr>
            <w:tcW w:w="7380" w:type="dxa"/>
            <w:vAlign w:val="bottom"/>
            <w:tcBorders>
              <w:top w:val="single" w:sz="8" w:color="0000FF"/>
            </w:tcBorders>
            <w:gridSpan w:val="25"/>
          </w:tcPr>
          <w:p>
            <w:pPr>
              <w:spacing w:after="0"/>
              <w:rPr>
                <w:sz w:val="15"/>
                <w:szCs w:val="15"/>
                <w:color w:val="auto"/>
              </w:rPr>
            </w:pPr>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Fee Deferral Awards commencing in 2020)</w:t>
              </w:r>
              <w:r>
                <w:rPr>
                  <w:rFonts w:ascii="Arial" w:cs="Arial" w:eastAsia="Arial" w:hAnsi="Arial"/>
                  <w:sz w:val="18"/>
                  <w:szCs w:val="18"/>
                  <w:color w:val="000000"/>
                </w:rPr>
                <w:t>.</w:t>
              </w:r>
            </w:hyperlink>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08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9">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209">
              <w:r>
                <w:rPr>
                  <w:rFonts w:ascii="Arial" w:cs="Arial" w:eastAsia="Arial" w:hAnsi="Arial"/>
                  <w:sz w:val="18"/>
                  <w:szCs w:val="18"/>
                  <w:color w:val="0000FF"/>
                </w:rPr>
                <w:t>Awards in 2019).</w:t>
              </w:r>
            </w:hyperlink>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right w:val="single" w:sz="8" w:color="0000EE"/>
            </w:tcBorders>
            <w:gridSpan w:val="5"/>
            <w:shd w:val="clear" w:color="auto" w:fill="0000FF"/>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8400" w:type="dxa"/>
            <w:vAlign w:val="bottom"/>
            <w:tcBorders>
              <w:bottom w:val="single" w:sz="8" w:color="0000FF"/>
            </w:tcBorders>
            <w:gridSpan w:val="29"/>
          </w:tcPr>
          <w:p>
            <w:pPr>
              <w:spacing w:after="0"/>
              <w:rPr>
                <w:rFonts w:ascii="Arial" w:cs="Arial" w:eastAsia="Arial" w:hAnsi="Arial"/>
                <w:sz w:val="18"/>
                <w:szCs w:val="18"/>
                <w:color w:val="0000FF"/>
                <w:w w:val="99"/>
              </w:rPr>
            </w:pPr>
            <w:hyperlink r:id="rId210">
              <w:r>
                <w:rPr>
                  <w:rFonts w:ascii="Arial" w:cs="Arial" w:eastAsia="Arial" w:hAnsi="Arial"/>
                  <w:sz w:val="18"/>
                  <w:szCs w:val="18"/>
                  <w:color w:val="0000FF"/>
                  <w:w w:val="99"/>
                </w:rPr>
                <w:t>Parsons Corporation Non-Employee Director Compensation Policy (as amended effective April 21, 2020).</w:t>
              </w:r>
            </w:hyperlink>
          </w:p>
        </w:tc>
        <w:tc>
          <w:tcPr>
            <w:tcW w:w="1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100"/>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11">
              <w:r>
                <w:rPr>
                  <w:rFonts w:ascii="Arial" w:cs="Arial" w:eastAsia="Arial" w:hAnsi="Arial"/>
                  <w:sz w:val="18"/>
                  <w:szCs w:val="18"/>
                  <w:color w:val="0000FF"/>
                </w:rPr>
                <w:t>Fee Deferral Plan for Outside Directors of the Parsons Corporation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5300" w:type="dxa"/>
            <w:vAlign w:val="bottom"/>
            <w:tcBorders>
              <w:top w:val="single" w:sz="8" w:color="0000FF"/>
            </w:tcBorders>
            <w:gridSpan w:val="17"/>
          </w:tcPr>
          <w:p>
            <w:pPr>
              <w:spacing w:after="0"/>
              <w:rPr>
                <w:rFonts w:ascii="Arial" w:cs="Arial" w:eastAsia="Arial" w:hAnsi="Arial"/>
                <w:sz w:val="18"/>
                <w:szCs w:val="18"/>
                <w:color w:val="0000FF"/>
              </w:rPr>
            </w:pPr>
            <w:hyperlink r:id="rId212">
              <w:r>
                <w:rPr>
                  <w:rFonts w:ascii="Arial" w:cs="Arial" w:eastAsia="Arial" w:hAnsi="Arial"/>
                  <w:sz w:val="18"/>
                  <w:szCs w:val="18"/>
                  <w:color w:val="0000FF"/>
                </w:rPr>
                <w:t>Parsons Corporation Employee Stock Purchase Plan.</w:t>
              </w:r>
            </w:hyperlink>
          </w:p>
        </w:tc>
        <w:tc>
          <w:tcPr>
            <w:tcW w:w="47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Borders>
              <w:right w:val="single" w:sz="8" w:color="0000EE"/>
            </w:tcBorders>
            <w:gridSpan w:val="14"/>
            <w:shd w:val="clear" w:color="auto" w:fill="0000FF"/>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100"/>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13">
              <w:r>
                <w:rPr>
                  <w:rFonts w:ascii="Arial" w:cs="Arial" w:eastAsia="Arial" w:hAnsi="Arial"/>
                  <w:sz w:val="18"/>
                  <w:szCs w:val="18"/>
                  <w:color w:val="0000FF"/>
                </w:rPr>
                <w:t>Parsons Corporation Prospectus to Employee Stock Purchase Plan dated November 1, 2021.</w:t>
              </w:r>
            </w:hyperlink>
          </w:p>
        </w:tc>
        <w:tc>
          <w:tcPr>
            <w:tcW w:w="0" w:type="dxa"/>
            <w:vAlign w:val="bottom"/>
          </w:tcPr>
          <w:p>
            <w:pPr>
              <w:spacing w:after="0"/>
              <w:rPr>
                <w:sz w:val="1"/>
                <w:szCs w:val="1"/>
                <w:color w:val="auto"/>
              </w:rPr>
            </w:pPr>
          </w:p>
        </w:tc>
      </w:tr>
      <w:tr>
        <w:trPr>
          <w:trHeight w:val="794"/>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20" w:type="dxa"/>
            <w:vAlign w:val="bottom"/>
            <w:tcBorders>
              <w:top w:val="single" w:sz="8" w:color="0000FF"/>
            </w:tcBorders>
            <w:gridSpan w:val="16"/>
          </w:tcPr>
          <w:p>
            <w:pPr>
              <w:ind w:left="4320"/>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10.26#+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10.27#+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10.28#+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10.39#+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10.40#+</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10.43#+</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10.46#+</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10.47#+</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10.48#+</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0000FF"/>
        </w:rPr>
      </w:pPr>
      <w:hyperlink r:id="rId216">
        <w:r>
          <w:rPr>
            <w:rFonts w:ascii="Arial" w:cs="Arial" w:eastAsia="Arial" w:hAnsi="Arial"/>
            <w:sz w:val="18"/>
            <w:szCs w:val="18"/>
            <w:u w:val="single" w:color="auto"/>
            <w:color w:val="0000FF"/>
          </w:rPr>
          <w:t>Supplemental Executive Retirement Plan dated January 1, 1997</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2454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3245485" cy="8255"/>
                    </a:xfrm>
                    <a:prstGeom prst="rect">
                      <a:avLst/>
                    </a:prstGeom>
                    <a:noFill/>
                  </pic:spPr>
                </pic:pic>
              </a:graphicData>
            </a:graphic>
          </wp:anchor>
        </w:drawing>
      </w:r>
    </w:p>
    <w:p>
      <w:pPr>
        <w:spacing w:after="0" w:line="84" w:lineRule="exact"/>
        <w:rPr>
          <w:sz w:val="20"/>
          <w:szCs w:val="20"/>
          <w:color w:val="auto"/>
        </w:rPr>
      </w:pPr>
    </w:p>
    <w:p>
      <w:pPr>
        <w:spacing w:after="0"/>
        <w:rPr>
          <w:rFonts w:ascii="Arial" w:cs="Arial" w:eastAsia="Arial" w:hAnsi="Arial"/>
          <w:sz w:val="18"/>
          <w:szCs w:val="18"/>
          <w:color w:val="0000FF"/>
        </w:rPr>
      </w:pPr>
      <w:hyperlink r:id="rId218">
        <w:r>
          <w:rPr>
            <w:rFonts w:ascii="Arial" w:cs="Arial" w:eastAsia="Arial" w:hAnsi="Arial"/>
            <w:sz w:val="18"/>
            <w:szCs w:val="18"/>
            <w:u w:val="single" w:color="auto"/>
            <w:color w:val="0000FF"/>
          </w:rPr>
          <w:t>First Amendment to the SERP effective January 1, 2020</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8384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84" w:lineRule="exact"/>
        <w:rPr>
          <w:sz w:val="20"/>
          <w:szCs w:val="20"/>
          <w:color w:val="auto"/>
        </w:rPr>
      </w:pPr>
    </w:p>
    <w:p>
      <w:pPr>
        <w:spacing w:after="0"/>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Change in Control Severance Agreement, dated August 6, 2021, by and between Parsons Corporation and Carey 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1036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Change in Control Severance Agreement, dated August 9, 2021, by and between Parsons Corporation and Charles 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9956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5995670" cy="8890"/>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5651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79" w:lineRule="exact"/>
        <w:rPr>
          <w:sz w:val="20"/>
          <w:szCs w:val="20"/>
          <w:color w:val="auto"/>
        </w:rPr>
      </w:pPr>
    </w:p>
    <w:p>
      <w:pPr>
        <w:spacing w:after="0"/>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Change in Control Severance Agreement, dated August 6, 2021, by and between Parsons Corporation and George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0782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6078220"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7"/>
          <w:szCs w:val="17"/>
          <w:u w:val="single" w:color="auto"/>
          <w:color w:val="0000FF"/>
        </w:rPr>
      </w:pPr>
      <w:hyperlink r:id="rId227">
        <w:r>
          <w:rPr>
            <w:rFonts w:ascii="Arial" w:cs="Arial" w:eastAsia="Arial" w:hAnsi="Arial"/>
            <w:sz w:val="17"/>
            <w:szCs w:val="17"/>
            <w:u w:val="single" w:color="auto"/>
            <w:color w:val="0000FF"/>
          </w:rPr>
          <w:t>Change in Control Severance Agreement, dated August 6, 2021, by and between Parsons Corporation and Michael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3576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6357620" cy="8255"/>
                    </a:xfrm>
                    <a:prstGeom prst="rect">
                      <a:avLst/>
                    </a:prstGeom>
                    <a:noFill/>
                  </pic:spPr>
                </pic:pic>
              </a:graphicData>
            </a:graphic>
          </wp:anchor>
        </w:drawing>
      </w:r>
    </w:p>
    <w:p>
      <w:pPr>
        <w:spacing w:after="0" w:line="109" w:lineRule="exact"/>
        <w:rPr>
          <w:sz w:val="20"/>
          <w:szCs w:val="20"/>
          <w:color w:val="auto"/>
        </w:rPr>
      </w:pPr>
    </w:p>
    <w:p>
      <w:pPr>
        <w:spacing w:after="0"/>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Change in Control Severance Agreement, dated August 6, 2021, by and between Parsons Corporation and David 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0782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6078220"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Change in Control Severance Agreement, dated October 6, 2021, by and between Parsons Corporation and Matthew Ofilos.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2814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6281420" cy="8255"/>
                    </a:xfrm>
                    <a:prstGeom prst="rect">
                      <a:avLst/>
                    </a:prstGeom>
                    <a:noFill/>
                  </pic:spPr>
                </pic:pic>
              </a:graphicData>
            </a:graphic>
          </wp:anchor>
        </w:drawing>
      </w:r>
    </w:p>
    <w:p>
      <w:pPr>
        <w:spacing w:after="0" w:line="97"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George L.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0775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7302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Charles L. 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0775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11176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color w:val="0000FF"/>
        </w:rPr>
      </w:pPr>
      <w:hyperlink r:id="rId239">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Carey A. Smith</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0775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7683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68350" cy="8890"/>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Michael R.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0775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10604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Debra Fiori.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0775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5969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26" w:lineRule="exact"/>
        <w:rPr>
          <w:sz w:val="20"/>
          <w:szCs w:val="20"/>
          <w:color w:val="auto"/>
        </w:rPr>
      </w:pPr>
    </w:p>
    <w:p>
      <w:pPr>
        <w:spacing w:after="0"/>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Form of Performance Stock Unit Award Amendment, dated July 19, 2021, by and between Parsons Corporation and Carey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3760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6376035" cy="8890"/>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3238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323850" cy="8890"/>
                    </a:xfrm>
                    <a:prstGeom prst="rect">
                      <a:avLst/>
                    </a:prstGeom>
                    <a:noFill/>
                  </pic:spPr>
                </pic:pic>
              </a:graphicData>
            </a:graphic>
          </wp:anchor>
        </w:drawing>
      </w:r>
    </w:p>
    <w:p>
      <w:pPr>
        <w:spacing w:after="0" w:line="79" w:lineRule="exact"/>
        <w:rPr>
          <w:sz w:val="20"/>
          <w:szCs w:val="20"/>
          <w:color w:val="auto"/>
        </w:rPr>
      </w:pPr>
    </w:p>
    <w:p>
      <w:pPr>
        <w:spacing w:after="0"/>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Form of Restricted Stock Unit Award Amendment, dated July 19, 2021, by and between Parsons Corporation and Carey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2363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623633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3238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79" w:lineRule="exact"/>
        <w:rPr>
          <w:sz w:val="20"/>
          <w:szCs w:val="20"/>
          <w:color w:val="auto"/>
        </w:rPr>
      </w:pPr>
    </w:p>
    <w:p>
      <w:pPr>
        <w:ind w:right="100"/>
        <w:spacing w:after="0" w:line="271" w:lineRule="auto"/>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Form of Performance Stock Unit Award Amendment, dated July 19, 2021, by and between Parsons Corporation and Charles</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L. 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3252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63252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6921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692150" cy="8890"/>
                    </a:xfrm>
                    <a:prstGeom prst="rect">
                      <a:avLst/>
                    </a:prstGeom>
                    <a:noFill/>
                  </pic:spPr>
                </pic:pic>
              </a:graphicData>
            </a:graphic>
          </wp:anchor>
        </w:drawing>
      </w:r>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Form of Restricted Stock Unit Award Amendment, dated July 19, 2021, by and between Parsons Corporation and Charles 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3125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631253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565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79" w:lineRule="exact"/>
        <w:rPr>
          <w:sz w:val="20"/>
          <w:szCs w:val="20"/>
          <w:color w:val="auto"/>
        </w:rPr>
      </w:pPr>
    </w:p>
    <w:p>
      <w:pPr>
        <w:ind w:right="120"/>
        <w:spacing w:after="0" w:line="271" w:lineRule="auto"/>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Form of Performance Stock Unit Award Amendment, dated July 19, 2021, by and between Parsons Corporation and George</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3125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63125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2222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222250" cy="8890"/>
                    </a:xfrm>
                    <a:prstGeom prst="rect">
                      <a:avLst/>
                    </a:prstGeom>
                    <a:noFill/>
                  </pic:spPr>
                </pic:pic>
              </a:graphicData>
            </a:graphic>
          </wp:anchor>
        </w:drawing>
      </w:r>
    </w:p>
    <w:p>
      <w:pPr>
        <w:spacing w:after="0" w:line="39" w:lineRule="exact"/>
        <w:rPr>
          <w:sz w:val="20"/>
          <w:szCs w:val="20"/>
          <w:color w:val="auto"/>
        </w:rPr>
      </w:pPr>
    </w:p>
    <w:p>
      <w:pPr>
        <w:ind w:right="340"/>
        <w:spacing w:after="0" w:line="271" w:lineRule="auto"/>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Form of Restricted Stock Unit Award Amendment, dated July 19, 2021, by and between Parsons Corporation and George</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172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2222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39" w:lineRule="exact"/>
        <w:rPr>
          <w:sz w:val="20"/>
          <w:szCs w:val="20"/>
          <w:color w:val="auto"/>
        </w:rPr>
      </w:pPr>
    </w:p>
    <w:p>
      <w:pPr>
        <w:ind w:right="100"/>
        <w:spacing w:after="0" w:line="271" w:lineRule="auto"/>
        <w:rPr>
          <w:rFonts w:ascii="Arial" w:cs="Arial" w:eastAsia="Arial" w:hAnsi="Arial"/>
          <w:sz w:val="18"/>
          <w:szCs w:val="18"/>
          <w:u w:val="single" w:color="auto"/>
          <w:color w:val="0000FF"/>
        </w:rPr>
      </w:pPr>
      <w:hyperlink r:id="rId266">
        <w:r>
          <w:rPr>
            <w:rFonts w:ascii="Arial" w:cs="Arial" w:eastAsia="Arial" w:hAnsi="Arial"/>
            <w:sz w:val="18"/>
            <w:szCs w:val="18"/>
            <w:u w:val="single" w:color="auto"/>
            <w:color w:val="0000FF"/>
          </w:rPr>
          <w:t>Form of Performance Stock Unit Award Amendment, dated July 19, 2021, by and between Parsons Corporation and Michael</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R.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3252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63252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6350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Form of Restricted Stock Unit Award Amendment, dated July 19, 2021, by and between Parsons Corporation and Michael 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3315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4889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79" w:lineRule="exact"/>
        <w:rPr>
          <w:sz w:val="20"/>
          <w:szCs w:val="20"/>
          <w:color w:val="auto"/>
        </w:rPr>
      </w:pPr>
    </w:p>
    <w:p>
      <w:pPr>
        <w:ind w:right="260"/>
        <w:spacing w:after="0" w:line="271" w:lineRule="auto"/>
        <w:rPr>
          <w:rFonts w:ascii="Arial" w:cs="Arial" w:eastAsia="Arial" w:hAnsi="Arial"/>
          <w:sz w:val="18"/>
          <w:szCs w:val="18"/>
          <w:u w:val="single" w:color="auto"/>
          <w:color w:val="0000FF"/>
        </w:rPr>
      </w:pPr>
      <w:hyperlink r:id="rId272">
        <w:r>
          <w:rPr>
            <w:rFonts w:ascii="Arial" w:cs="Arial" w:eastAsia="Arial" w:hAnsi="Arial"/>
            <w:sz w:val="18"/>
            <w:szCs w:val="18"/>
            <w:u w:val="single" w:color="auto"/>
            <w:color w:val="0000FF"/>
          </w:rPr>
          <w:t>Form of Performance Stock Unit Award Amendment, dated July 19, 2021, by and between Parsons Corporation and David</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2236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3111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39"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75">
        <w:r>
          <w:rPr>
            <w:rFonts w:ascii="Arial" w:cs="Arial" w:eastAsia="Arial" w:hAnsi="Arial"/>
            <w:sz w:val="18"/>
            <w:szCs w:val="18"/>
            <w:u w:val="single" w:color="auto"/>
            <w:color w:val="0000FF"/>
          </w:rPr>
          <w:t>Form of Restricted Stock Unit Award Amendment, dated July 19, 2021, by and between Parsons Corporation and David</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0839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3111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0" w:space="440"/>
            <w:col w:w="10000"/>
          </w:cols>
          <w:pgMar w:left="420" w:top="1417" w:right="379" w:bottom="1440" w:gutter="0" w:footer="0" w:header="0"/>
        </w:sectPr>
      </w:pPr>
    </w:p>
    <w:bookmarkStart w:id="92" w:name="page93"/>
    <w:bookmarkEnd w:id="92"/>
    <w:p>
      <w:pPr>
        <w:ind w:left="1200" w:right="120" w:hanging="1087"/>
        <w:spacing w:after="0" w:line="244"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10.52#</w:t>
      </w:r>
      <w:r>
        <w:rPr>
          <w:sz w:val="20"/>
          <w:szCs w:val="20"/>
          <w:color w:val="auto"/>
        </w:rPr>
        <w:tab/>
      </w:r>
      <w:hyperlink r:id="rId279">
        <w:r>
          <w:rPr>
            <w:rFonts w:ascii="Arial" w:cs="Arial" w:eastAsia="Arial" w:hAnsi="Arial"/>
            <w:sz w:val="18"/>
            <w:szCs w:val="18"/>
            <w:u w:val="single" w:color="auto"/>
            <w:color w:val="0000FF"/>
          </w:rPr>
          <w:t>Fifth Amended and Restated Credit Agreement, dated as of November 15, 2017, by and among Parsons Corporation, the</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lenders from time to time party thereto, The Bank of Tokyo-Mitsubishi UFJ, Ltd., as administrative agent, swing line bank and</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co-lead arranger, Wells Fargo Bank, National Association, as syndication agent, The Bank of Nova Scotia, JPMorgan Chase</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Bank, N.A., Sumitomo Mitsui Banking Corporation and U.S. Bank National Association, as documentation agents, and Wells</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Fargo Securities, LLC, as co-lead arranger</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-544195</wp:posOffset>
            </wp:positionV>
            <wp:extent cx="6198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619887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-415290</wp:posOffset>
            </wp:positionV>
            <wp:extent cx="63309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633095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-287020</wp:posOffset>
            </wp:positionV>
            <wp:extent cx="63125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-158115</wp:posOffset>
            </wp:positionV>
            <wp:extent cx="6299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629983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-29845</wp:posOffset>
            </wp:positionV>
            <wp:extent cx="21590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2159000"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left="1200" w:right="100" w:hanging="1087"/>
        <w:spacing w:after="0" w:line="271"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10.53#</w:t>
      </w:r>
      <w:r>
        <w:rPr>
          <w:sz w:val="20"/>
          <w:szCs w:val="20"/>
          <w:color w:val="auto"/>
        </w:rPr>
        <w:tab/>
      </w:r>
      <w:hyperlink r:id="rId285">
        <w:r>
          <w:rPr>
            <w:rFonts w:ascii="Arial" w:cs="Arial" w:eastAsia="Arial" w:hAnsi="Arial"/>
            <w:sz w:val="18"/>
            <w:szCs w:val="18"/>
            <w:u w:val="single" w:color="auto"/>
            <w:color w:val="0000FF"/>
          </w:rPr>
          <w:t>First Amendment to the Fifth Amended and Restated Credit Agreement, dated as of January 4, 2019, by and among Parsons</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Corporation, the Banks party thereto and MUFG Bank Ltd, as administrative agent</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-172720</wp:posOffset>
            </wp:positionV>
            <wp:extent cx="63506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6350635"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-44450</wp:posOffset>
            </wp:positionV>
            <wp:extent cx="41535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4153535" cy="8255"/>
                    </a:xfrm>
                    <a:prstGeom prst="rect">
                      <a:avLst/>
                    </a:prstGeom>
                    <a:noFill/>
                  </pic:spPr>
                </pic:pic>
              </a:graphicData>
            </a:graphic>
          </wp:anchor>
        </w:drawing>
      </w:r>
    </w:p>
    <w:p>
      <w:pPr>
        <w:spacing w:after="0" w:line="39" w:lineRule="exact"/>
        <w:rPr>
          <w:sz w:val="20"/>
          <w:szCs w:val="20"/>
          <w:color w:val="auto"/>
        </w:rPr>
      </w:pPr>
    </w:p>
    <w:p>
      <w:pPr>
        <w:ind w:left="1200" w:right="420" w:hanging="1087"/>
        <w:spacing w:after="0" w:line="271"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288">
        <w:r>
          <w:rPr>
            <w:rFonts w:ascii="Arial" w:cs="Arial" w:eastAsia="Arial" w:hAnsi="Arial"/>
            <w:sz w:val="18"/>
            <w:szCs w:val="18"/>
            <w:u w:val="single" w:color="auto"/>
            <w:color w:val="0000FF"/>
          </w:rPr>
          <w:t>Credit Agreement dated June 25, 2021, among Parsons Corporation, the Guarantors, the Lenders, and Bank of America,</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N.A., as Administrative Agent, Swingline Lender, and an L/C Issuer.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-172720</wp:posOffset>
            </wp:positionV>
            <wp:extent cx="61417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614172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-44450</wp:posOffset>
            </wp:positionV>
            <wp:extent cx="34232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39" w:lineRule="exact"/>
        <w:rPr>
          <w:sz w:val="20"/>
          <w:szCs w:val="20"/>
          <w:color w:val="auto"/>
        </w:rPr>
      </w:pPr>
    </w:p>
    <w:p>
      <w:pPr>
        <w:ind w:left="1200" w:hanging="1087"/>
        <w:spacing w:after="0" w:line="253"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10.55#</w:t>
      </w:r>
      <w:r>
        <w:rPr>
          <w:sz w:val="20"/>
          <w:szCs w:val="20"/>
          <w:color w:val="auto"/>
        </w:rPr>
        <w:tab/>
      </w:r>
      <w:hyperlink r:id="rId291">
        <w:r>
          <w:rPr>
            <w:rFonts w:ascii="Arial" w:cs="Arial" w:eastAsia="Arial" w:hAnsi="Arial"/>
            <w:sz w:val="18"/>
            <w:szCs w:val="18"/>
            <w:u w:val="single" w:color="auto"/>
            <w:color w:val="0000FF"/>
          </w:rPr>
          <w:t>Term Loan Agreement, dated as of January 4, 2019, among Parsons Corporation, MUFG Union Bank, N.A., as administrative</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agent, The Bank of Nova Scotia, as syndication agent, the other financial institutions party thereto and MUFG Union Bank,</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N.A. and The Bank of Nova Scotia, as co-lead arrangers</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-291465</wp:posOffset>
            </wp:positionV>
            <wp:extent cx="63779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2">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-163195</wp:posOffset>
            </wp:positionV>
            <wp:extent cx="62045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3">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-34290</wp:posOffset>
            </wp:positionV>
            <wp:extent cx="28511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69"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10.56#</w:t>
      </w:r>
    </w:p>
    <w:p>
      <w:pPr>
        <w:spacing w:after="0" w:line="225"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10.57#</w:t>
      </w:r>
    </w:p>
    <w:p>
      <w:pPr>
        <w:spacing w:after="0" w:line="117"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10.58#</w:t>
      </w:r>
    </w:p>
    <w:p>
      <w:pPr>
        <w:spacing w:after="0" w:line="117"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10.59#+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54" w:lineRule="exact"/>
        <w:rPr>
          <w:rFonts w:ascii="Arial" w:cs="Arial" w:eastAsia="Arial" w:hAnsi="Arial"/>
          <w:sz w:val="18"/>
          <w:szCs w:val="18"/>
          <w:u w:val="single" w:color="auto"/>
          <w:color w:val="0000FF"/>
        </w:rPr>
      </w:pPr>
    </w:p>
    <w:p>
      <w:pPr>
        <w:ind w:right="360"/>
        <w:spacing w:after="0" w:line="271" w:lineRule="auto"/>
        <w:rPr>
          <w:rFonts w:ascii="Arial" w:cs="Arial" w:eastAsia="Arial" w:hAnsi="Arial"/>
          <w:sz w:val="18"/>
          <w:szCs w:val="18"/>
          <w:u w:val="single" w:color="auto"/>
          <w:color w:val="0000FF"/>
        </w:rPr>
      </w:pPr>
      <w:hyperlink r:id="rId295">
        <w:r>
          <w:rPr>
            <w:rFonts w:ascii="Arial" w:cs="Arial" w:eastAsia="Arial" w:hAnsi="Arial"/>
            <w:sz w:val="18"/>
            <w:szCs w:val="18"/>
            <w:u w:val="single" w:color="auto"/>
            <w:color w:val="0000FF"/>
          </w:rPr>
          <w:t>Form of Employee Stockownership Trust Agreement, dated as of June 8, 2020, by and between Parsons Corporation and</w:t>
        </w:r>
      </w:hyperlink>
      <w:r>
        <w:rPr>
          <w:rFonts w:ascii="Arial" w:cs="Arial" w:eastAsia="Arial" w:hAnsi="Arial"/>
          <w:sz w:val="18"/>
          <w:szCs w:val="18"/>
          <w:u w:val="single" w:color="auto"/>
          <w:color w:val="0000FF"/>
        </w:rPr>
        <w:t xml:space="preserve"> </w:t>
      </w:r>
      <w:hyperlink r:id="rId295">
        <w:r>
          <w:rPr>
            <w:rFonts w:ascii="Arial" w:cs="Arial" w:eastAsia="Arial" w:hAnsi="Arial"/>
            <w:sz w:val="18"/>
            <w:szCs w:val="18"/>
            <w:u w:val="single" w:color="auto"/>
            <w:color w:val="0000FF"/>
          </w:rPr>
          <w:t>Newport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1791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6179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12700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r:id="rId298">
        <w:r>
          <w:rPr>
            <w:rFonts w:ascii="Arial" w:cs="Arial" w:eastAsia="Arial" w:hAnsi="Arial"/>
            <w:sz w:val="18"/>
            <w:szCs w:val="18"/>
            <w:u w:val="single" w:color="auto"/>
            <w:color w:val="0000FF"/>
          </w:rPr>
          <w:t>Form of Registration Rights Agreement by and between Parsons Corporation and Newport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4235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9">
                      <a:extLst>
                        <a:ext uri="{28A0092B-C50C-407E-A947-70E740481C1C}"/>
                      </a:extLst>
                    </a:blip>
                    <a:srcRect/>
                    <a:stretch>
                      <a:fillRect/>
                    </a:stretch>
                  </pic:blipFill>
                  <pic:spPr bwMode="auto">
                    <a:xfrm>
                      <a:off x="0" y="0"/>
                      <a:ext cx="5423535"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Form of Fifth Amendment to the Parsons Corporation Retirement Savings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0132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1">
                      <a:extLst>
                        <a:ext uri="{28A0092B-C50C-407E-A947-70E740481C1C}"/>
                      </a:extLst>
                    </a:blip>
                    <a:srcRect/>
                    <a:stretch>
                      <a:fillRect/>
                    </a:stretch>
                  </pic:blipFill>
                  <pic:spPr bwMode="auto">
                    <a:xfrm>
                      <a:off x="0" y="0"/>
                      <a:ext cx="4013200" cy="8255"/>
                    </a:xfrm>
                    <a:prstGeom prst="rect">
                      <a:avLst/>
                    </a:prstGeom>
                    <a:noFill/>
                  </pic:spPr>
                </pic:pic>
              </a:graphicData>
            </a:graphic>
          </wp:anchor>
        </w:drawing>
      </w:r>
    </w:p>
    <w:p>
      <w:pPr>
        <w:spacing w:after="0" w:line="97" w:lineRule="exact"/>
        <w:rPr>
          <w:sz w:val="20"/>
          <w:szCs w:val="20"/>
          <w:color w:val="auto"/>
        </w:rPr>
      </w:pPr>
    </w:p>
    <w:p>
      <w:pPr>
        <w:ind w:right="100"/>
        <w:spacing w:after="0" w:line="271" w:lineRule="auto"/>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Form of Fourth Amendment to the 2019 Amendment and Restatement of Parsons Employee Stock Ownership Plan, effective</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March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3506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3">
                      <a:extLst>
                        <a:ext uri="{28A0092B-C50C-407E-A947-70E740481C1C}"/>
                      </a:extLst>
                    </a:blip>
                    <a:srcRect/>
                    <a:stretch>
                      <a:fillRect/>
                    </a:stretch>
                  </pic:blipFill>
                  <pic:spPr bwMode="auto">
                    <a:xfrm>
                      <a:off x="0" y="0"/>
                      <a:ext cx="6350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7620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4">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0" w:space="440"/>
            <w:col w:w="1004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0" w:type="dxa"/>
            <w:vAlign w:val="bottom"/>
            <w:vMerge w:val="restart"/>
          </w:tcPr>
          <w:p>
            <w:pPr>
              <w:ind w:left="100"/>
              <w:spacing w:after="0"/>
              <w:rPr>
                <w:sz w:val="20"/>
                <w:szCs w:val="20"/>
                <w:color w:val="auto"/>
              </w:rPr>
            </w:pPr>
            <w:r>
              <w:rPr>
                <w:rFonts w:ascii="Arial" w:cs="Arial" w:eastAsia="Arial" w:hAnsi="Arial"/>
                <w:sz w:val="18"/>
                <w:szCs w:val="18"/>
                <w:color w:val="auto"/>
              </w:rPr>
              <w:t>10.60#+</w:t>
            </w:r>
          </w:p>
        </w:tc>
        <w:tc>
          <w:tcPr>
            <w:tcW w:w="10040" w:type="dxa"/>
            <w:vAlign w:val="bottom"/>
            <w:gridSpan w:val="17"/>
          </w:tcPr>
          <w:p>
            <w:pPr>
              <w:spacing w:after="0"/>
              <w:rPr>
                <w:rFonts w:ascii="Arial" w:cs="Arial" w:eastAsia="Arial" w:hAnsi="Arial"/>
                <w:sz w:val="18"/>
                <w:szCs w:val="18"/>
                <w:color w:val="0000FF"/>
              </w:rPr>
            </w:pPr>
            <w:hyperlink r:id="rId305">
              <w:r>
                <w:rPr>
                  <w:rFonts w:ascii="Arial" w:cs="Arial" w:eastAsia="Arial" w:hAnsi="Arial"/>
                  <w:sz w:val="18"/>
                  <w:szCs w:val="18"/>
                  <w:color w:val="0000FF"/>
                </w:rPr>
                <w:t>Fourth Amendment to the Parsons Employee Stock Ownership Plan 2019 Amendment and Restatement, effective March 1,</w:t>
              </w:r>
            </w:hyperlink>
          </w:p>
        </w:tc>
        <w:tc>
          <w:tcPr>
            <w:tcW w:w="0" w:type="dxa"/>
            <w:vAlign w:val="bottom"/>
          </w:tcPr>
          <w:p>
            <w:pPr>
              <w:spacing w:after="0"/>
              <w:rPr>
                <w:sz w:val="1"/>
                <w:szCs w:val="1"/>
                <w:color w:val="auto"/>
              </w:rPr>
            </w:pPr>
          </w:p>
        </w:tc>
      </w:tr>
      <w:tr>
        <w:trPr>
          <w:trHeight w:val="119"/>
        </w:trPr>
        <w:tc>
          <w:tcPr>
            <w:tcW w:w="1200" w:type="dxa"/>
            <w:vAlign w:val="bottom"/>
            <w:vMerge w:val="continue"/>
          </w:tcPr>
          <w:p>
            <w:pPr>
              <w:spacing w:after="0"/>
              <w:rPr>
                <w:sz w:val="10"/>
                <w:szCs w:val="10"/>
                <w:color w:val="auto"/>
              </w:rPr>
            </w:pPr>
          </w:p>
        </w:tc>
        <w:tc>
          <w:tcPr>
            <w:tcW w:w="1240" w:type="dxa"/>
            <w:vAlign w:val="bottom"/>
            <w:tcBorders>
              <w:top w:val="single" w:sz="8" w:color="0000FF"/>
            </w:tcBorders>
            <w:gridSpan w:val="2"/>
            <w:vMerge w:val="restart"/>
          </w:tcPr>
          <w:p>
            <w:pPr>
              <w:spacing w:after="0" w:line="182" w:lineRule="exact"/>
              <w:rPr>
                <w:rFonts w:ascii="Arial" w:cs="Arial" w:eastAsia="Arial" w:hAnsi="Arial"/>
                <w:sz w:val="18"/>
                <w:szCs w:val="18"/>
                <w:color w:val="0000FF"/>
              </w:rPr>
            </w:pPr>
            <w:hyperlink r:id="rId305">
              <w:r>
                <w:rPr>
                  <w:rFonts w:ascii="Arial" w:cs="Arial" w:eastAsia="Arial" w:hAnsi="Arial"/>
                  <w:sz w:val="18"/>
                  <w:szCs w:val="18"/>
                  <w:color w:val="0000FF"/>
                </w:rPr>
                <w:t>2021.</w:t>
              </w:r>
            </w:hyperlink>
          </w:p>
        </w:tc>
        <w:tc>
          <w:tcPr>
            <w:tcW w:w="590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5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10.61#+</w:t>
            </w:r>
          </w:p>
        </w:tc>
        <w:tc>
          <w:tcPr>
            <w:tcW w:w="10040" w:type="dxa"/>
            <w:vAlign w:val="bottom"/>
            <w:gridSpan w:val="17"/>
          </w:tcPr>
          <w:p>
            <w:pPr>
              <w:spacing w:after="0"/>
              <w:rPr>
                <w:rFonts w:ascii="Arial" w:cs="Arial" w:eastAsia="Arial" w:hAnsi="Arial"/>
                <w:sz w:val="18"/>
                <w:szCs w:val="18"/>
                <w:color w:val="0000FF"/>
              </w:rPr>
            </w:pPr>
            <w:hyperlink r:id="rId306">
              <w:r>
                <w:rPr>
                  <w:rFonts w:ascii="Arial" w:cs="Arial" w:eastAsia="Arial" w:hAnsi="Arial"/>
                  <w:sz w:val="18"/>
                  <w:szCs w:val="18"/>
                  <w:color w:val="0000FF"/>
                </w:rPr>
                <w:t>Form of Indemnification Agreement between Parsons Corporation and certain of its directors and officers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59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10.62#+</w:t>
            </w:r>
          </w:p>
        </w:tc>
        <w:tc>
          <w:tcPr>
            <w:tcW w:w="10040" w:type="dxa"/>
            <w:vAlign w:val="bottom"/>
            <w:gridSpan w:val="17"/>
          </w:tcPr>
          <w:p>
            <w:pPr>
              <w:spacing w:after="0"/>
              <w:rPr>
                <w:rFonts w:ascii="Arial" w:cs="Arial" w:eastAsia="Arial" w:hAnsi="Arial"/>
                <w:sz w:val="18"/>
                <w:szCs w:val="18"/>
                <w:color w:val="0000FF"/>
              </w:rPr>
            </w:pPr>
            <w:hyperlink r:id="rId307">
              <w:r>
                <w:rPr>
                  <w:rFonts w:ascii="Arial" w:cs="Arial" w:eastAsia="Arial" w:hAnsi="Arial"/>
                  <w:sz w:val="18"/>
                  <w:szCs w:val="18"/>
                  <w:color w:val="0000FF"/>
                </w:rPr>
                <w:t>Form of Transition Agreement, dated February 2022, by and between Parsons Corporation and Charles L. Harrington.</w:t>
              </w:r>
            </w:hyperlink>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10.63#</w:t>
            </w:r>
          </w:p>
        </w:tc>
        <w:tc>
          <w:tcPr>
            <w:tcW w:w="9380" w:type="dxa"/>
            <w:vAlign w:val="bottom"/>
            <w:tcBorders>
              <w:top w:val="single" w:sz="8" w:color="0000FF"/>
            </w:tcBorders>
            <w:gridSpan w:val="15"/>
          </w:tcPr>
          <w:p>
            <w:pPr>
              <w:spacing w:after="0"/>
              <w:rPr>
                <w:rFonts w:ascii="Arial" w:cs="Arial" w:eastAsia="Arial" w:hAnsi="Arial"/>
                <w:sz w:val="18"/>
                <w:szCs w:val="18"/>
                <w:color w:val="0000FF"/>
              </w:rPr>
            </w:pPr>
            <w:hyperlink r:id="rId308">
              <w:r>
                <w:rPr>
                  <w:rFonts w:ascii="Arial" w:cs="Arial" w:eastAsia="Arial" w:hAnsi="Arial"/>
                  <w:sz w:val="18"/>
                  <w:szCs w:val="18"/>
                  <w:color w:val="0000FF"/>
                </w:rPr>
                <w:t>Delayed Draw Term Loan Agreement and Form of First Amendment to Credit Agreement.</w:t>
              </w:r>
            </w:hyperlink>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590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10.65#+</w:t>
            </w:r>
          </w:p>
        </w:tc>
        <w:tc>
          <w:tcPr>
            <w:tcW w:w="10040" w:type="dxa"/>
            <w:vAlign w:val="bottom"/>
            <w:gridSpan w:val="17"/>
          </w:tcPr>
          <w:p>
            <w:pPr>
              <w:spacing w:after="0"/>
              <w:rPr>
                <w:rFonts w:ascii="Arial" w:cs="Arial" w:eastAsia="Arial" w:hAnsi="Arial"/>
                <w:sz w:val="18"/>
                <w:szCs w:val="18"/>
                <w:color w:val="0000FF"/>
              </w:rPr>
            </w:pPr>
            <w:hyperlink r:id="rId309">
              <w:r>
                <w:rPr>
                  <w:rFonts w:ascii="Arial" w:cs="Arial" w:eastAsia="Arial" w:hAnsi="Arial"/>
                  <w:sz w:val="18"/>
                  <w:szCs w:val="18"/>
                  <w:color w:val="0000FF"/>
                </w:rPr>
                <w:t>Seventh Amendment to The Parsons Corporation Retirement Savings Plan (2017 Amendment and Restatement).</w:t>
              </w:r>
            </w:hyperlink>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10.66#+</w:t>
            </w:r>
          </w:p>
        </w:tc>
        <w:tc>
          <w:tcPr>
            <w:tcW w:w="9020" w:type="dxa"/>
            <w:vAlign w:val="bottom"/>
            <w:tcBorders>
              <w:top w:val="single" w:sz="8" w:color="0000FF"/>
            </w:tcBorders>
            <w:gridSpan w:val="10"/>
          </w:tcPr>
          <w:p>
            <w:pPr>
              <w:spacing w:after="0"/>
              <w:rPr>
                <w:rFonts w:ascii="Arial" w:cs="Arial" w:eastAsia="Arial" w:hAnsi="Arial"/>
                <w:sz w:val="18"/>
                <w:szCs w:val="18"/>
                <w:color w:val="0000FF"/>
              </w:rPr>
            </w:pPr>
            <w:hyperlink r:id="rId310">
              <w:r>
                <w:rPr>
                  <w:rFonts w:ascii="Arial" w:cs="Arial" w:eastAsia="Arial" w:hAnsi="Arial"/>
                  <w:sz w:val="18"/>
                  <w:szCs w:val="18"/>
                  <w:color w:val="0000FF"/>
                </w:rPr>
                <w:t>Fifth Amendment to The Parsons Employee Stock Ownership Plan 2019 Amendment and Restatement.</w:t>
              </w:r>
            </w:hyperlink>
          </w:p>
        </w:tc>
        <w:tc>
          <w:tcPr>
            <w:tcW w:w="10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0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10.67#+</w:t>
            </w:r>
          </w:p>
        </w:tc>
        <w:tc>
          <w:tcPr>
            <w:tcW w:w="8340" w:type="dxa"/>
            <w:vAlign w:val="bottom"/>
            <w:tcBorders>
              <w:bottom w:val="single" w:sz="8" w:color="0000FF"/>
            </w:tcBorders>
            <w:gridSpan w:val="5"/>
          </w:tcPr>
          <w:p>
            <w:pPr>
              <w:spacing w:after="0"/>
              <w:rPr>
                <w:rFonts w:ascii="Arial" w:cs="Arial" w:eastAsia="Arial" w:hAnsi="Arial"/>
                <w:sz w:val="18"/>
                <w:szCs w:val="18"/>
                <w:color w:val="0000FF"/>
                <w:w w:val="99"/>
              </w:rPr>
            </w:pPr>
            <w:hyperlink r:id="rId311">
              <w:r>
                <w:rPr>
                  <w:rFonts w:ascii="Arial" w:cs="Arial" w:eastAsia="Arial" w:hAnsi="Arial"/>
                  <w:sz w:val="18"/>
                  <w:szCs w:val="18"/>
                  <w:color w:val="0000FF"/>
                  <w:w w:val="99"/>
                </w:rPr>
                <w:t>Sixth Amendment to The Parsons Employee Stock Ownership Plan 2019 Amendment and Restatement.</w:t>
              </w:r>
            </w:hyperlink>
          </w:p>
        </w:tc>
        <w:tc>
          <w:tcPr>
            <w:tcW w:w="1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10.68#</w:t>
            </w:r>
          </w:p>
        </w:tc>
        <w:tc>
          <w:tcPr>
            <w:tcW w:w="10040" w:type="dxa"/>
            <w:vAlign w:val="bottom"/>
            <w:gridSpan w:val="17"/>
          </w:tcPr>
          <w:p>
            <w:pPr>
              <w:spacing w:after="0"/>
              <w:rPr>
                <w:rFonts w:ascii="Arial" w:cs="Arial" w:eastAsia="Arial" w:hAnsi="Arial"/>
                <w:sz w:val="18"/>
                <w:szCs w:val="18"/>
                <w:color w:val="0000FF"/>
              </w:rPr>
            </w:pPr>
            <w:hyperlink r:id="rId312">
              <w:r>
                <w:rPr>
                  <w:rFonts w:ascii="Arial" w:cs="Arial" w:eastAsia="Arial" w:hAnsi="Arial"/>
                  <w:sz w:val="18"/>
                  <w:szCs w:val="18"/>
                  <w:color w:val="0000FF"/>
                </w:rPr>
                <w:t>Form of Confirmations of Base and Additional Call Option Transactions, between Parsons Corporation and Option</w:t>
              </w:r>
            </w:hyperlink>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91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312">
              <w:r>
                <w:rPr>
                  <w:rFonts w:ascii="Arial" w:cs="Arial" w:eastAsia="Arial" w:hAnsi="Arial"/>
                  <w:sz w:val="18"/>
                  <w:szCs w:val="18"/>
                  <w:color w:val="0000FF"/>
                </w:rPr>
                <w:t>Counterparties.</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10.69#+</w:t>
            </w:r>
          </w:p>
        </w:tc>
        <w:tc>
          <w:tcPr>
            <w:tcW w:w="10040" w:type="dxa"/>
            <w:vAlign w:val="bottom"/>
            <w:gridSpan w:val="17"/>
          </w:tcPr>
          <w:p>
            <w:pPr>
              <w:spacing w:after="0"/>
              <w:rPr>
                <w:rFonts w:ascii="Arial" w:cs="Arial" w:eastAsia="Arial" w:hAnsi="Arial"/>
                <w:sz w:val="18"/>
                <w:szCs w:val="18"/>
                <w:color w:val="0000FF"/>
              </w:rPr>
            </w:pPr>
            <w:hyperlink r:id="rId313">
              <w:r>
                <w:rPr>
                  <w:rFonts w:ascii="Arial" w:cs="Arial" w:eastAsia="Arial" w:hAnsi="Arial"/>
                  <w:sz w:val="18"/>
                  <w:szCs w:val="18"/>
                  <w:color w:val="0000FF"/>
                </w:rPr>
                <w:t>Tenth Amendment To The Parsons Corporation Retirement Savings Plan (2017 Amendment and Restatement).</w:t>
              </w:r>
            </w:hyperlink>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10.70#+</w:t>
            </w:r>
          </w:p>
        </w:tc>
        <w:tc>
          <w:tcPr>
            <w:tcW w:w="86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9"/>
              </w:rPr>
            </w:pPr>
            <w:hyperlink r:id="rId314">
              <w:r>
                <w:rPr>
                  <w:rFonts w:ascii="Arial" w:cs="Arial" w:eastAsia="Arial" w:hAnsi="Arial"/>
                  <w:sz w:val="18"/>
                  <w:szCs w:val="18"/>
                  <w:color w:val="0000FF"/>
                  <w:w w:val="99"/>
                </w:rPr>
                <w:t>Seventh Amendment To The Parsons Employee Stock Ownership Plan 2019 Amendment and Restatement.</w:t>
              </w:r>
            </w:hyperlink>
          </w:p>
        </w:tc>
        <w:tc>
          <w:tcPr>
            <w:tcW w:w="260" w:type="dxa"/>
            <w:vAlign w:val="bottom"/>
            <w:tcBorders>
              <w:top w:val="single" w:sz="8" w:color="0000FF"/>
            </w:tcBorders>
          </w:tcPr>
          <w:p>
            <w:pPr>
              <w:spacing w:after="0"/>
              <w:rPr>
                <w:sz w:val="24"/>
                <w:szCs w:val="24"/>
                <w:color w:val="auto"/>
              </w:rPr>
            </w:pPr>
          </w:p>
        </w:tc>
        <w:tc>
          <w:tcPr>
            <w:tcW w:w="11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rPr>
              <w:t>10.71#+</w:t>
            </w:r>
          </w:p>
        </w:tc>
        <w:tc>
          <w:tcPr>
            <w:tcW w:w="9080" w:type="dxa"/>
            <w:vAlign w:val="bottom"/>
            <w:tcBorders>
              <w:bottom w:val="single" w:sz="8" w:color="0000FF"/>
            </w:tcBorders>
            <w:gridSpan w:val="11"/>
          </w:tcPr>
          <w:p>
            <w:pPr>
              <w:spacing w:after="0"/>
              <w:rPr>
                <w:rFonts w:ascii="Arial" w:cs="Arial" w:eastAsia="Arial" w:hAnsi="Arial"/>
                <w:sz w:val="18"/>
                <w:szCs w:val="18"/>
                <w:color w:val="0000FF"/>
                <w:w w:val="99"/>
              </w:rPr>
            </w:pPr>
            <w:hyperlink r:id="rId315">
              <w:r>
                <w:rPr>
                  <w:rFonts w:ascii="Arial" w:cs="Arial" w:eastAsia="Arial" w:hAnsi="Arial"/>
                  <w:sz w:val="18"/>
                  <w:szCs w:val="18"/>
                  <w:color w:val="0000FF"/>
                  <w:w w:val="99"/>
                </w:rPr>
                <w:t>Eleventh Amendment To The Parsons Corporation Retirement Savings Plan (2017 Amendment and Restatement)</w:t>
              </w:r>
            </w:hyperlink>
          </w:p>
        </w:tc>
        <w:tc>
          <w:tcPr>
            <w:tcW w:w="9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rPr>
              <w:t>10.72*+</w:t>
            </w:r>
          </w:p>
        </w:tc>
        <w:tc>
          <w:tcPr>
            <w:tcW w:w="89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Twelfth Amendment To The Parsons Corporation Retirement Savings Plan (2017 Amendment and Restatement)</w:t>
            </w:r>
          </w:p>
        </w:tc>
        <w:tc>
          <w:tcPr>
            <w:tcW w:w="20" w:type="dxa"/>
            <w:vAlign w:val="bottom"/>
            <w:tcBorders>
              <w:bottom w:val="single" w:sz="8" w:color="0000EE"/>
            </w:tcBorders>
          </w:tcPr>
          <w:p>
            <w:pPr>
              <w:spacing w:after="0"/>
              <w:rPr>
                <w:sz w:val="24"/>
                <w:szCs w:val="24"/>
                <w:color w:val="auto"/>
              </w:rPr>
            </w:pPr>
          </w:p>
        </w:tc>
        <w:tc>
          <w:tcPr>
            <w:tcW w:w="10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rPr>
              <w:t>10.73*+</w:t>
            </w:r>
          </w:p>
        </w:tc>
        <w:tc>
          <w:tcPr>
            <w:tcW w:w="10040" w:type="dxa"/>
            <w:vAlign w:val="bottom"/>
            <w:gridSpan w:val="17"/>
          </w:tcPr>
          <w:p>
            <w:pPr>
              <w:spacing w:after="0"/>
              <w:rPr>
                <w:sz w:val="20"/>
                <w:szCs w:val="20"/>
                <w:color w:val="auto"/>
              </w:rPr>
            </w:pPr>
            <w:r>
              <w:rPr>
                <w:rFonts w:ascii="Arial" w:cs="Arial" w:eastAsia="Arial" w:hAnsi="Arial"/>
                <w:sz w:val="18"/>
                <w:szCs w:val="18"/>
                <w:color w:val="0000FF"/>
              </w:rPr>
              <w:t>Thirteenth Amendment To The Parsons Corporation Retirement Savings Plan (2017 Amendment and Restatement)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200" w:type="dxa"/>
            <w:vAlign w:val="bottom"/>
            <w:tcBorders>
              <w:right w:val="single" w:sz="8" w:color="0000EE"/>
            </w:tcBorders>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rPr>
              <w:t>10.74*+</w:t>
            </w:r>
          </w:p>
        </w:tc>
        <w:tc>
          <w:tcPr>
            <w:tcW w:w="10040" w:type="dxa"/>
            <w:vAlign w:val="bottom"/>
            <w:gridSpan w:val="17"/>
          </w:tcPr>
          <w:p>
            <w:pPr>
              <w:spacing w:after="0"/>
              <w:rPr>
                <w:sz w:val="20"/>
                <w:szCs w:val="20"/>
                <w:color w:val="auto"/>
              </w:rPr>
            </w:pPr>
            <w:r>
              <w:rPr>
                <w:rFonts w:ascii="Arial" w:cs="Arial" w:eastAsia="Arial" w:hAnsi="Arial"/>
                <w:sz w:val="18"/>
                <w:szCs w:val="18"/>
                <w:color w:val="0000FF"/>
              </w:rPr>
              <w:t>Fourteenth Amendment To The Parsons Corporation Retirement Savings Plan (2017 Amendment and Restatement)</w:t>
            </w:r>
          </w:p>
        </w:tc>
        <w:tc>
          <w:tcPr>
            <w:tcW w:w="0" w:type="dxa"/>
            <w:vAlign w:val="bottom"/>
          </w:tcPr>
          <w:p>
            <w:pPr>
              <w:spacing w:after="0"/>
              <w:rPr>
                <w:sz w:val="1"/>
                <w:szCs w:val="1"/>
                <w:color w:val="auto"/>
              </w:rPr>
            </w:pPr>
          </w:p>
        </w:tc>
      </w:tr>
      <w:tr>
        <w:trPr>
          <w:trHeight w:val="794"/>
        </w:trPr>
        <w:tc>
          <w:tcPr>
            <w:tcW w:w="1200" w:type="dxa"/>
            <w:vAlign w:val="bottom"/>
          </w:tcPr>
          <w:p>
            <w:pPr>
              <w:spacing w:after="0"/>
              <w:rPr>
                <w:sz w:val="24"/>
                <w:szCs w:val="24"/>
                <w:color w:val="auto"/>
              </w:rPr>
            </w:pPr>
          </w:p>
        </w:tc>
        <w:tc>
          <w:tcPr>
            <w:tcW w:w="7140" w:type="dxa"/>
            <w:vAlign w:val="bottom"/>
            <w:tcBorders>
              <w:top w:val="single" w:sz="8" w:color="0000FF"/>
            </w:tcBorders>
            <w:gridSpan w:val="3"/>
          </w:tcPr>
          <w:p>
            <w:pPr>
              <w:ind w:left="4320"/>
              <w:spacing w:after="0"/>
              <w:rPr>
                <w:sz w:val="20"/>
                <w:szCs w:val="20"/>
                <w:color w:val="auto"/>
              </w:rPr>
            </w:pPr>
            <w:r>
              <w:rPr>
                <w:rFonts w:ascii="Arial" w:cs="Arial" w:eastAsia="Arial" w:hAnsi="Arial"/>
                <w:sz w:val="18"/>
                <w:szCs w:val="18"/>
                <w:color w:val="auto"/>
              </w:rPr>
              <w:t>89</w:t>
            </w:r>
          </w:p>
        </w:tc>
        <w:tc>
          <w:tcPr>
            <w:tcW w:w="1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10.75*+</w:t>
            </w:r>
          </w:p>
        </w:tc>
        <w:tc>
          <w:tcPr>
            <w:tcW w:w="90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Fifteenth Amendment To The Parsons Corporation Retirement Savings Plan (2017 Amendment and Restatement)</w:t>
            </w:r>
          </w:p>
        </w:tc>
        <w:tc>
          <w:tcPr>
            <w:tcW w:w="20" w:type="dxa"/>
            <w:vAlign w:val="bottom"/>
            <w:tcBorders>
              <w:bottom w:val="single" w:sz="8" w:color="0000EE"/>
            </w:tcBorders>
          </w:tcPr>
          <w:p>
            <w:pPr>
              <w:spacing w:after="0"/>
              <w:rPr>
                <w:sz w:val="17"/>
                <w:szCs w:val="17"/>
                <w:color w:val="auto"/>
              </w:rPr>
            </w:pPr>
          </w:p>
        </w:tc>
        <w:tc>
          <w:tcPr>
            <w:tcW w:w="820" w:type="dxa"/>
            <w:vAlign w:val="bottom"/>
            <w:gridSpan w:val="6"/>
          </w:tcPr>
          <w:p>
            <w:pPr>
              <w:spacing w:after="0"/>
              <w:rPr>
                <w:sz w:val="17"/>
                <w:szCs w:val="17"/>
                <w:color w:val="auto"/>
              </w:rPr>
            </w:pP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rPr>
              <w:t>10.76*+</w:t>
            </w:r>
          </w:p>
        </w:tc>
        <w:tc>
          <w:tcPr>
            <w:tcW w:w="9920" w:type="dxa"/>
            <w:vAlign w:val="bottom"/>
            <w:gridSpan w:val="18"/>
          </w:tcPr>
          <w:p>
            <w:pPr>
              <w:spacing w:after="0"/>
              <w:rPr>
                <w:sz w:val="20"/>
                <w:szCs w:val="20"/>
                <w:color w:val="auto"/>
              </w:rPr>
            </w:pPr>
            <w:r>
              <w:rPr>
                <w:rFonts w:ascii="Arial" w:cs="Arial" w:eastAsia="Arial" w:hAnsi="Arial"/>
                <w:sz w:val="18"/>
                <w:szCs w:val="18"/>
                <w:color w:val="0000FF"/>
              </w:rPr>
              <w:t>Sixteenth Amendment To The Parsons Corporation Retirement Savings Plan (2017 Amendment and Restatement)</w:t>
            </w: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19.3#</w:t>
            </w:r>
          </w:p>
        </w:tc>
        <w:tc>
          <w:tcPr>
            <w:tcW w:w="9120" w:type="dxa"/>
            <w:vAlign w:val="bottom"/>
            <w:tcBorders>
              <w:top w:val="single" w:sz="8" w:color="0000FF"/>
            </w:tcBorders>
            <w:gridSpan w:val="13"/>
          </w:tcPr>
          <w:p>
            <w:pPr>
              <w:spacing w:after="0"/>
              <w:rPr>
                <w:rFonts w:ascii="Arial" w:cs="Arial" w:eastAsia="Arial" w:hAnsi="Arial"/>
                <w:sz w:val="18"/>
                <w:szCs w:val="18"/>
                <w:color w:val="0000FF"/>
              </w:rPr>
            </w:pPr>
            <w:hyperlink r:id="rId318">
              <w:r>
                <w:rPr>
                  <w:rFonts w:ascii="Arial" w:cs="Arial" w:eastAsia="Arial" w:hAnsi="Arial"/>
                  <w:sz w:val="18"/>
                  <w:szCs w:val="18"/>
                  <w:color w:val="0000FF"/>
                </w:rPr>
                <w:t>Parsons Corporation Insider Trading Compliance Policy</w:t>
              </w:r>
            </w:hyperlink>
          </w:p>
        </w:tc>
        <w:tc>
          <w:tcPr>
            <w:tcW w:w="800" w:type="dxa"/>
            <w:vAlign w:val="bottom"/>
            <w:gridSpan w:val="5"/>
          </w:tcPr>
          <w:p>
            <w:pPr>
              <w:spacing w:after="0"/>
              <w:rPr>
                <w:sz w:val="24"/>
                <w:szCs w:val="24"/>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21.1*</w:t>
            </w:r>
          </w:p>
        </w:tc>
        <w:tc>
          <w:tcPr>
            <w:tcW w:w="28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List of Subsidiaries of the Registrant</w:t>
            </w:r>
          </w:p>
        </w:tc>
        <w:tc>
          <w:tcPr>
            <w:tcW w:w="20" w:type="dxa"/>
            <w:vAlign w:val="bottom"/>
            <w:tcBorders>
              <w:top w:val="single" w:sz="8" w:color="0000FF"/>
              <w:bottom w:val="single" w:sz="8" w:color="0000EE"/>
            </w:tcBorders>
          </w:tcPr>
          <w:p>
            <w:pPr>
              <w:spacing w:after="0"/>
              <w:rPr>
                <w:sz w:val="24"/>
                <w:szCs w:val="24"/>
                <w:color w:val="auto"/>
              </w:rPr>
            </w:pPr>
          </w:p>
        </w:tc>
        <w:tc>
          <w:tcPr>
            <w:tcW w:w="1520" w:type="dxa"/>
            <w:vAlign w:val="bottom"/>
            <w:tcBorders>
              <w:top w:val="single" w:sz="8" w:color="0000FF"/>
            </w:tcBorders>
            <w:gridSpan w:val="2"/>
          </w:tcPr>
          <w:p>
            <w:pPr>
              <w:spacing w:after="0"/>
              <w:rPr>
                <w:sz w:val="24"/>
                <w:szCs w:val="24"/>
                <w:color w:val="auto"/>
              </w:rPr>
            </w:pPr>
          </w:p>
        </w:tc>
        <w:tc>
          <w:tcPr>
            <w:tcW w:w="5500" w:type="dxa"/>
            <w:vAlign w:val="bottom"/>
            <w:gridSpan w:val="12"/>
          </w:tcPr>
          <w:p>
            <w:pPr>
              <w:spacing w:after="0"/>
              <w:rPr>
                <w:sz w:val="24"/>
                <w:szCs w:val="24"/>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23.1*</w:t>
            </w:r>
          </w:p>
        </w:tc>
        <w:tc>
          <w:tcPr>
            <w:tcW w:w="34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FF"/>
              </w:rPr>
              <w:t>Consent of PricewaterhouseCoopers LLP.</w:t>
            </w:r>
          </w:p>
        </w:tc>
        <w:tc>
          <w:tcPr>
            <w:tcW w:w="6520" w:type="dxa"/>
            <w:vAlign w:val="bottom"/>
            <w:gridSpan w:val="13"/>
          </w:tcPr>
          <w:p>
            <w:pPr>
              <w:spacing w:after="0"/>
              <w:rPr>
                <w:sz w:val="24"/>
                <w:szCs w:val="24"/>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31.1*</w:t>
            </w:r>
          </w:p>
        </w:tc>
        <w:tc>
          <w:tcPr>
            <w:tcW w:w="9920" w:type="dxa"/>
            <w:vAlign w:val="bottom"/>
            <w:gridSpan w:val="18"/>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1200" w:type="dxa"/>
            <w:vAlign w:val="bottom"/>
          </w:tcPr>
          <w:p>
            <w:pPr>
              <w:spacing w:after="0"/>
              <w:rPr>
                <w:sz w:val="15"/>
                <w:szCs w:val="15"/>
                <w:color w:val="auto"/>
              </w:rPr>
            </w:pPr>
          </w:p>
        </w:tc>
        <w:tc>
          <w:tcPr>
            <w:tcW w:w="984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8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99"/>
        </w:trPr>
        <w:tc>
          <w:tcPr>
            <w:tcW w:w="1200" w:type="dxa"/>
            <w:vAlign w:val="bottom"/>
          </w:tcPr>
          <w:p>
            <w:pPr>
              <w:ind w:left="100"/>
              <w:spacing w:after="0"/>
              <w:rPr>
                <w:sz w:val="20"/>
                <w:szCs w:val="20"/>
                <w:color w:val="auto"/>
              </w:rPr>
            </w:pPr>
            <w:r>
              <w:rPr>
                <w:rFonts w:ascii="Arial" w:cs="Arial" w:eastAsia="Arial" w:hAnsi="Arial"/>
                <w:sz w:val="18"/>
                <w:szCs w:val="18"/>
                <w:color w:val="auto"/>
              </w:rPr>
              <w:t>31.2*</w:t>
            </w:r>
          </w:p>
        </w:tc>
        <w:tc>
          <w:tcPr>
            <w:tcW w:w="9920" w:type="dxa"/>
            <w:vAlign w:val="bottom"/>
            <w:gridSpan w:val="1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1200" w:type="dxa"/>
            <w:vAlign w:val="bottom"/>
          </w:tcPr>
          <w:p>
            <w:pPr>
              <w:spacing w:after="0"/>
              <w:rPr>
                <w:sz w:val="15"/>
                <w:szCs w:val="15"/>
                <w:color w:val="auto"/>
              </w:rPr>
            </w:pPr>
          </w:p>
        </w:tc>
        <w:tc>
          <w:tcPr>
            <w:tcW w:w="978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40" w:type="dxa"/>
            <w:vAlign w:val="bottom"/>
            <w:gridSpan w:val="2"/>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32.1*</w:t>
            </w:r>
          </w:p>
        </w:tc>
        <w:tc>
          <w:tcPr>
            <w:tcW w:w="9920" w:type="dxa"/>
            <w:vAlign w:val="bottom"/>
            <w:gridSpan w:val="18"/>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120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13"/>
          </w:tcPr>
          <w:p>
            <w:pPr>
              <w:spacing w:after="0"/>
              <w:rPr>
                <w:sz w:val="15"/>
                <w:szCs w:val="15"/>
                <w:color w:val="auto"/>
              </w:rPr>
            </w:pPr>
          </w:p>
        </w:tc>
        <w:tc>
          <w:tcPr>
            <w:tcW w:w="200" w:type="dxa"/>
            <w:vAlign w:val="bottom"/>
            <w:gridSpan w:val="3"/>
          </w:tcPr>
          <w:p>
            <w:pPr>
              <w:spacing w:after="0"/>
              <w:rPr>
                <w:sz w:val="15"/>
                <w:szCs w:val="15"/>
                <w:color w:val="auto"/>
              </w:rPr>
            </w:pPr>
          </w:p>
        </w:tc>
      </w:tr>
      <w:tr>
        <w:trPr>
          <w:trHeight w:val="304"/>
        </w:trPr>
        <w:tc>
          <w:tcPr>
            <w:tcW w:w="1200" w:type="dxa"/>
            <w:vAlign w:val="bottom"/>
          </w:tcPr>
          <w:p>
            <w:pPr>
              <w:ind w:left="100"/>
              <w:spacing w:after="0"/>
              <w:rPr>
                <w:sz w:val="20"/>
                <w:szCs w:val="20"/>
                <w:color w:val="auto"/>
              </w:rPr>
            </w:pPr>
            <w:r>
              <w:rPr>
                <w:rFonts w:ascii="Arial" w:cs="Arial" w:eastAsia="Arial" w:hAnsi="Arial"/>
                <w:sz w:val="18"/>
                <w:szCs w:val="18"/>
                <w:color w:val="auto"/>
              </w:rPr>
              <w:t>32.2*</w:t>
            </w:r>
          </w:p>
        </w:tc>
        <w:tc>
          <w:tcPr>
            <w:tcW w:w="9920" w:type="dxa"/>
            <w:vAlign w:val="bottom"/>
            <w:gridSpan w:val="1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20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12"/>
          </w:tcPr>
          <w:p>
            <w:pPr>
              <w:spacing w:after="0"/>
              <w:rPr>
                <w:sz w:val="15"/>
                <w:szCs w:val="15"/>
                <w:color w:val="auto"/>
              </w:rPr>
            </w:pPr>
          </w:p>
        </w:tc>
        <w:tc>
          <w:tcPr>
            <w:tcW w:w="260" w:type="dxa"/>
            <w:vAlign w:val="bottom"/>
            <w:gridSpan w:val="4"/>
          </w:tcPr>
          <w:p>
            <w:pPr>
              <w:spacing w:after="0"/>
              <w:rPr>
                <w:sz w:val="15"/>
                <w:szCs w:val="15"/>
                <w:color w:val="auto"/>
              </w:rPr>
            </w:pPr>
          </w:p>
        </w:tc>
      </w:tr>
      <w:tr>
        <w:trPr>
          <w:trHeight w:val="304"/>
        </w:trPr>
        <w:tc>
          <w:tcPr>
            <w:tcW w:w="1200" w:type="dxa"/>
            <w:vAlign w:val="bottom"/>
          </w:tcPr>
          <w:p>
            <w:pPr>
              <w:ind w:left="140"/>
              <w:spacing w:after="0"/>
              <w:rPr>
                <w:sz w:val="20"/>
                <w:szCs w:val="20"/>
                <w:color w:val="auto"/>
              </w:rPr>
            </w:pPr>
            <w:r>
              <w:rPr>
                <w:rFonts w:ascii="Arial" w:cs="Arial" w:eastAsia="Arial" w:hAnsi="Arial"/>
                <w:sz w:val="18"/>
                <w:szCs w:val="18"/>
                <w:color w:val="auto"/>
              </w:rPr>
              <w:t>97.1#</w:t>
            </w:r>
          </w:p>
        </w:tc>
        <w:tc>
          <w:tcPr>
            <w:tcW w:w="9920" w:type="dxa"/>
            <w:vAlign w:val="bottom"/>
            <w:gridSpan w:val="18"/>
          </w:tcPr>
          <w:p>
            <w:pPr>
              <w:spacing w:after="0"/>
              <w:rPr>
                <w:rFonts w:ascii="Arial" w:cs="Arial" w:eastAsia="Arial" w:hAnsi="Arial"/>
                <w:sz w:val="18"/>
                <w:szCs w:val="18"/>
                <w:color w:val="0000FF"/>
              </w:rPr>
            </w:pPr>
            <w:hyperlink r:id="rId319">
              <w:r>
                <w:rPr>
                  <w:rFonts w:ascii="Arial" w:cs="Arial" w:eastAsia="Arial" w:hAnsi="Arial"/>
                  <w:sz w:val="18"/>
                  <w:szCs w:val="18"/>
                  <w:color w:val="0000FF"/>
                </w:rPr>
                <w:t>Parsons Corporation Executive Compensation Clawback Policy</w:t>
              </w:r>
            </w:hyperlink>
          </w:p>
        </w:tc>
      </w:tr>
      <w:tr>
        <w:trPr>
          <w:trHeight w:val="20"/>
        </w:trPr>
        <w:tc>
          <w:tcPr>
            <w:tcW w:w="1200" w:type="dxa"/>
            <w:vAlign w:val="bottom"/>
          </w:tcPr>
          <w:p>
            <w:pPr>
              <w:spacing w:after="0" w:line="20" w:lineRule="exact"/>
              <w:rPr>
                <w:sz w:val="1"/>
                <w:szCs w:val="1"/>
                <w:color w:val="auto"/>
              </w:rPr>
            </w:pPr>
          </w:p>
        </w:tc>
        <w:tc>
          <w:tcPr>
            <w:tcW w:w="5060" w:type="dxa"/>
            <w:vAlign w:val="bottom"/>
            <w:tcBorders>
              <w:right w:val="single" w:sz="8" w:color="0000EE"/>
            </w:tcBorders>
            <w:gridSpan w:val="7"/>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r>
      <w:tr>
        <w:trPr>
          <w:trHeight w:val="304"/>
        </w:trPr>
        <w:tc>
          <w:tcPr>
            <w:tcW w:w="1200" w:type="dxa"/>
            <w:vAlign w:val="bottom"/>
          </w:tcPr>
          <w:p>
            <w:pPr>
              <w:ind w:left="140"/>
              <w:spacing w:after="0"/>
              <w:rPr>
                <w:sz w:val="20"/>
                <w:szCs w:val="20"/>
                <w:color w:val="auto"/>
              </w:rPr>
            </w:pPr>
            <w:r>
              <w:rPr>
                <w:rFonts w:ascii="Arial" w:cs="Arial" w:eastAsia="Arial" w:hAnsi="Arial"/>
                <w:sz w:val="18"/>
                <w:szCs w:val="18"/>
                <w:color w:val="auto"/>
              </w:rPr>
              <w:t>97.2#</w:t>
            </w:r>
          </w:p>
        </w:tc>
        <w:tc>
          <w:tcPr>
            <w:tcW w:w="6080" w:type="dxa"/>
            <w:vAlign w:val="bottom"/>
            <w:tcBorders>
              <w:bottom w:val="single" w:sz="8" w:color="0000FF"/>
            </w:tcBorders>
            <w:gridSpan w:val="8"/>
          </w:tcPr>
          <w:p>
            <w:pPr>
              <w:spacing w:after="0"/>
              <w:rPr>
                <w:rFonts w:ascii="Arial" w:cs="Arial" w:eastAsia="Arial" w:hAnsi="Arial"/>
                <w:sz w:val="18"/>
                <w:szCs w:val="18"/>
                <w:color w:val="0000FF"/>
                <w:w w:val="99"/>
              </w:rPr>
            </w:pPr>
            <w:hyperlink r:id="rId320">
              <w:r>
                <w:rPr>
                  <w:rFonts w:ascii="Arial" w:cs="Arial" w:eastAsia="Arial" w:hAnsi="Arial"/>
                  <w:sz w:val="18"/>
                  <w:szCs w:val="18"/>
                  <w:color w:val="0000FF"/>
                  <w:w w:val="99"/>
                </w:rPr>
                <w:t>Parsons Corporation Dodd-Frank Compliant Compensation Clawback Policy</w:t>
              </w:r>
            </w:hyperlink>
          </w:p>
        </w:tc>
        <w:tc>
          <w:tcPr>
            <w:tcW w:w="20" w:type="dxa"/>
            <w:vAlign w:val="bottom"/>
            <w:tcBorders>
              <w:bottom w:val="single" w:sz="8" w:color="0000EE"/>
            </w:tcBorders>
          </w:tcPr>
          <w:p>
            <w:pPr>
              <w:spacing w:after="0"/>
              <w:rPr>
                <w:sz w:val="24"/>
                <w:szCs w:val="24"/>
                <w:color w:val="auto"/>
              </w:rPr>
            </w:pPr>
          </w:p>
        </w:tc>
        <w:tc>
          <w:tcPr>
            <w:tcW w:w="3820" w:type="dxa"/>
            <w:vAlign w:val="bottom"/>
            <w:gridSpan w:val="9"/>
          </w:tcPr>
          <w:p>
            <w:pPr>
              <w:spacing w:after="0"/>
              <w:rPr>
                <w:sz w:val="24"/>
                <w:szCs w:val="24"/>
                <w:color w:val="auto"/>
              </w:rPr>
            </w:pPr>
          </w:p>
        </w:tc>
      </w:tr>
      <w:tr>
        <w:trPr>
          <w:trHeight w:val="312"/>
        </w:trPr>
        <w:tc>
          <w:tcPr>
            <w:tcW w:w="1200" w:type="dxa"/>
            <w:vAlign w:val="bottom"/>
          </w:tcPr>
          <w:p>
            <w:pPr>
              <w:ind w:left="100"/>
              <w:spacing w:after="0"/>
              <w:rPr>
                <w:sz w:val="20"/>
                <w:szCs w:val="20"/>
                <w:color w:val="auto"/>
              </w:rPr>
            </w:pPr>
            <w:r>
              <w:rPr>
                <w:rFonts w:ascii="Arial" w:cs="Arial" w:eastAsia="Arial" w:hAnsi="Arial"/>
                <w:sz w:val="18"/>
                <w:szCs w:val="18"/>
                <w:color w:val="auto"/>
              </w:rPr>
              <w:t>101*</w:t>
            </w:r>
          </w:p>
        </w:tc>
        <w:tc>
          <w:tcPr>
            <w:tcW w:w="9920" w:type="dxa"/>
            <w:vAlign w:val="bottom"/>
            <w:gridSpan w:val="18"/>
          </w:tcPr>
          <w:p>
            <w:pPr>
              <w:spacing w:after="0"/>
              <w:rPr>
                <w:sz w:val="20"/>
                <w:szCs w:val="20"/>
                <w:color w:val="auto"/>
              </w:rPr>
            </w:pPr>
            <w:r>
              <w:rPr>
                <w:rFonts w:ascii="Arial" w:cs="Arial" w:eastAsia="Arial" w:hAnsi="Arial"/>
                <w:sz w:val="18"/>
                <w:szCs w:val="18"/>
                <w:color w:val="auto"/>
                <w:w w:val="99"/>
              </w:rPr>
              <w:t>The following financial statements from the Company’s Annual Report on Form 10-K for the year ended December 31, 2025,</w:t>
            </w:r>
          </w:p>
        </w:tc>
      </w:tr>
      <w:tr>
        <w:trPr>
          <w:trHeight w:val="203"/>
        </w:trPr>
        <w:tc>
          <w:tcPr>
            <w:tcW w:w="120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rPr>
              <w:t>formatted in Inline XBRL Taxonomy Extension Schema With Embedded Linkbases Document: (i) Consolidated Balance</w:t>
            </w:r>
          </w:p>
        </w:tc>
      </w:tr>
      <w:tr>
        <w:trPr>
          <w:trHeight w:val="203"/>
        </w:trPr>
        <w:tc>
          <w:tcPr>
            <w:tcW w:w="120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rPr>
              <w:t>Sheets, (ii) Consolidated Statements of Earnings, (iii) Consolidated Statements of Comprehensive Income (Loss), (iv)</w:t>
            </w:r>
          </w:p>
        </w:tc>
      </w:tr>
      <w:tr>
        <w:trPr>
          <w:trHeight w:val="203"/>
        </w:trPr>
        <w:tc>
          <w:tcPr>
            <w:tcW w:w="120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w w:val="99"/>
              </w:rPr>
              <w:t>Consolidated Statements of Stockholders’ Equity, (v) Consolidated Statements of Cash Flows and (vi) Notes to Consolidated</w:t>
            </w:r>
          </w:p>
        </w:tc>
      </w:tr>
      <w:tr>
        <w:trPr>
          <w:trHeight w:val="239"/>
        </w:trPr>
        <w:tc>
          <w:tcPr>
            <w:tcW w:w="1200" w:type="dxa"/>
            <w:vAlign w:val="bottom"/>
          </w:tcPr>
          <w:p>
            <w:pPr>
              <w:spacing w:after="0"/>
              <w:rPr>
                <w:sz w:val="20"/>
                <w:szCs w:val="20"/>
                <w:color w:val="auto"/>
              </w:rPr>
            </w:pPr>
          </w:p>
        </w:tc>
        <w:tc>
          <w:tcPr>
            <w:tcW w:w="9920" w:type="dxa"/>
            <w:vAlign w:val="bottom"/>
            <w:gridSpan w:val="18"/>
          </w:tcPr>
          <w:p>
            <w:pPr>
              <w:spacing w:after="0"/>
              <w:rPr>
                <w:sz w:val="20"/>
                <w:szCs w:val="20"/>
                <w:color w:val="auto"/>
              </w:rPr>
            </w:pPr>
            <w:r>
              <w:rPr>
                <w:rFonts w:ascii="Arial" w:cs="Arial" w:eastAsia="Arial" w:hAnsi="Arial"/>
                <w:sz w:val="18"/>
                <w:szCs w:val="18"/>
                <w:color w:val="auto"/>
              </w:rPr>
              <w:t>Financial Statements, tagged as blocks of text and including detailed tags.</w:t>
            </w:r>
          </w:p>
        </w:tc>
      </w:tr>
      <w:tr>
        <w:trPr>
          <w:trHeight w:val="288"/>
        </w:trPr>
        <w:tc>
          <w:tcPr>
            <w:tcW w:w="1200" w:type="dxa"/>
            <w:vAlign w:val="bottom"/>
          </w:tcPr>
          <w:p>
            <w:pPr>
              <w:ind w:left="100"/>
              <w:spacing w:after="0"/>
              <w:rPr>
                <w:sz w:val="20"/>
                <w:szCs w:val="20"/>
                <w:color w:val="auto"/>
              </w:rPr>
            </w:pPr>
            <w:r>
              <w:rPr>
                <w:rFonts w:ascii="Arial" w:cs="Arial" w:eastAsia="Arial" w:hAnsi="Arial"/>
                <w:sz w:val="18"/>
                <w:szCs w:val="18"/>
                <w:color w:val="auto"/>
              </w:rPr>
              <w:t>104*</w:t>
            </w:r>
          </w:p>
        </w:tc>
        <w:tc>
          <w:tcPr>
            <w:tcW w:w="992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with applicable taxonomy extension information contained in</w:t>
            </w:r>
          </w:p>
        </w:tc>
      </w:tr>
      <w:tr>
        <w:trPr>
          <w:trHeight w:val="239"/>
        </w:trPr>
        <w:tc>
          <w:tcPr>
            <w:tcW w:w="1200" w:type="dxa"/>
            <w:vAlign w:val="bottom"/>
          </w:tcPr>
          <w:p>
            <w:pPr>
              <w:spacing w:after="0"/>
              <w:rPr>
                <w:sz w:val="20"/>
                <w:szCs w:val="20"/>
                <w:color w:val="auto"/>
              </w:rPr>
            </w:pPr>
          </w:p>
        </w:tc>
        <w:tc>
          <w:tcPr>
            <w:tcW w:w="9920" w:type="dxa"/>
            <w:vAlign w:val="bottom"/>
            <w:gridSpan w:val="18"/>
          </w:tcPr>
          <w:p>
            <w:pPr>
              <w:spacing w:after="0"/>
              <w:rPr>
                <w:sz w:val="20"/>
                <w:szCs w:val="20"/>
                <w:color w:val="auto"/>
              </w:rPr>
            </w:pPr>
            <w:r>
              <w:rPr>
                <w:rFonts w:ascii="Arial" w:cs="Arial" w:eastAsia="Arial" w:hAnsi="Arial"/>
                <w:sz w:val="18"/>
                <w:szCs w:val="18"/>
                <w:color w:val="auto"/>
              </w:rPr>
              <w:t>Exhibits 101).</w:t>
            </w:r>
          </w:p>
        </w:tc>
      </w:tr>
    </w:tbl>
    <w:p>
      <w:pPr>
        <w:spacing w:after="0" w:line="226"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22"/>
          <w:szCs w:val="22"/>
          <w:color w:val="auto"/>
        </w:rPr>
      </w:pPr>
      <w:r>
        <w:rPr>
          <w:rFonts w:ascii="Arial" w:cs="Arial" w:eastAsia="Arial" w:hAnsi="Arial"/>
          <w:sz w:val="18"/>
          <w:szCs w:val="18"/>
          <w:color w:val="auto"/>
        </w:rPr>
        <w:t>Filed herewith</w:t>
      </w:r>
      <w:r>
        <w:rPr>
          <w:rFonts w:ascii="Arial" w:cs="Arial" w:eastAsia="Arial" w:hAnsi="Arial"/>
          <w:sz w:val="21"/>
          <w:szCs w:val="21"/>
          <w:color w:val="auto"/>
        </w:rPr>
        <w:t>.</w:t>
      </w:r>
    </w:p>
    <w:p>
      <w:pPr>
        <w:spacing w:after="0" w:line="15" w:lineRule="exact"/>
        <w:rPr>
          <w:rFonts w:ascii="Arial" w:cs="Arial" w:eastAsia="Arial" w:hAnsi="Arial"/>
          <w:sz w:val="22"/>
          <w:szCs w:val="22"/>
          <w:color w:val="auto"/>
        </w:rPr>
      </w:pPr>
    </w:p>
    <w:p>
      <w:pPr>
        <w:spacing w:after="0" w:line="234" w:lineRule="auto"/>
        <w:rPr>
          <w:rFonts w:ascii="Arial" w:cs="Arial" w:eastAsia="Arial" w:hAnsi="Arial"/>
          <w:sz w:val="22"/>
          <w:szCs w:val="22"/>
          <w:color w:val="auto"/>
        </w:rPr>
      </w:pPr>
      <w:r>
        <w:rPr>
          <w:rFonts w:ascii="Arial" w:cs="Arial" w:eastAsia="Arial" w:hAnsi="Arial"/>
          <w:sz w:val="18"/>
          <w:szCs w:val="18"/>
          <w:color w:val="auto"/>
        </w:rPr>
        <w:t>#   Previously filed.</w:t>
      </w:r>
    </w:p>
    <w:p>
      <w:pPr>
        <w:spacing w:after="0"/>
        <w:rPr>
          <w:rFonts w:ascii="Arial" w:cs="Arial" w:eastAsia="Arial" w:hAnsi="Arial"/>
          <w:sz w:val="22"/>
          <w:szCs w:val="22"/>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903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440"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February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Carey A. Smith</w:t>
      </w:r>
    </w:p>
    <w:p>
      <w:pPr>
        <w:jc w:val="center"/>
        <w:ind w:left="60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7" w:right="339"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Carey A. Smith</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Matthew M. Ofilos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George L. Ball</w:t>
      </w:r>
    </w:p>
    <w:p>
      <w:pPr>
        <w:spacing w:after="0" w:line="5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Mark K. Holdsworth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Mark K. Holdsworth</w:t>
      </w:r>
    </w:p>
    <w:p>
      <w:pPr>
        <w:spacing w:after="0" w:line="5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Steven F. 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Steven F. Leer</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Letitia 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Letitia A. Long</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Ellen M. 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Ellen M. Lord</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Darren W. McDew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Darren W. McDew</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Harry T.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Harry T. McMahon</w:t>
      </w:r>
    </w:p>
    <w:p>
      <w:pPr>
        <w:spacing w:after="0" w:line="5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M. Christian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600" w:right="180" w:hanging="49"/>
        <w:spacing w:after="0" w:line="306" w:lineRule="auto"/>
        <w:rPr>
          <w:sz w:val="20"/>
          <w:szCs w:val="20"/>
          <w:color w:val="auto"/>
        </w:rPr>
      </w:pPr>
      <w:r>
        <w:rPr>
          <w:rFonts w:ascii="Arial" w:cs="Arial" w:eastAsia="Arial" w:hAnsi="Arial"/>
          <w:sz w:val="17"/>
          <w:szCs w:val="17"/>
          <w:color w:val="auto"/>
        </w:rPr>
        <w:t>M. Christian Mitchell /s/ Robert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714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8"/>
          <w:szCs w:val="18"/>
          <w:color w:val="auto"/>
        </w:rPr>
        <w:t>Robert H. Smith</w:t>
      </w:r>
    </w:p>
    <w:p>
      <w:pPr>
        <w:spacing w:after="0" w:line="5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Suzanne M. Vautrinot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left="480" w:right="120"/>
        <w:spacing w:after="0" w:line="289" w:lineRule="auto"/>
        <w:rPr>
          <w:sz w:val="20"/>
          <w:szCs w:val="20"/>
          <w:color w:val="auto"/>
        </w:rPr>
      </w:pPr>
      <w:r>
        <w:rPr>
          <w:rFonts w:ascii="Arial" w:cs="Arial" w:eastAsia="Arial" w:hAnsi="Arial"/>
          <w:sz w:val="18"/>
          <w:szCs w:val="18"/>
          <w:color w:val="auto"/>
        </w:rPr>
        <w:t>Suzanne M. Vautrinot /s/ David C. Wajsgras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714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David C. Wajsgras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20" w:type="dxa"/>
            <w:vAlign w:val="bottom"/>
          </w:tcPr>
          <w:p>
            <w:pPr>
              <w:spacing w:after="0"/>
              <w:rPr>
                <w:sz w:val="19"/>
                <w:szCs w:val="19"/>
                <w:color w:val="auto"/>
              </w:rPr>
            </w:pPr>
          </w:p>
        </w:tc>
        <w:tc>
          <w:tcPr>
            <w:tcW w:w="26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Date</w:t>
            </w:r>
          </w:p>
        </w:tc>
      </w:tr>
      <w:tr>
        <w:trPr>
          <w:trHeight w:val="272"/>
        </w:trPr>
        <w:tc>
          <w:tcPr>
            <w:tcW w:w="562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239"/>
        </w:trPr>
        <w:tc>
          <w:tcPr>
            <w:tcW w:w="56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61"/>
        </w:trPr>
        <w:tc>
          <w:tcPr>
            <w:tcW w:w="562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239"/>
        </w:trPr>
        <w:tc>
          <w:tcPr>
            <w:tcW w:w="5620" w:type="dxa"/>
            <w:vAlign w:val="bottom"/>
          </w:tcPr>
          <w:p>
            <w:pPr>
              <w:jc w:val="center"/>
              <w:spacing w:after="0"/>
              <w:rPr>
                <w:sz w:val="20"/>
                <w:szCs w:val="20"/>
                <w:color w:val="auto"/>
              </w:rPr>
            </w:pPr>
            <w:r>
              <w:rPr>
                <w:rFonts w:ascii="Arial" w:cs="Arial" w:eastAsia="Arial" w:hAnsi="Arial"/>
                <w:sz w:val="18"/>
                <w:szCs w:val="18"/>
                <w:color w:val="auto"/>
              </w:rPr>
              <w:t>(Principal Financial and Accounting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78"/>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499"/>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499"/>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499"/>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r>
        <w:trPr>
          <w:trHeight w:val="499"/>
        </w:trPr>
        <w:tc>
          <w:tcPr>
            <w:tcW w:w="56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11, 2026</w:t>
            </w:r>
          </w:p>
        </w:tc>
      </w:tr>
    </w:tbl>
    <w:p>
      <w:pPr>
        <w:spacing w:after="0" w:line="388" w:lineRule="exact"/>
        <w:rPr>
          <w:sz w:val="20"/>
          <w:szCs w:val="20"/>
          <w:color w:val="auto"/>
        </w:rPr>
      </w:pPr>
    </w:p>
    <w:p>
      <w:pPr>
        <w:sectPr>
          <w:pgSz w:w="11900" w:h="16838" w:orient="portrait"/>
          <w:cols w:equalWidth="0" w:num="2">
            <w:col w:w="2340" w:space="480"/>
            <w:col w:w="8420"/>
          </w:cols>
          <w:pgMar w:left="320" w:top="141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5" w:name="page96"/>
    <w:bookmarkEnd w:id="95"/>
    <w:p>
      <w:pPr>
        <w:ind w:left="35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0000FF"/>
        </w:rPr>
        <w:t xml:space="preserve"> </w:t>
      </w:r>
      <w:r>
        <w:rPr>
          <w:rFonts w:ascii="Arial" w:cs="Arial" w:eastAsia="Arial" w:hAnsi="Arial"/>
          <w:sz w:val="18"/>
          <w:szCs w:val="18"/>
          <w:color w:val="000000"/>
        </w:rPr>
        <w:t>(PCAOB ID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216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9">
                      <a:extLst>
                        <a:ext uri="{28A0092B-C50C-407E-A947-70E740481C1C}"/>
                      </a:extLst>
                    </a:blip>
                    <a:srcRect/>
                    <a:stretch>
                      <a:fillRect/>
                    </a:stretch>
                  </pic:blipFill>
                  <pic:spPr bwMode="auto">
                    <a:xfrm>
                      <a:off x="0" y="0"/>
                      <a:ext cx="29216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Consolidated Balance Sheets as of December 31,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0716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0">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Consolidated Statements of Income for the Years ended December 31, 2025,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9796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1">
                      <a:extLst>
                        <a:ext uri="{28A0092B-C50C-407E-A947-70E740481C1C}"/>
                      </a:extLst>
                    </a:blip>
                    <a:srcRect/>
                    <a:stretch>
                      <a:fillRect/>
                    </a:stretch>
                  </pic:blipFill>
                  <pic:spPr bwMode="auto">
                    <a:xfrm>
                      <a:off x="0" y="0"/>
                      <a:ext cx="49796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2255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0000FF"/>
        </w:rPr>
        <w:t>Consolidated Statements of Comprehensive Income for the Years ended 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67811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3">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2540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4">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3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u w:val="single" w:color="auto"/>
          <w:color w:val="0000FF"/>
        </w:rPr>
        <w:t>Consolidated Statements of Changes in Shareholders’ Equity for the Years ended 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64909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5">
                      <a:extLst>
                        <a:ext uri="{28A0092B-C50C-407E-A947-70E740481C1C}"/>
                      </a:extLst>
                    </a:blip>
                    <a:srcRect/>
                    <a:stretch>
                      <a:fillRect/>
                    </a:stretch>
                  </pic:blipFill>
                  <pic:spPr bwMode="auto">
                    <a:xfrm>
                      <a:off x="0" y="0"/>
                      <a:ext cx="64909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10033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9" w:lineRule="exact"/>
        <w:rPr>
          <w:sz w:val="20"/>
          <w:szCs w:val="20"/>
          <w:color w:val="auto"/>
        </w:rPr>
      </w:pPr>
    </w:p>
    <w:p>
      <w:pPr>
        <w:ind w:right="4120"/>
        <w:spacing w:after="0" w:line="271" w:lineRule="auto"/>
        <w:rPr>
          <w:sz w:val="20"/>
          <w:szCs w:val="20"/>
          <w:color w:val="auto"/>
        </w:rPr>
      </w:pPr>
      <w:r>
        <w:rPr>
          <w:rFonts w:ascii="Arial" w:cs="Arial" w:eastAsia="Arial" w:hAnsi="Arial"/>
          <w:sz w:val="18"/>
          <w:szCs w:val="18"/>
          <w:u w:val="single" w:color="auto"/>
          <w:color w:val="0000FF"/>
        </w:rPr>
        <w:t>Consolidated Statements of Cash Flows for the Years ended 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41344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7">
                      <a:extLst>
                        <a:ext uri="{28A0092B-C50C-407E-A947-70E740481C1C}"/>
                      </a:extLst>
                    </a:blip>
                    <a:srcRect/>
                    <a:stretch>
                      <a:fillRect/>
                    </a:stretch>
                  </pic:blipFill>
                  <pic:spPr bwMode="auto">
                    <a:xfrm>
                      <a:off x="0" y="0"/>
                      <a:ext cx="4134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22612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8">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2231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9">
                      <a:extLst>
                        <a:ext uri="{28A0092B-C50C-407E-A947-70E740481C1C}"/>
                      </a:extLst>
                    </a:blip>
                    <a:srcRect/>
                    <a:stretch>
                      <a:fillRect/>
                    </a:stretch>
                  </pic:blipFill>
                  <pic:spPr bwMode="auto">
                    <a:xfrm>
                      <a:off x="0" y="0"/>
                      <a:ext cx="2223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F-10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F-11</w:t>
      </w:r>
    </w:p>
    <w:p>
      <w:pPr>
        <w:sectPr>
          <w:pgSz w:w="11900" w:h="16838" w:orient="portrait"/>
          <w:cols w:equalWidth="0" w:num="2">
            <w:col w:w="10640" w:space="220"/>
            <w:col w:w="360"/>
          </w:cols>
          <w:pgMar w:left="320" w:top="1417" w:right="359" w:bottom="1440" w:gutter="0" w:footer="0" w:header="0"/>
        </w:sectPr>
      </w:pPr>
    </w:p>
    <w:bookmarkStart w:id="96" w:name="page97"/>
    <w:bookmarkEnd w:id="96"/>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Parsons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4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We have audited the accompanying consolidated balance sheets of Parsons Corporation and its subsidiaries (the "Company") as of December 31, 2025 and 2024, and the related consolidated statements of income, of comprehensive income, of changes in shareholders' equity and of cash flows for each of the three years in the period ended December 31, 2025, including the related notes and schedule of valuation and qualifying accounts for each of the three years in the period ended December 31, 2025 appearing under Item 15(a)(2)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17"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w:t>
      </w:r>
      <w:r>
        <w:rPr>
          <w:rFonts w:ascii="Arial" w:cs="Arial" w:eastAsia="Arial" w:hAnsi="Arial"/>
          <w:sz w:val="18"/>
          <w:szCs w:val="18"/>
          <w:i w:val="1"/>
          <w:iCs w:val="1"/>
          <w:color w:val="auto"/>
        </w:rPr>
        <w:t>nternal Control - Integrated Framework</w:t>
      </w:r>
      <w:r>
        <w:rPr>
          <w:rFonts w:ascii="Arial" w:cs="Arial" w:eastAsia="Arial" w:hAnsi="Arial"/>
          <w:sz w:val="18"/>
          <w:szCs w:val="18"/>
          <w:color w:val="auto"/>
        </w:rPr>
        <w:t xml:space="preserve"> (2013) issued by the COSO.</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4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TRS Group, Inc. ("TRS"), Chesapeake Technology International, Corp ("CTI"), and Applied Sciences Consulting, Inc. ("ASC") from its assessment of internal control over financial reporting as of December 31, 2025 because they were acquired by the Company in purchase business combinations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spacing w:after="0" w:line="15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during 2025. We have also excluded TRS, CTI and ASC from our audit of internal control over financial reporting. TRS, CTI and ASC are wholly-owned subsidiaries whose total assets and total revenues excluded from management’s assessment and our audit of internal control over financial reporting collectively represent approximately 0.8% and 1.1%, respectively, of the related consolidated financial statement amounts as of and for the year ended December 31, 2025.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6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3"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i w:val="1"/>
          <w:iCs w:val="1"/>
          <w:color w:val="auto"/>
        </w:rPr>
        <w:t>Revenue Recognition – Determination of Estimated Contract Cost and Variable Consideration Related to Estimated Claims Revenue for Fixed-Price Contracts Recognized Over Time</w:t>
      </w:r>
    </w:p>
    <w:p>
      <w:pPr>
        <w:spacing w:after="0" w:line="1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described in Notes 2 and 4 to the consolidated financial statements, revenue is derived from long-term contracts with customers whereby the Company provides planning, design, engineering, technical, and construction and program management services. The Company enters into cost-plus, time-and-materials, and fixed-price contracts with its customers. Fixed-price contract revenue recognized was $2.1 billion for the year ended December 31, 2025, which accounts for approximately 34% of the Company’s consolidated revenue. Fixed-price contract revenue is recognized over time using an input measure (i.e., costs incurred to date relative to total estimated costs at completion) to measure progress. Under the cost-to-cost measure of progress method, the extent of progress towards completion is measured based on the ratio of total costs incurred-to-date to the total estimated costs at completion of the performance obligation. Revenues, including estimated fees or profits, are recorded proportionally as costs are incurred. Management includes variable consideration, such as claims revenue, in the estimated transaction price to the extent it is probable that a significant reversal of cumulative revenue recognized will not occur or when the uncertainty associated with the variable consideration is resolved. Contract costs consist of direct costs on contracts, including labor and materials, amounts payable to subcontractors, direct overhead costs and equipment expense (primarily depreciation, fuel, maintenance and repairs). Changes to estimated contract costs, either due to unexpected events or revisions to management’s initial estimates, for a given project are recognized in the period in which they are determined. Recognition of profit on long-term contracts requires the use of assumptions and estimates related to total contract revenue and in particular estimated claims revenue, total estimated cost at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5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completion, and the measurement of progress towards completion. Management’s estimates are continually evaluated as work progresses and are revised when necessary.</w:t>
      </w:r>
    </w:p>
    <w:p>
      <w:pPr>
        <w:spacing w:after="0" w:line="8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specifically the determination of estimated contract cost and variable consideration related to estimated claims revenue for fixed-price contracts recognized over time is a critical audit matter are (i) the significant judgment by management in determining the estimated contract cost and variable consideration related to estimated claims revenue for fixed-price contracts recognized over time; (ii) a high degree of auditor judgment, subjectivity, and effort in performing procedures and evaluating audit evidence for the estimated contract cost and variable consideration related to estimated claims revenue for fixed-price contracts recognized over time.</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contract cost and variable consideration related to estimated claims revenue for fixed-price contracts recognized over time. These procedures also included, among others, for a selection of fixed-price contracts (i) evaluating and testing management’s process for determining the estimated contract cost and variable consideration related to estimated claims revenue, which included reading contracts and other documents related to the estimates, and testing of underlying incurred and estimated contract costs; (ii) assessing management’s ability to reasonably estimate total contract costs by performing a comparison of the actual estimated contract cost as compared with prior period estimates, including evaluating the timely identification of circumstances that may warrant a modification to the estimated contract cost; and (iii) evaluating estimated claims revenue by inquiry with external legal counsel regarding the underlying claim and agreeing estimated claims revenue to documents related to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11, 2026</w:t>
      </w:r>
    </w:p>
    <w:p>
      <w:pPr>
        <w:spacing w:after="0" w:line="11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have served as the Company’s auditor since at least 1969. We have not been able to determine the specific year we began serving as auditor of the Company.</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shares and par value)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28"/>
        </w:trPr>
        <w:tc>
          <w:tcPr>
            <w:tcW w:w="7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Cash and cash equivalents (including $153,144 and $202,121 Cash of consolidated joint ventures)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466,388</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453,548</w:t>
            </w:r>
          </w:p>
        </w:tc>
        <w:tc>
          <w:tcPr>
            <w:tcW w:w="0" w:type="dxa"/>
            <w:vAlign w:val="bottom"/>
          </w:tcPr>
          <w:p>
            <w:pPr>
              <w:spacing w:after="0"/>
              <w:rPr>
                <w:sz w:val="1"/>
                <w:szCs w:val="1"/>
                <w:color w:val="auto"/>
              </w:rPr>
            </w:pPr>
          </w:p>
        </w:tc>
      </w:tr>
      <w:tr>
        <w:trPr>
          <w:trHeight w:val="162"/>
        </w:trPr>
        <w:tc>
          <w:tcPr>
            <w:tcW w:w="7800" w:type="dxa"/>
            <w:vAlign w:val="bottom"/>
          </w:tcPr>
          <w:p>
            <w:pPr>
              <w:ind w:left="280"/>
              <w:spacing w:after="0"/>
              <w:rPr>
                <w:sz w:val="20"/>
                <w:szCs w:val="20"/>
                <w:color w:val="auto"/>
              </w:rPr>
            </w:pPr>
            <w:r>
              <w:rPr>
                <w:rFonts w:ascii="Arial" w:cs="Arial" w:eastAsia="Arial" w:hAnsi="Arial"/>
                <w:sz w:val="14"/>
                <w:szCs w:val="14"/>
                <w:color w:val="auto"/>
              </w:rPr>
              <w:t>Accounts receivable, net (including $337,270 and $294,700 Accounts receivable of 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1,124,417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1,100,396</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Contract assets (including $41,318 and $7,906 Contract assets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915,806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741,504</w:t>
            </w:r>
          </w:p>
        </w:tc>
        <w:tc>
          <w:tcPr>
            <w:tcW w:w="0" w:type="dxa"/>
            <w:vAlign w:val="bottom"/>
          </w:tcPr>
          <w:p>
            <w:pPr>
              <w:spacing w:after="0"/>
              <w:rPr>
                <w:sz w:val="1"/>
                <w:szCs w:val="1"/>
                <w:color w:val="auto"/>
              </w:rPr>
            </w:pPr>
          </w:p>
        </w:tc>
      </w:tr>
      <w:tr>
        <w:trPr>
          <w:trHeight w:val="153"/>
        </w:trPr>
        <w:tc>
          <w:tcPr>
            <w:tcW w:w="7800" w:type="dxa"/>
            <w:vAlign w:val="bottom"/>
          </w:tcPr>
          <w:p>
            <w:pPr>
              <w:ind w:left="280"/>
              <w:spacing w:after="0" w:line="153" w:lineRule="exact"/>
              <w:rPr>
                <w:sz w:val="20"/>
                <w:szCs w:val="20"/>
                <w:color w:val="auto"/>
              </w:rPr>
            </w:pPr>
            <w:r>
              <w:rPr>
                <w:rFonts w:ascii="Arial" w:cs="Arial" w:eastAsia="Arial" w:hAnsi="Arial"/>
                <w:sz w:val="14"/>
                <w:szCs w:val="14"/>
                <w:color w:val="auto"/>
              </w:rPr>
              <w:t>Prepaid expenses and other current assets (including $11,145 and $14,723 Prepaid expenses and other current</w:t>
            </w:r>
          </w:p>
        </w:tc>
        <w:tc>
          <w:tcPr>
            <w:tcW w:w="1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176,932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166,952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240"/>
              <w:spacing w:after="0" w:line="158" w:lineRule="exact"/>
              <w:rPr>
                <w:sz w:val="20"/>
                <w:szCs w:val="20"/>
                <w:color w:val="auto"/>
              </w:rPr>
            </w:pPr>
            <w:r>
              <w:rPr>
                <w:rFonts w:ascii="Arial" w:cs="Arial" w:eastAsia="Arial" w:hAnsi="Arial"/>
                <w:sz w:val="14"/>
                <w:szCs w:val="14"/>
                <w:color w:val="auto"/>
              </w:rPr>
              <w:t>assets of consolidated joint ventures)</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2,683,543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2,462,400</w:t>
            </w:r>
          </w:p>
        </w:tc>
        <w:tc>
          <w:tcPr>
            <w:tcW w:w="0" w:type="dxa"/>
            <w:vAlign w:val="bottom"/>
          </w:tcPr>
          <w:p>
            <w:pPr>
              <w:spacing w:after="0"/>
              <w:rPr>
                <w:sz w:val="1"/>
                <w:szCs w:val="1"/>
                <w:color w:val="auto"/>
              </w:rPr>
            </w:pPr>
          </w:p>
        </w:tc>
      </w:tr>
      <w:tr>
        <w:trPr>
          <w:trHeight w:val="156"/>
        </w:trPr>
        <w:tc>
          <w:tcPr>
            <w:tcW w:w="78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Property and Equipment, net (including $2,488 and $2,971 Property and equipment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151,061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111,575</w:t>
            </w:r>
          </w:p>
        </w:tc>
        <w:tc>
          <w:tcPr>
            <w:tcW w:w="0" w:type="dxa"/>
            <w:vAlign w:val="bottom"/>
          </w:tcPr>
          <w:p>
            <w:pPr>
              <w:spacing w:after="0"/>
              <w:rPr>
                <w:sz w:val="1"/>
                <w:szCs w:val="1"/>
                <w:color w:val="auto"/>
              </w:rPr>
            </w:pPr>
          </w:p>
        </w:tc>
      </w:tr>
      <w:tr>
        <w:trPr>
          <w:trHeight w:val="153"/>
        </w:trPr>
        <w:tc>
          <w:tcPr>
            <w:tcW w:w="7800" w:type="dxa"/>
            <w:vAlign w:val="bottom"/>
          </w:tcPr>
          <w:p>
            <w:pPr>
              <w:ind w:left="240"/>
              <w:spacing w:after="0" w:line="153" w:lineRule="exact"/>
              <w:rPr>
                <w:sz w:val="20"/>
                <w:szCs w:val="20"/>
                <w:color w:val="auto"/>
              </w:rPr>
            </w:pPr>
            <w:r>
              <w:rPr>
                <w:rFonts w:ascii="Arial" w:cs="Arial" w:eastAsia="Arial" w:hAnsi="Arial"/>
                <w:sz w:val="14"/>
                <w:szCs w:val="14"/>
                <w:color w:val="auto"/>
              </w:rPr>
              <w:t>Right of use assets, operating leases (including $4,482 and $5,726 Right of use assets, operating leases of</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40"/>
              <w:spacing w:after="0"/>
              <w:rPr>
                <w:sz w:val="20"/>
                <w:szCs w:val="20"/>
                <w:color w:val="auto"/>
              </w:rPr>
            </w:pPr>
            <w:r>
              <w:rPr>
                <w:rFonts w:ascii="Arial" w:cs="Arial" w:eastAsia="Arial" w:hAnsi="Arial"/>
                <w:sz w:val="14"/>
                <w:szCs w:val="14"/>
                <w:color w:val="auto"/>
              </w:rPr>
              <w:t>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126,770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153,048</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2,186,650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2,082,680</w:t>
            </w: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148,640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138,759</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325,880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349,937</w:t>
            </w: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88,191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133,450</w:t>
            </w:r>
          </w:p>
        </w:tc>
        <w:tc>
          <w:tcPr>
            <w:tcW w:w="0" w:type="dxa"/>
            <w:vAlign w:val="bottom"/>
          </w:tcPr>
          <w:p>
            <w:pPr>
              <w:spacing w:after="0"/>
              <w:rPr>
                <w:sz w:val="1"/>
                <w:szCs w:val="1"/>
                <w:color w:val="auto"/>
              </w:rPr>
            </w:pPr>
          </w:p>
        </w:tc>
      </w:tr>
      <w:tr>
        <w:trPr>
          <w:trHeight w:val="162"/>
        </w:trPr>
        <w:tc>
          <w:tcPr>
            <w:tcW w:w="7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58,799</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0" w:type="dxa"/>
            <w:vAlign w:val="bottom"/>
          </w:tcPr>
          <w:p>
            <w:pPr>
              <w:ind w:left="380"/>
              <w:spacing w:after="0" w:line="155" w:lineRule="exact"/>
              <w:rPr>
                <w:sz w:val="20"/>
                <w:szCs w:val="20"/>
                <w:color w:val="auto"/>
              </w:rPr>
            </w:pPr>
            <w:r>
              <w:rPr>
                <w:rFonts w:ascii="Arial" w:cs="Arial" w:eastAsia="Arial" w:hAnsi="Arial"/>
                <w:sz w:val="14"/>
                <w:szCs w:val="14"/>
                <w:color w:val="auto"/>
              </w:rPr>
              <w:t>Total assets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5,769,534</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5,487,962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0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Accounts payable (including $58,914 and $28,214 Accounts payable of consolidated joint ventures)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250,514</w:t>
            </w:r>
          </w:p>
        </w:tc>
        <w:tc>
          <w:tcPr>
            <w:tcW w:w="14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207,589</w:t>
            </w:r>
          </w:p>
        </w:tc>
        <w:tc>
          <w:tcPr>
            <w:tcW w:w="0" w:type="dxa"/>
            <w:vAlign w:val="bottom"/>
          </w:tcPr>
          <w:p>
            <w:pPr>
              <w:spacing w:after="0"/>
              <w:rPr>
                <w:sz w:val="1"/>
                <w:szCs w:val="1"/>
                <w:color w:val="auto"/>
              </w:rPr>
            </w:pPr>
          </w:p>
        </w:tc>
      </w:tr>
      <w:tr>
        <w:trPr>
          <w:trHeight w:val="153"/>
        </w:trPr>
        <w:tc>
          <w:tcPr>
            <w:tcW w:w="780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Accrued expenses and other current liabilities (including $195,747 and $198,797 Accrued expenses and other</w:t>
            </w: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current liabilities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884,445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894,425</w:t>
            </w: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Contract liabilities (including $44,802 and $66,144 Contract liabilities of 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340,113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289,799</w:t>
            </w:r>
          </w:p>
        </w:tc>
        <w:tc>
          <w:tcPr>
            <w:tcW w:w="0" w:type="dxa"/>
            <w:vAlign w:val="bottom"/>
          </w:tcPr>
          <w:p>
            <w:pPr>
              <w:spacing w:after="0"/>
              <w:rPr>
                <w:sz w:val="1"/>
                <w:szCs w:val="1"/>
                <w:color w:val="auto"/>
              </w:rPr>
            </w:pPr>
          </w:p>
        </w:tc>
      </w:tr>
      <w:tr>
        <w:trPr>
          <w:trHeight w:val="153"/>
        </w:trPr>
        <w:tc>
          <w:tcPr>
            <w:tcW w:w="780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Short-term lease liabilities, operating leases (including $2,395 and $3,522 Short-term lease liabilities, operating</w:t>
            </w: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45,353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52,725</w:t>
            </w: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11,239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62"/>
        </w:trPr>
        <w:tc>
          <w:tcPr>
            <w:tcW w:w="7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Short Term debt</w:t>
            </w: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463,405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0" w:type="dxa"/>
            <w:vAlign w:val="bottom"/>
          </w:tcPr>
          <w:p>
            <w:pPr>
              <w:ind w:left="380"/>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1,531,664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1,915,644</w:t>
            </w:r>
          </w:p>
        </w:tc>
        <w:tc>
          <w:tcPr>
            <w:tcW w:w="0" w:type="dxa"/>
            <w:vAlign w:val="bottom"/>
          </w:tcPr>
          <w:p>
            <w:pPr>
              <w:spacing w:after="0"/>
              <w:rPr>
                <w:sz w:val="1"/>
                <w:szCs w:val="1"/>
                <w:color w:val="auto"/>
              </w:rPr>
            </w:pPr>
          </w:p>
        </w:tc>
      </w:tr>
      <w:tr>
        <w:trPr>
          <w:trHeight w:val="156"/>
        </w:trPr>
        <w:tc>
          <w:tcPr>
            <w:tcW w:w="78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Long-term employee incentives</w:t>
            </w: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30,834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31,818</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1,237,816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784,096</w:t>
            </w:r>
          </w:p>
        </w:tc>
        <w:tc>
          <w:tcPr>
            <w:tcW w:w="0" w:type="dxa"/>
            <w:vAlign w:val="bottom"/>
          </w:tcPr>
          <w:p>
            <w:pPr>
              <w:spacing w:after="0"/>
              <w:rPr>
                <w:sz w:val="1"/>
                <w:szCs w:val="1"/>
                <w:color w:val="auto"/>
              </w:rPr>
            </w:pPr>
          </w:p>
        </w:tc>
      </w:tr>
      <w:tr>
        <w:trPr>
          <w:trHeight w:val="153"/>
        </w:trPr>
        <w:tc>
          <w:tcPr>
            <w:tcW w:w="7800" w:type="dxa"/>
            <w:vAlign w:val="bottom"/>
          </w:tcPr>
          <w:p>
            <w:pPr>
              <w:ind w:left="240"/>
              <w:spacing w:after="0" w:line="153" w:lineRule="exact"/>
              <w:rPr>
                <w:sz w:val="20"/>
                <w:szCs w:val="20"/>
                <w:color w:val="auto"/>
              </w:rPr>
            </w:pPr>
            <w:r>
              <w:rPr>
                <w:rFonts w:ascii="Arial" w:cs="Arial" w:eastAsia="Arial" w:hAnsi="Arial"/>
                <w:sz w:val="14"/>
                <w:szCs w:val="14"/>
                <w:color w:val="auto"/>
              </w:rPr>
              <w:t>Long-term lease liabilities, operating leases (including $2,083 and $2,203 Long-term lease liabilities, operating</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4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94,044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114,386</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12,159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11,043</w:t>
            </w: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0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3,001,862</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2,953,473</w:t>
            </w:r>
          </w:p>
        </w:tc>
        <w:tc>
          <w:tcPr>
            <w:tcW w:w="0" w:type="dxa"/>
            <w:vAlign w:val="bottom"/>
          </w:tcPr>
          <w:p>
            <w:pPr>
              <w:spacing w:after="0"/>
              <w:rPr>
                <w:sz w:val="1"/>
                <w:szCs w:val="1"/>
                <w:color w:val="auto"/>
              </w:rPr>
            </w:pPr>
          </w:p>
        </w:tc>
      </w:tr>
      <w:tr>
        <w:trPr>
          <w:trHeight w:val="143"/>
        </w:trPr>
        <w:tc>
          <w:tcPr>
            <w:tcW w:w="7800" w:type="dxa"/>
            <w:vAlign w:val="bottom"/>
            <w:tcBorders>
              <w:top w:val="single" w:sz="8" w:color="CFF0FC"/>
            </w:tcBorders>
          </w:tcPr>
          <w:p>
            <w:pPr>
              <w:spacing w:after="0" w:line="143" w:lineRule="exact"/>
              <w:rPr>
                <w:sz w:val="20"/>
                <w:szCs w:val="20"/>
                <w:color w:val="auto"/>
              </w:rPr>
            </w:pPr>
            <w:r>
              <w:rPr>
                <w:rFonts w:ascii="Arial" w:cs="Arial" w:eastAsia="Arial" w:hAnsi="Arial"/>
                <w:sz w:val="14"/>
                <w:szCs w:val="14"/>
                <w:color w:val="auto"/>
              </w:rPr>
              <w:t>Contingencies (Note 14)</w:t>
            </w: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40"/>
              <w:spacing w:after="0" w:line="153" w:lineRule="exact"/>
              <w:rPr>
                <w:sz w:val="20"/>
                <w:szCs w:val="20"/>
                <w:color w:val="auto"/>
              </w:rPr>
            </w:pPr>
            <w:r>
              <w:rPr>
                <w:rFonts w:ascii="Arial" w:cs="Arial" w:eastAsia="Arial" w:hAnsi="Arial"/>
                <w:sz w:val="14"/>
                <w:szCs w:val="14"/>
                <w:color w:val="auto"/>
              </w:rPr>
              <w:t>Common stock, $1 par value; authorized 1,000,000,000 shares; 145,676,335 and 146,656,225 shares issued;</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40"/>
              <w:spacing w:after="0"/>
              <w:rPr>
                <w:sz w:val="20"/>
                <w:szCs w:val="20"/>
                <w:color w:val="auto"/>
              </w:rPr>
            </w:pPr>
            <w:r>
              <w:rPr>
                <w:rFonts w:ascii="Arial" w:cs="Arial" w:eastAsia="Arial" w:hAnsi="Arial"/>
                <w:sz w:val="14"/>
                <w:szCs w:val="14"/>
                <w:color w:val="auto"/>
              </w:rPr>
              <w:t>56,103,965 and 52,657,447 public shares outstanding; 50,864,117 and 54,117,904 ESOP shares outstanding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145,676</w:t>
            </w:r>
          </w:p>
        </w:tc>
        <w:tc>
          <w:tcPr>
            <w:tcW w:w="14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146,655</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Treasury stock, 38,708,253 shares at cost</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(792,638)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(815,282)</w:t>
            </w: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2,648,730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2,684,829</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661,173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426,781</w:t>
            </w: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4"/>
                <w:szCs w:val="1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(20,921)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(26,594)</w:t>
            </w:r>
          </w:p>
        </w:tc>
        <w:tc>
          <w:tcPr>
            <w:tcW w:w="0" w:type="dxa"/>
            <w:vAlign w:val="bottom"/>
          </w:tcPr>
          <w:p>
            <w:pPr>
              <w:spacing w:after="0"/>
              <w:rPr>
                <w:sz w:val="1"/>
                <w:szCs w:val="1"/>
                <w:color w:val="auto"/>
              </w:rPr>
            </w:pPr>
          </w:p>
        </w:tc>
      </w:tr>
      <w:tr>
        <w:trPr>
          <w:trHeight w:val="155"/>
        </w:trPr>
        <w:tc>
          <w:tcPr>
            <w:tcW w:w="780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10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2,642,020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2,416,389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2,767,672</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2,534,489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0" w:type="dxa"/>
            <w:vAlign w:val="bottom"/>
          </w:tcPr>
          <w:p>
            <w:pPr>
              <w:ind w:left="38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5,769,534</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5,487,962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-4465320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-3531235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-2262505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-1310640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-1293495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-136525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Years Ended December 31, 2025, December 31, 2024 and December 31, 2023</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156210</wp:posOffset>
            </wp:positionV>
            <wp:extent cx="9398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156210</wp:posOffset>
            </wp:positionV>
            <wp:extent cx="9398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156210</wp:posOffset>
            </wp:positionV>
            <wp:extent cx="9398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0">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6,364,245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6,750,576</w:t>
            </w:r>
          </w:p>
        </w:tc>
        <w:tc>
          <w:tcPr>
            <w:tcW w:w="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5,442,749</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4,932,711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5,344,154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4,236,735</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(23,361)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(47,751)</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1,016,043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954,995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869,905</w:t>
            </w:r>
          </w:p>
        </w:tc>
        <w:tc>
          <w:tcPr>
            <w:tcW w:w="100" w:type="dxa"/>
            <w:vAlign w:val="bottom"/>
          </w:tcPr>
          <w:p>
            <w:pPr>
              <w:spacing w:after="0"/>
              <w:rPr>
                <w:sz w:val="17"/>
                <w:szCs w:val="17"/>
                <w:color w:val="auto"/>
              </w:rPr>
            </w:pPr>
          </w:p>
        </w:tc>
      </w:tr>
      <w:tr>
        <w:trPr>
          <w:trHeight w:val="196"/>
        </w:trPr>
        <w:tc>
          <w:tcPr>
            <w:tcW w:w="616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418,074</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428,066</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288,358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6,879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11,428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2,191</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(51,303)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(51,582)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(31,497)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(18,355)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8,861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(1,906)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17"/>
                <w:szCs w:val="17"/>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160" w:type="dxa"/>
            <w:vAlign w:val="bottom"/>
          </w:tcPr>
          <w:p>
            <w:pPr>
              <w:ind w:left="160"/>
              <w:spacing w:after="0" w:line="196" w:lineRule="exact"/>
              <w:rPr>
                <w:sz w:val="20"/>
                <w:szCs w:val="20"/>
                <w:color w:val="auto"/>
              </w:rPr>
            </w:pPr>
            <w:r>
              <w:rPr>
                <w:rFonts w:ascii="Arial" w:cs="Arial" w:eastAsia="Arial" w:hAnsi="Arial"/>
                <w:sz w:val="18"/>
                <w:szCs w:val="18"/>
                <w:color w:val="auto"/>
              </w:rPr>
              <w:t>Total other expense</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(35,563)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(60,415)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(24,305)</w:t>
            </w:r>
          </w:p>
        </w:tc>
      </w:tr>
      <w:tr>
        <w:trPr>
          <w:trHeight w:val="196"/>
        </w:trPr>
        <w:tc>
          <w:tcPr>
            <w:tcW w:w="61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Income before income tax expense</w:t>
            </w: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382,511</w:t>
            </w: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367,651</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264,053</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(73,647)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(76,986)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(56,138)</w:t>
            </w:r>
          </w:p>
        </w:tc>
      </w:tr>
      <w:tr>
        <w:trPr>
          <w:trHeight w:val="196"/>
        </w:trPr>
        <w:tc>
          <w:tcPr>
            <w:tcW w:w="61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308,864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290,665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207,915</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(67,725)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(55,612)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(46,766)</w:t>
            </w:r>
          </w:p>
        </w:tc>
      </w:tr>
      <w:tr>
        <w:trPr>
          <w:trHeight w:val="20"/>
        </w:trPr>
        <w:tc>
          <w:tcPr>
            <w:tcW w:w="6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60" w:type="dxa"/>
            <w:vAlign w:val="bottom"/>
            <w:shd w:val="clear" w:color="auto" w:fill="CFF0FC"/>
          </w:tcPr>
          <w:p>
            <w:pPr>
              <w:ind w:left="160"/>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241,139</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235,053</w:t>
            </w:r>
          </w:p>
        </w:tc>
        <w:tc>
          <w:tcPr>
            <w:tcW w:w="1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161,149</w:t>
            </w:r>
          </w:p>
        </w:tc>
        <w:tc>
          <w:tcPr>
            <w:tcW w:w="100" w:type="dxa"/>
            <w:vAlign w:val="bottom"/>
            <w:shd w:val="clear" w:color="auto" w:fill="CFF0FC"/>
          </w:tcPr>
          <w:p>
            <w:pPr>
              <w:spacing w:after="0"/>
              <w:rPr>
                <w:sz w:val="20"/>
                <w:szCs w:val="20"/>
                <w:color w:val="auto"/>
              </w:rPr>
            </w:pPr>
          </w:p>
        </w:tc>
      </w:tr>
      <w:tr>
        <w:trPr>
          <w:trHeight w:val="183"/>
        </w:trPr>
        <w:tc>
          <w:tcPr>
            <w:tcW w:w="61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Earnings per share:</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23"/>
        </w:trPr>
        <w:tc>
          <w:tcPr>
            <w:tcW w:w="6160" w:type="dxa"/>
            <w:vAlign w:val="bottom"/>
            <w:shd w:val="clear" w:color="auto" w:fill="CFF0FC"/>
          </w:tcPr>
          <w:p>
            <w:pPr>
              <w:ind w:left="160"/>
              <w:spacing w:after="0" w:line="182" w:lineRule="exact"/>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160" w:type="dxa"/>
            <w:vAlign w:val="bottom"/>
          </w:tcPr>
          <w:p>
            <w:pPr>
              <w:ind w:left="160"/>
              <w:spacing w:after="0" w:line="182" w:lineRule="exact"/>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5"/>
                <w:szCs w:val="15"/>
                <w:color w:val="auto"/>
              </w:rPr>
            </w:pPr>
          </w:p>
        </w:tc>
        <w:tc>
          <w:tcPr>
            <w:tcW w:w="5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-1791335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-1791335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-1268095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-1268095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-462280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-445135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-462280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-179070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-162560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-179070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jc w:val="center"/>
        <w:spacing w:after="0" w:line="248" w:lineRule="auto"/>
        <w:rPr>
          <w:sz w:val="20"/>
          <w:szCs w:val="20"/>
          <w:color w:val="auto"/>
        </w:rPr>
      </w:pPr>
      <w:r>
        <w:rPr>
          <w:rFonts w:ascii="Arial" w:cs="Arial" w:eastAsia="Arial" w:hAnsi="Arial"/>
          <w:sz w:val="18"/>
          <w:szCs w:val="18"/>
          <w:b w:val="1"/>
          <w:bCs w:val="1"/>
          <w:color w:val="auto"/>
        </w:rPr>
        <w:t xml:space="preserve">PARSONS CORPORATION AND SUBSIDIARIES Consolidated Statements of Comprehensive Income Years Ended December 31, 2025, December 31, 2024 and December 31, 2023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277495</wp:posOffset>
            </wp:positionV>
            <wp:extent cx="9398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277495</wp:posOffset>
            </wp:positionV>
            <wp:extent cx="93980"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277495</wp:posOffset>
            </wp:positionV>
            <wp:extent cx="93980"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3">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308,864</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290,665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207,915</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6,884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(11,546)</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2,375</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Pension adjustments, net of tax</w:t>
            </w: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c>
          <w:tcPr>
            <w:tcW w:w="100" w:type="dxa"/>
            <w:vAlign w:val="bottom"/>
          </w:tcPr>
          <w:p>
            <w:pPr>
              <w:spacing w:after="0"/>
              <w:rPr>
                <w:sz w:val="17"/>
                <w:szCs w:val="17"/>
                <w:color w:val="auto"/>
              </w:rPr>
            </w:pPr>
          </w:p>
        </w:tc>
      </w:tr>
      <w:tr>
        <w:trPr>
          <w:trHeight w:val="196"/>
        </w:trPr>
        <w:tc>
          <w:tcPr>
            <w:tcW w:w="698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Comprehensive income including noncontrolling interests, net of tax</w:t>
            </w: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314,543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278,988</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210,858</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Comprehensive income attributable to noncontrolling interests, net of tax</w:t>
            </w: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(67,725)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(55,621)</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(46,768)</w:t>
            </w:r>
          </w:p>
        </w:tc>
      </w:tr>
      <w:tr>
        <w:trPr>
          <w:trHeight w:val="23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attributable to Parsons Corporation, net of tax</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246,818</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223,367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164,090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2025, December 31, 2024 and December 31,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sive</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Noncontroll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Parsons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Stock</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80" w:type="dxa"/>
            <w:vAlign w:val="bottom"/>
            <w:gridSpan w:val="2"/>
          </w:tcPr>
          <w:p>
            <w:pPr>
              <w:spacing w:after="0"/>
              <w:rPr>
                <w:sz w:val="20"/>
                <w:szCs w:val="20"/>
                <w:color w:val="auto"/>
              </w:rPr>
            </w:pPr>
            <w:r>
              <w:rPr>
                <w:rFonts w:ascii="Arial" w:cs="Arial" w:eastAsia="Arial" w:hAnsi="Arial"/>
                <w:sz w:val="13"/>
                <w:szCs w:val="13"/>
                <w:b w:val="1"/>
                <w:bCs w:val="1"/>
                <w:color w:val="auto"/>
              </w:rPr>
              <w:t>Balances at December 31, 2022</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146,132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(844,936)</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2,717,134</w:t>
            </w:r>
          </w:p>
        </w:tc>
        <w:tc>
          <w:tcPr>
            <w:tcW w:w="22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43,089</w:t>
            </w:r>
          </w:p>
        </w:tc>
        <w:tc>
          <w:tcPr>
            <w:tcW w:w="140" w:type="dxa"/>
            <w:vAlign w:val="bottom"/>
          </w:tcPr>
          <w:p>
            <w:pPr>
              <w:spacing w:after="0"/>
              <w:rPr>
                <w:sz w:val="13"/>
                <w:szCs w:val="13"/>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(17,849)</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2,043,570</w:t>
            </w:r>
          </w:p>
        </w:tc>
        <w:tc>
          <w:tcPr>
            <w:tcW w:w="120" w:type="dxa"/>
            <w:vAlign w:val="bottom"/>
          </w:tcPr>
          <w:p>
            <w:pPr>
              <w:spacing w:after="0"/>
              <w:rPr>
                <w:sz w:val="13"/>
                <w:szCs w:val="13"/>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52,365</w:t>
            </w:r>
          </w:p>
        </w:tc>
        <w:tc>
          <w:tcPr>
            <w:tcW w:w="22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2,095,935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6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161,149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161,149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46,766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207,915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68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Foreign currency</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translation loss, net</w:t>
            </w: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60"/>
              <w:spacing w:after="0"/>
              <w:rPr>
                <w:sz w:val="20"/>
                <w:szCs w:val="20"/>
                <w:color w:val="auto"/>
              </w:rPr>
            </w:pPr>
            <w:r>
              <w:rPr>
                <w:rFonts w:ascii="Arial" w:cs="Arial" w:eastAsia="Arial" w:hAnsi="Arial"/>
                <w:sz w:val="13"/>
                <w:szCs w:val="13"/>
                <w:color w:val="auto"/>
              </w:rPr>
              <w:t>Pension adjustments, 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6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Contributions of treasury</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to ESOP</w:t>
            </w: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17,625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39,804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Arial" w:cs="Arial" w:eastAsia="Arial" w:hAnsi="Arial"/>
                <w:sz w:val="13"/>
                <w:szCs w:val="13"/>
                <w:color w:val="auto"/>
              </w:rPr>
              <w:t>Contributions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2,867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Distributions</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(12,496)</w:t>
            </w:r>
          </w:p>
        </w:tc>
        <w:tc>
          <w:tcPr>
            <w:tcW w:w="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(12,496)</w:t>
            </w:r>
          </w:p>
        </w:tc>
        <w:tc>
          <w:tcPr>
            <w:tcW w:w="0" w:type="dxa"/>
            <w:vAlign w:val="bottom"/>
          </w:tcPr>
          <w:p>
            <w:pPr>
              <w:spacing w:after="0"/>
              <w:rPr>
                <w:sz w:val="1"/>
                <w:szCs w:val="1"/>
                <w:color w:val="auto"/>
              </w:rPr>
            </w:pPr>
          </w:p>
        </w:tc>
      </w:tr>
      <w:tr>
        <w:trPr>
          <w:trHeight w:val="117"/>
        </w:trPr>
        <w:tc>
          <w:tcPr>
            <w:tcW w:w="2680" w:type="dxa"/>
            <w:vAlign w:val="bottom"/>
          </w:tcPr>
          <w:p>
            <w:pPr>
              <w:spacing w:after="0" w:line="117" w:lineRule="exact"/>
              <w:rPr>
                <w:sz w:val="20"/>
                <w:szCs w:val="20"/>
                <w:color w:val="auto"/>
              </w:rPr>
            </w:pPr>
            <w:r>
              <w:rPr>
                <w:rFonts w:ascii="Arial" w:cs="Arial" w:eastAsia="Arial" w:hAnsi="Arial"/>
                <w:sz w:val="13"/>
                <w:szCs w:val="13"/>
                <w:color w:val="auto"/>
              </w:rPr>
              <w:t>Issuance of equity securities,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ind w:left="120"/>
              <w:spacing w:after="0"/>
              <w:rPr>
                <w:sz w:val="20"/>
                <w:szCs w:val="20"/>
                <w:color w:val="auto"/>
              </w:rPr>
            </w:pPr>
            <w:r>
              <w:rPr>
                <w:rFonts w:ascii="Arial" w:cs="Arial" w:eastAsia="Arial" w:hAnsi="Arial"/>
                <w:sz w:val="13"/>
                <w:szCs w:val="13"/>
                <w:color w:val="auto"/>
              </w:rPr>
              <w:t>net of retirement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(1,171)</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(1,243)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(1,243)</w:t>
            </w:r>
          </w:p>
        </w:tc>
        <w:tc>
          <w:tcPr>
            <w:tcW w:w="0" w:type="dxa"/>
            <w:vAlign w:val="bottom"/>
          </w:tcPr>
          <w:p>
            <w:pPr>
              <w:spacing w:after="0"/>
              <w:rPr>
                <w:sz w:val="1"/>
                <w:szCs w:val="1"/>
                <w:color w:val="auto"/>
              </w:rPr>
            </w:pPr>
          </w:p>
        </w:tc>
      </w:tr>
      <w:tr>
        <w:trPr>
          <w:trHeight w:val="117"/>
        </w:trPr>
        <w:tc>
          <w:tcPr>
            <w:tcW w:w="26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Repurchase of common</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w:t>
            </w: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(10,767)</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(11,000)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(11,000)</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34,365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34,365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34,365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6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Balances at December 31, 2023</w:t>
            </w:r>
          </w:p>
        </w:tc>
        <w:tc>
          <w:tcPr>
            <w:tcW w:w="100" w:type="dxa"/>
            <w:vAlign w:val="bottom"/>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146,341</w:t>
            </w: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(827,311)</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2,779,365</w:t>
            </w:r>
          </w:p>
        </w:tc>
        <w:tc>
          <w:tcPr>
            <w:tcW w:w="220" w:type="dxa"/>
            <w:vAlign w:val="bottom"/>
            <w:shd w:val="clear" w:color="auto" w:fill="CFF0FC"/>
          </w:tcPr>
          <w:p>
            <w:pPr>
              <w:spacing w:after="0"/>
              <w:rPr>
                <w:sz w:val="14"/>
                <w:szCs w:val="14"/>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203,724</w:t>
            </w:r>
          </w:p>
        </w:tc>
        <w:tc>
          <w:tcPr>
            <w:tcW w:w="140" w:type="dxa"/>
            <w:vAlign w:val="bottom"/>
            <w:shd w:val="clear" w:color="auto" w:fill="CFF0FC"/>
          </w:tcPr>
          <w:p>
            <w:pPr>
              <w:spacing w:after="0"/>
              <w:rPr>
                <w:sz w:val="14"/>
                <w:szCs w:val="14"/>
                <w:color w:val="auto"/>
              </w:rPr>
            </w:pPr>
          </w:p>
        </w:tc>
        <w:tc>
          <w:tcPr>
            <w:tcW w:w="200" w:type="dxa"/>
            <w:vAlign w:val="bottom"/>
            <w:gridSpan w:val="2"/>
            <w:vMerge w:val="restart"/>
            <w:shd w:val="clear" w:color="auto" w:fill="CFF0FC"/>
          </w:tcPr>
          <w:p>
            <w:pPr>
              <w:ind w:left="8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(14,908)</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2,287,211</w:t>
            </w:r>
          </w:p>
        </w:tc>
        <w:tc>
          <w:tcPr>
            <w:tcW w:w="120" w:type="dxa"/>
            <w:vAlign w:val="bottom"/>
            <w:shd w:val="clear" w:color="auto" w:fill="CFF0FC"/>
          </w:tcPr>
          <w:p>
            <w:pPr>
              <w:spacing w:after="0"/>
              <w:rPr>
                <w:sz w:val="14"/>
                <w:szCs w:val="14"/>
                <w:color w:val="auto"/>
              </w:rPr>
            </w:pPr>
          </w:p>
        </w:tc>
        <w:tc>
          <w:tcPr>
            <w:tcW w:w="180" w:type="dxa"/>
            <w:vAlign w:val="bottom"/>
            <w:gridSpan w:val="2"/>
            <w:vMerge w:val="restart"/>
            <w:shd w:val="clear" w:color="auto" w:fill="CFF0FC"/>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89,504</w:t>
            </w:r>
          </w:p>
        </w:tc>
        <w:tc>
          <w:tcPr>
            <w:tcW w:w="2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2,376,715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680" w:type="dxa"/>
            <w:vAlign w:val="bottom"/>
            <w:shd w:val="clear" w:color="auto" w:fill="CFF0FC"/>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vMerge w:val="continue"/>
            <w:shd w:val="clear" w:color="auto" w:fill="CFF0FC"/>
          </w:tcPr>
          <w:p>
            <w:pPr>
              <w:spacing w:after="0"/>
              <w:rPr>
                <w:sz w:val="2"/>
                <w:szCs w:val="2"/>
                <w:color w:val="auto"/>
              </w:rPr>
            </w:pPr>
          </w:p>
        </w:tc>
        <w:tc>
          <w:tcPr>
            <w:tcW w:w="74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vMerge w:val="continue"/>
            <w:shd w:val="clear" w:color="auto" w:fill="CFF0FC"/>
          </w:tcPr>
          <w:p>
            <w:pPr>
              <w:spacing w:after="0"/>
              <w:rPr>
                <w:sz w:val="2"/>
                <w:szCs w:val="2"/>
                <w:color w:val="auto"/>
              </w:rPr>
            </w:pPr>
          </w:p>
        </w:tc>
        <w:tc>
          <w:tcPr>
            <w:tcW w:w="880" w:type="dxa"/>
            <w:vAlign w:val="bottom"/>
            <w:gridSpan w:val="2"/>
            <w:vMerge w:val="continue"/>
            <w:shd w:val="clear" w:color="auto" w:fill="CFF0FC"/>
          </w:tcPr>
          <w:p>
            <w:pPr>
              <w:spacing w:after="0"/>
              <w:rPr>
                <w:sz w:val="2"/>
                <w:szCs w:val="2"/>
                <w:color w:val="auto"/>
              </w:rPr>
            </w:pPr>
          </w:p>
        </w:tc>
        <w:tc>
          <w:tcPr>
            <w:tcW w:w="220" w:type="dxa"/>
            <w:vAlign w:val="bottom"/>
            <w:gridSpan w:val="2"/>
            <w:vMerge w:val="continue"/>
            <w:shd w:val="clear" w:color="auto" w:fill="CFF0FC"/>
          </w:tcPr>
          <w:p>
            <w:pPr>
              <w:spacing w:after="0"/>
              <w:rPr>
                <w:sz w:val="2"/>
                <w:szCs w:val="2"/>
                <w:color w:val="auto"/>
              </w:rPr>
            </w:pPr>
          </w:p>
        </w:tc>
        <w:tc>
          <w:tcPr>
            <w:tcW w:w="720" w:type="dxa"/>
            <w:vAlign w:val="bottom"/>
            <w:vMerge w:val="continue"/>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vMerge w:val="continue"/>
            <w:shd w:val="clear" w:color="auto" w:fill="CFF0FC"/>
          </w:tcPr>
          <w:p>
            <w:pPr>
              <w:spacing w:after="0"/>
              <w:rPr>
                <w:sz w:val="2"/>
                <w:szCs w:val="2"/>
                <w:color w:val="auto"/>
              </w:rPr>
            </w:pPr>
          </w:p>
        </w:tc>
        <w:tc>
          <w:tcPr>
            <w:tcW w:w="76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gridSpan w:val="2"/>
            <w:vMerge w:val="continue"/>
            <w:shd w:val="clear" w:color="auto" w:fill="CFF0FC"/>
          </w:tcPr>
          <w:p>
            <w:pPr>
              <w:spacing w:after="0"/>
              <w:rPr>
                <w:sz w:val="2"/>
                <w:szCs w:val="2"/>
                <w:color w:val="auto"/>
              </w:rPr>
            </w:pPr>
          </w:p>
        </w:tc>
        <w:tc>
          <w:tcPr>
            <w:tcW w:w="940" w:type="dxa"/>
            <w:vAlign w:val="bottom"/>
            <w:gridSpan w:val="2"/>
            <w:vMerge w:val="continue"/>
            <w:shd w:val="clear" w:color="auto" w:fill="CFF0FC"/>
          </w:tcPr>
          <w:p>
            <w:pPr>
              <w:spacing w:after="0"/>
              <w:rPr>
                <w:sz w:val="2"/>
                <w:szCs w:val="2"/>
                <w:color w:val="auto"/>
              </w:rPr>
            </w:pPr>
          </w:p>
        </w:tc>
        <w:tc>
          <w:tcPr>
            <w:tcW w:w="120" w:type="dxa"/>
            <w:vAlign w:val="bottom"/>
            <w:vMerge w:val="continue"/>
            <w:shd w:val="clear" w:color="auto" w:fill="CFF0FC"/>
          </w:tcPr>
          <w:p>
            <w:pPr>
              <w:spacing w:after="0"/>
              <w:rPr>
                <w:sz w:val="2"/>
                <w:szCs w:val="2"/>
                <w:color w:val="auto"/>
              </w:rPr>
            </w:pPr>
          </w:p>
        </w:tc>
        <w:tc>
          <w:tcPr>
            <w:tcW w:w="74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gridSpan w:val="2"/>
            <w:vMerge w:val="continue"/>
            <w:shd w:val="clear" w:color="auto" w:fill="CFF0FC"/>
          </w:tcPr>
          <w:p>
            <w:pPr>
              <w:spacing w:after="0"/>
              <w:rPr>
                <w:sz w:val="2"/>
                <w:szCs w:val="2"/>
                <w:color w:val="auto"/>
              </w:rPr>
            </w:pPr>
          </w:p>
        </w:tc>
        <w:tc>
          <w:tcPr>
            <w:tcW w:w="760" w:type="dxa"/>
            <w:vAlign w:val="bottom"/>
            <w:vMerge w:val="continue"/>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vMerge w:val="continue"/>
            <w:shd w:val="clear" w:color="auto" w:fill="CFF0FC"/>
          </w:tcPr>
          <w:p>
            <w:pPr>
              <w:spacing w:after="0"/>
              <w:rPr>
                <w:sz w:val="2"/>
                <w:szCs w:val="2"/>
                <w:color w:val="auto"/>
              </w:rPr>
            </w:pPr>
          </w:p>
        </w:tc>
        <w:tc>
          <w:tcPr>
            <w:tcW w:w="74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680" w:type="dxa"/>
            <w:vAlign w:val="bottom"/>
            <w:tcBorders>
              <w:top w:val="single" w:sz="8" w:color="CFF0FC"/>
            </w:tcBorders>
          </w:tcPr>
          <w:p>
            <w:pPr>
              <w:spacing w:after="0"/>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Net income</w:t>
            </w:r>
          </w:p>
        </w:tc>
        <w:tc>
          <w:tcPr>
            <w:tcW w:w="100" w:type="dxa"/>
            <w:vAlign w:val="bottom"/>
            <w:vMerge w:val="continue"/>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235,053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235,053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55,612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290,665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680" w:type="dxa"/>
            <w:vAlign w:val="bottom"/>
          </w:tcPr>
          <w:p>
            <w:pPr>
              <w:ind w:left="60"/>
              <w:spacing w:after="0" w:line="117" w:lineRule="exact"/>
              <w:rPr>
                <w:sz w:val="20"/>
                <w:szCs w:val="20"/>
                <w:color w:val="auto"/>
              </w:rPr>
            </w:pPr>
            <w:r>
              <w:rPr>
                <w:rFonts w:ascii="Arial" w:cs="Arial" w:eastAsia="Arial" w:hAnsi="Arial"/>
                <w:sz w:val="13"/>
                <w:szCs w:val="13"/>
                <w:color w:val="auto"/>
              </w:rPr>
              <w:t>Foreign currency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ind w:left="160"/>
              <w:spacing w:after="0"/>
              <w:rPr>
                <w:sz w:val="20"/>
                <w:szCs w:val="20"/>
                <w:color w:val="auto"/>
              </w:rPr>
            </w:pPr>
            <w:r>
              <w:rPr>
                <w:rFonts w:ascii="Arial" w:cs="Arial" w:eastAsia="Arial" w:hAnsi="Arial"/>
                <w:sz w:val="13"/>
                <w:szCs w:val="13"/>
                <w:color w:val="auto"/>
              </w:rPr>
              <w:t>translation gain, net</w:t>
            </w:r>
          </w:p>
        </w:tc>
        <w:tc>
          <w:tcPr>
            <w:tcW w:w="10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(11,555)</w:t>
            </w: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(11,555)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(11,546)</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Pension adjustments, net</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(131)</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17"/>
        </w:trPr>
        <w:tc>
          <w:tcPr>
            <w:tcW w:w="2680" w:type="dxa"/>
            <w:vAlign w:val="bottom"/>
          </w:tcPr>
          <w:p>
            <w:pPr>
              <w:spacing w:after="0" w:line="117" w:lineRule="exact"/>
              <w:rPr>
                <w:sz w:val="20"/>
                <w:szCs w:val="20"/>
                <w:color w:val="auto"/>
              </w:rPr>
            </w:pPr>
            <w:r>
              <w:rPr>
                <w:rFonts w:ascii="Arial" w:cs="Arial" w:eastAsia="Arial" w:hAnsi="Arial"/>
                <w:sz w:val="13"/>
                <w:szCs w:val="13"/>
                <w:color w:val="auto"/>
              </w:rPr>
              <w:t>Contributions of treasury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ind w:left="120"/>
              <w:spacing w:after="0"/>
              <w:rPr>
                <w:sz w:val="20"/>
                <w:szCs w:val="20"/>
                <w:color w:val="auto"/>
              </w:rPr>
            </w:pPr>
            <w:r>
              <w:rPr>
                <w:rFonts w:ascii="Arial" w:cs="Arial" w:eastAsia="Arial" w:hAnsi="Arial"/>
                <w:sz w:val="13"/>
                <w:szCs w:val="13"/>
                <w:color w:val="auto"/>
              </w:rPr>
              <w:t>stock to ESOP</w:t>
            </w:r>
          </w:p>
        </w:tc>
        <w:tc>
          <w:tcPr>
            <w:tcW w:w="10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46,199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58,228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58,228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Contributions</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2,174</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Arial" w:cs="Arial" w:eastAsia="Arial" w:hAnsi="Arial"/>
                <w:sz w:val="13"/>
                <w:szCs w:val="13"/>
                <w:color w:val="auto"/>
              </w:rPr>
              <w:t>Distributions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(29,199)</w:t>
            </w:r>
          </w:p>
        </w:tc>
        <w:tc>
          <w:tcPr>
            <w:tcW w:w="16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(29,199)</w:t>
            </w: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Capped call transactions</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(66,121)</w:t>
            </w: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(66,121)</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(66,121)</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Arial" w:cs="Arial" w:eastAsia="Arial" w:hAnsi="Arial"/>
                <w:sz w:val="13"/>
                <w:szCs w:val="13"/>
                <w:color w:val="auto"/>
              </w:rPr>
              <w:t>Repurchase of warrants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(104,952)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(104,952)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(104,952)</w:t>
            </w: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Bond hedge termination</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149,308</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149,308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149,308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Arial" w:cs="Arial" w:eastAsia="Arial" w:hAnsi="Arial"/>
                <w:sz w:val="13"/>
                <w:szCs w:val="13"/>
                <w:color w:val="auto"/>
              </w:rPr>
              <w:t>Convertible debt inducement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(147,105)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(147,105)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(147,105)</w:t>
            </w: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6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 of equity securities,</w:t>
            </w: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retirement</w:t>
            </w: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w:t>
            </w:r>
          </w:p>
        </w:tc>
        <w:tc>
          <w:tcPr>
            <w:tcW w:w="12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(3,235)</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(11,996)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(14,630)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(14,630)</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(24,712)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(24,999)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(24,999)</w:t>
            </w: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56,082</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56,082</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56,082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80" w:type="dxa"/>
            <w:vAlign w:val="bottom"/>
          </w:tcPr>
          <w:p>
            <w:pPr>
              <w:spacing w:after="0"/>
              <w:rPr>
                <w:sz w:val="20"/>
                <w:szCs w:val="20"/>
                <w:color w:val="auto"/>
              </w:rPr>
            </w:pPr>
            <w:r>
              <w:rPr>
                <w:rFonts w:ascii="Arial" w:cs="Arial" w:eastAsia="Arial" w:hAnsi="Arial"/>
                <w:sz w:val="13"/>
                <w:szCs w:val="13"/>
                <w:b w:val="1"/>
                <w:bCs w:val="1"/>
                <w:color w:val="auto"/>
              </w:rPr>
              <w:t>Balances at December 31, 2024</w:t>
            </w:r>
          </w:p>
        </w:tc>
        <w:tc>
          <w:tcPr>
            <w:tcW w:w="100" w:type="dxa"/>
            <w:vAlign w:val="bottom"/>
            <w:vMerge w:val="continue"/>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146,655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(815,282)</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2,684,829</w:t>
            </w:r>
          </w:p>
        </w:tc>
        <w:tc>
          <w:tcPr>
            <w:tcW w:w="2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426,781</w:t>
            </w:r>
          </w:p>
        </w:tc>
        <w:tc>
          <w:tcPr>
            <w:tcW w:w="140" w:type="dxa"/>
            <w:vAlign w:val="bottom"/>
          </w:tcPr>
          <w:p>
            <w:pPr>
              <w:spacing w:after="0"/>
              <w:rPr>
                <w:sz w:val="14"/>
                <w:szCs w:val="14"/>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(26,594)</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2,416,389</w:t>
            </w:r>
          </w:p>
        </w:tc>
        <w:tc>
          <w:tcPr>
            <w:tcW w:w="120" w:type="dxa"/>
            <w:vAlign w:val="bottom"/>
          </w:tcPr>
          <w:p>
            <w:pPr>
              <w:spacing w:after="0"/>
              <w:rPr>
                <w:sz w:val="14"/>
                <w:szCs w:val="14"/>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118,100</w:t>
            </w:r>
          </w:p>
        </w:tc>
        <w:tc>
          <w:tcPr>
            <w:tcW w:w="220" w:type="dxa"/>
            <w:vAlign w:val="bottom"/>
          </w:tcPr>
          <w:p>
            <w:pPr>
              <w:spacing w:after="0"/>
              <w:rPr>
                <w:sz w:val="14"/>
                <w:szCs w:val="14"/>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2,534,489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-2167890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-2167890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-2167890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-2167890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-2167890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-2167890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-2167890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-144780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-144780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-144780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-144780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-144780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-144780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-144780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4"/>
          <w:szCs w:val="14"/>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2025, December 31, 2024 and December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104775</wp:posOffset>
            </wp:positionV>
            <wp:extent cx="93980" cy="7626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8">
                      <a:extLst>
                        <a:ext uri="{28A0092B-C50C-407E-A947-70E740481C1C}"/>
                      </a:extLst>
                    </a:blip>
                    <a:srcRect/>
                    <a:stretch>
                      <a:fillRect/>
                    </a:stretch>
                  </pic:blipFill>
                  <pic:spPr bwMode="auto">
                    <a:xfrm>
                      <a:off x="0" y="0"/>
                      <a:ext cx="93980" cy="762635"/>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104775</wp:posOffset>
            </wp:positionV>
            <wp:extent cx="93980" cy="7626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9">
                      <a:extLst>
                        <a:ext uri="{28A0092B-C50C-407E-A947-70E740481C1C}"/>
                      </a:extLst>
                    </a:blip>
                    <a:srcRect/>
                    <a:stretch>
                      <a:fillRect/>
                    </a:stretch>
                  </pic:blipFill>
                  <pic:spPr bwMode="auto">
                    <a:xfrm>
                      <a:off x="0" y="0"/>
                      <a:ext cx="93980" cy="76263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104775</wp:posOffset>
            </wp:positionV>
            <wp:extent cx="93980" cy="7626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0">
                      <a:extLst>
                        <a:ext uri="{28A0092B-C50C-407E-A947-70E740481C1C}"/>
                      </a:extLst>
                    </a:blip>
                    <a:srcRect/>
                    <a:stretch>
                      <a:fillRect/>
                    </a:stretch>
                  </pic:blipFill>
                  <pic:spPr bwMode="auto">
                    <a:xfrm>
                      <a:off x="0" y="0"/>
                      <a:ext cx="93980" cy="76263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104775</wp:posOffset>
            </wp:positionV>
            <wp:extent cx="93980" cy="7626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1">
                      <a:extLst>
                        <a:ext uri="{28A0092B-C50C-407E-A947-70E740481C1C}"/>
                      </a:extLst>
                    </a:blip>
                    <a:srcRect/>
                    <a:stretch>
                      <a:fillRect/>
                    </a:stretch>
                  </pic:blipFill>
                  <pic:spPr bwMode="auto">
                    <a:xfrm>
                      <a:off x="0" y="0"/>
                      <a:ext cx="93980" cy="76263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104775</wp:posOffset>
            </wp:positionV>
            <wp:extent cx="93980" cy="7626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2">
                      <a:extLst>
                        <a:ext uri="{28A0092B-C50C-407E-A947-70E740481C1C}"/>
                      </a:extLst>
                    </a:blip>
                    <a:srcRect/>
                    <a:stretch>
                      <a:fillRect/>
                    </a:stretch>
                  </pic:blipFill>
                  <pic:spPr bwMode="auto">
                    <a:xfrm>
                      <a:off x="0" y="0"/>
                      <a:ext cx="93980" cy="76263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104775</wp:posOffset>
            </wp:positionV>
            <wp:extent cx="93980" cy="7626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3">
                      <a:extLst>
                        <a:ext uri="{28A0092B-C50C-407E-A947-70E740481C1C}"/>
                      </a:extLst>
                    </a:blip>
                    <a:srcRect/>
                    <a:stretch>
                      <a:fillRect/>
                    </a:stretch>
                  </pic:blipFill>
                  <pic:spPr bwMode="auto">
                    <a:xfrm>
                      <a:off x="0" y="0"/>
                      <a:ext cx="93980" cy="76263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104775</wp:posOffset>
            </wp:positionV>
            <wp:extent cx="93980" cy="7626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4">
                      <a:extLst>
                        <a:ext uri="{28A0092B-C50C-407E-A947-70E740481C1C}"/>
                      </a:extLst>
                    </a:blip>
                    <a:srcRect/>
                    <a:stretch>
                      <a:fillRect/>
                    </a:stretch>
                  </pic:blipFill>
                  <pic:spPr bwMode="auto">
                    <a:xfrm>
                      <a:off x="0" y="0"/>
                      <a:ext cx="93980" cy="76263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104775</wp:posOffset>
            </wp:positionV>
            <wp:extent cx="93980" cy="7626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5">
                      <a:extLst>
                        <a:ext uri="{28A0092B-C50C-407E-A947-70E740481C1C}"/>
                      </a:extLst>
                    </a:blip>
                    <a:srcRect/>
                    <a:stretch>
                      <a:fillRect/>
                    </a:stretch>
                  </pic:blipFill>
                  <pic:spPr bwMode="auto">
                    <a:xfrm>
                      <a:off x="0" y="0"/>
                      <a:ext cx="93980" cy="76263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Accumulate</w:t>
            </w: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sive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Noncontroll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Income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Parsons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Comprehensive income</w:t>
            </w: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6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241,139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241,139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67,725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308,864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Foreign currency</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translation gain, net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6,878</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6,884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60"/>
              <w:spacing w:after="0"/>
              <w:rPr>
                <w:sz w:val="20"/>
                <w:szCs w:val="20"/>
                <w:color w:val="auto"/>
              </w:rPr>
            </w:pPr>
            <w:r>
              <w:rPr>
                <w:rFonts w:ascii="Arial" w:cs="Arial" w:eastAsia="Arial" w:hAnsi="Arial"/>
                <w:sz w:val="13"/>
                <w:szCs w:val="13"/>
                <w:color w:val="auto"/>
              </w:rPr>
              <w:t>Pension adjustments, net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(1,205)</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(1,205)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Contributions of treasury</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to ESOP</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22,644</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49,456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80" w:type="dxa"/>
            <w:vAlign w:val="bottom"/>
          </w:tcPr>
          <w:p>
            <w:pPr>
              <w:spacing w:after="0"/>
              <w:rPr>
                <w:sz w:val="20"/>
                <w:szCs w:val="20"/>
                <w:color w:val="auto"/>
              </w:rPr>
            </w:pPr>
            <w:r>
              <w:rPr>
                <w:rFonts w:ascii="Arial" w:cs="Arial" w:eastAsia="Arial" w:hAnsi="Arial"/>
                <w:sz w:val="13"/>
                <w:szCs w:val="13"/>
                <w:color w:val="auto"/>
              </w:rPr>
              <w:t>Contributions</w:t>
            </w:r>
          </w:p>
        </w:tc>
        <w:tc>
          <w:tcPr>
            <w:tcW w:w="10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3,094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Distributions</w:t>
            </w:r>
          </w:p>
        </w:tc>
        <w:tc>
          <w:tcPr>
            <w:tcW w:w="1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(63,273)</w:t>
            </w:r>
          </w:p>
        </w:tc>
        <w:tc>
          <w:tcPr>
            <w:tcW w:w="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(63,273)</w:t>
            </w:r>
          </w:p>
        </w:tc>
        <w:tc>
          <w:tcPr>
            <w:tcW w:w="0" w:type="dxa"/>
            <w:vAlign w:val="bottom"/>
          </w:tcPr>
          <w:p>
            <w:pPr>
              <w:spacing w:after="0"/>
              <w:rPr>
                <w:sz w:val="1"/>
                <w:szCs w:val="1"/>
                <w:color w:val="auto"/>
              </w:rPr>
            </w:pPr>
          </w:p>
        </w:tc>
      </w:tr>
      <w:tr>
        <w:trPr>
          <w:trHeight w:val="166"/>
        </w:trPr>
        <w:tc>
          <w:tcPr>
            <w:tcW w:w="2780" w:type="dxa"/>
            <w:vAlign w:val="bottom"/>
          </w:tcPr>
          <w:p>
            <w:pPr>
              <w:spacing w:after="0"/>
              <w:rPr>
                <w:sz w:val="20"/>
                <w:szCs w:val="20"/>
                <w:color w:val="auto"/>
              </w:rPr>
            </w:pPr>
            <w:r>
              <w:rPr>
                <w:rFonts w:ascii="Arial" w:cs="Arial" w:eastAsia="Arial" w:hAnsi="Arial"/>
                <w:sz w:val="13"/>
                <w:szCs w:val="13"/>
                <w:color w:val="auto"/>
              </w:rPr>
              <w:t>Repurchase of warrants</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 of equity securities,</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retirement</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(5,529)</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(6,747)</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(11,495)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(11,495)</w:t>
            </w:r>
          </w:p>
        </w:tc>
        <w:tc>
          <w:tcPr>
            <w:tcW w:w="0" w:type="dxa"/>
            <w:vAlign w:val="bottom"/>
          </w:tcPr>
          <w:p>
            <w:pPr>
              <w:spacing w:after="0"/>
              <w:rPr>
                <w:sz w:val="1"/>
                <w:szCs w:val="1"/>
                <w:color w:val="auto"/>
              </w:rPr>
            </w:pPr>
          </w:p>
        </w:tc>
      </w:tr>
      <w:tr>
        <w:trPr>
          <w:trHeight w:val="166"/>
        </w:trPr>
        <w:tc>
          <w:tcPr>
            <w:tcW w:w="278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(1,822)</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(123,171)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(124,993)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(124,993)</w:t>
            </w: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43,207</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43,207</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43,207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80" w:type="dxa"/>
            <w:vAlign w:val="bottom"/>
          </w:tcPr>
          <w:p>
            <w:pPr>
              <w:spacing w:after="0"/>
              <w:rPr>
                <w:sz w:val="20"/>
                <w:szCs w:val="20"/>
                <w:color w:val="auto"/>
              </w:rPr>
            </w:pPr>
            <w:r>
              <w:rPr>
                <w:rFonts w:ascii="Arial" w:cs="Arial" w:eastAsia="Arial" w:hAnsi="Arial"/>
                <w:sz w:val="13"/>
                <w:szCs w:val="13"/>
                <w:b w:val="1"/>
                <w:bCs w:val="1"/>
                <w:color w:val="auto"/>
              </w:rPr>
              <w:t>Balances at December 31, 2025</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145,676</w:t>
            </w:r>
          </w:p>
        </w:tc>
        <w:tc>
          <w:tcPr>
            <w:tcW w:w="2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(792,638)</w:t>
            </w: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   2,648,730</w:t>
            </w:r>
          </w:p>
        </w:tc>
        <w:tc>
          <w:tcPr>
            <w:tcW w:w="2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661,173</w:t>
            </w:r>
          </w:p>
        </w:tc>
        <w:tc>
          <w:tcPr>
            <w:tcW w:w="14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(20,921)</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   2,642,020</w:t>
            </w:r>
          </w:p>
        </w:tc>
        <w:tc>
          <w:tcPr>
            <w:tcW w:w="12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125,652</w:t>
            </w:r>
          </w:p>
        </w:tc>
        <w:tc>
          <w:tcPr>
            <w:tcW w:w="220" w:type="dxa"/>
            <w:vAlign w:val="bottom"/>
          </w:tcPr>
          <w:p>
            <w:pPr>
              <w:spacing w:after="0"/>
              <w:rPr>
                <w:sz w:val="14"/>
                <w:szCs w:val="14"/>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2,767,672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7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-144780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-144780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-144780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-144780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-144780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-144780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-144780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04" w:name="page105"/>
    <w:bookmarkEnd w:id="104"/>
    <w:p>
      <w:pPr>
        <w:jc w:val="center"/>
        <w:ind w:right="40"/>
        <w:spacing w:after="0" w:line="241" w:lineRule="auto"/>
        <w:rPr>
          <w:sz w:val="20"/>
          <w:szCs w:val="20"/>
          <w:color w:val="auto"/>
        </w:rPr>
      </w:pPr>
      <w:r>
        <w:rPr>
          <w:rFonts w:ascii="Arial" w:cs="Arial" w:eastAsia="Arial" w:hAnsi="Arial"/>
          <w:sz w:val="18"/>
          <w:szCs w:val="18"/>
          <w:b w:val="1"/>
          <w:bCs w:val="1"/>
          <w:color w:val="auto"/>
        </w:rPr>
        <w:t>PARSONS CORPORATION AND SUBSIDIARIES Consolidated Statements of Cash Flows Years Ended December 31, 2025, December 31, 2024 and December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42"/>
        </w:trPr>
        <w:tc>
          <w:tcPr>
            <w:tcW w:w="66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Net income including noncontrolling interests</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308,864</w:t>
            </w:r>
          </w:p>
        </w:tc>
        <w:tc>
          <w:tcPr>
            <w:tcW w:w="240" w:type="dxa"/>
            <w:vAlign w:val="bottom"/>
          </w:tcPr>
          <w:p>
            <w:pPr>
              <w:spacing w:after="0"/>
              <w:rPr>
                <w:sz w:val="12"/>
                <w:szCs w:val="12"/>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290,665</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207,915</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64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116,486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99,251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119,973</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Amortization of debt issue costs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2,842</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Loss (gain) on disposal of property and equipment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Convertible debt repurchase loss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Provision for doubtful accounts</w:t>
            </w: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Deferred taxes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44,312</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(8,914)</w:t>
            </w:r>
          </w:p>
        </w:tc>
      </w:tr>
      <w:tr>
        <w:trPr>
          <w:trHeight w:val="149"/>
        </w:trPr>
        <w:tc>
          <w:tcPr>
            <w:tcW w:w="6640" w:type="dxa"/>
            <w:vAlign w:val="bottom"/>
          </w:tcPr>
          <w:p>
            <w:pPr>
              <w:ind w:left="120"/>
              <w:spacing w:after="0"/>
              <w:rPr>
                <w:sz w:val="20"/>
                <w:szCs w:val="20"/>
                <w:color w:val="auto"/>
              </w:rPr>
            </w:pPr>
            <w:r>
              <w:rPr>
                <w:rFonts w:ascii="Arial" w:cs="Arial" w:eastAsia="Arial" w:hAnsi="Arial"/>
                <w:sz w:val="13"/>
                <w:szCs w:val="13"/>
                <w:color w:val="auto"/>
              </w:rPr>
              <w:t>Foreign currency transaction gains and losses</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(5,506)</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6,919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(330)</w:t>
            </w: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Equity in losses (earnings) of unconsolidated joint ventures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(2,583)</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23,361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47,751</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Return on investments in unconsolidated joint ventures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41,230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40,162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48,970</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43,207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56,082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34,365</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Contributions of treasury stock</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73,655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59,778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58,172</w:t>
            </w:r>
          </w:p>
        </w:tc>
        <w:tc>
          <w:tcPr>
            <w:tcW w:w="100" w:type="dxa"/>
            <w:vAlign w:val="bottom"/>
          </w:tcPr>
          <w:p>
            <w:pPr>
              <w:spacing w:after="0"/>
              <w:rPr>
                <w:sz w:val="12"/>
                <w:szCs w:val="12"/>
                <w:color w:val="auto"/>
              </w:rPr>
            </w:pPr>
          </w:p>
        </w:tc>
      </w:tr>
      <w:tr>
        <w:trPr>
          <w:trHeight w:val="149"/>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Changes in assets and liabilities, net of acquisitions and newly consolidated joint ventures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Accounts receivable</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10,933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(163,139)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(176,181)</w:t>
            </w: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Contract assets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(163,070)</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(119,898)</w:t>
            </w: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(16,151)</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35,830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(95,415)</w:t>
            </w: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23,338</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(42,686)</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24,497</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(30,255)</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79,984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163,440</w:t>
            </w:r>
          </w:p>
        </w:tc>
        <w:tc>
          <w:tcPr>
            <w:tcW w:w="100" w:type="dxa"/>
            <w:vAlign w:val="bottom"/>
          </w:tcPr>
          <w:p>
            <w:pPr>
              <w:spacing w:after="0"/>
              <w:rPr>
                <w:sz w:val="12"/>
                <w:szCs w:val="12"/>
                <w:color w:val="auto"/>
              </w:rPr>
            </w:pPr>
          </w:p>
        </w:tc>
      </w:tr>
      <w:tr>
        <w:trPr>
          <w:trHeight w:val="149"/>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Contract liabilities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34,896</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(11,325)</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84,439</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3,575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(341)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2,886</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 long-term liabilities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(10,245)</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(16,019)</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12,949</w:t>
            </w:r>
          </w:p>
        </w:tc>
        <w:tc>
          <w:tcPr>
            <w:tcW w:w="100" w:type="dxa"/>
            <w:vAlign w:val="bottom"/>
            <w:shd w:val="clear" w:color="auto" w:fill="CFF0FC"/>
          </w:tcPr>
          <w:p>
            <w:pPr>
              <w:spacing w:after="0"/>
              <w:rPr>
                <w:sz w:val="12"/>
                <w:szCs w:val="12"/>
                <w:color w:val="auto"/>
              </w:rPr>
            </w:pPr>
          </w:p>
        </w:tc>
      </w:tr>
      <w:tr>
        <w:trPr>
          <w:trHeight w:val="142"/>
        </w:trPr>
        <w:tc>
          <w:tcPr>
            <w:tcW w:w="6640" w:type="dxa"/>
            <w:vAlign w:val="bottom"/>
            <w:tcBorders>
              <w:top w:val="single" w:sz="8" w:color="CFF0FC"/>
            </w:tcBorders>
          </w:tcPr>
          <w:p>
            <w:pPr>
              <w:ind w:left="24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478,382</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523,606</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407,699</w:t>
            </w:r>
          </w:p>
        </w:tc>
        <w:tc>
          <w:tcPr>
            <w:tcW w:w="100" w:type="dxa"/>
            <w:vAlign w:val="bottom"/>
            <w:tcBorders>
              <w:top w:val="single" w:sz="8" w:color="CFF0FC"/>
            </w:tcBorders>
          </w:tcPr>
          <w:p>
            <w:pPr>
              <w:spacing w:after="0"/>
              <w:rPr>
                <w:sz w:val="12"/>
                <w:szCs w:val="12"/>
                <w:color w:val="auto"/>
              </w:rPr>
            </w:pPr>
          </w:p>
        </w:tc>
      </w:tr>
      <w:tr>
        <w:trPr>
          <w:trHeight w:val="142"/>
        </w:trPr>
        <w:tc>
          <w:tcPr>
            <w:tcW w:w="66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Capital expenditures</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(67,970)</w:t>
            </w:r>
          </w:p>
        </w:tc>
        <w:tc>
          <w:tcPr>
            <w:tcW w:w="2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(49,213)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(40,396)</w:t>
            </w: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of property and equipment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842</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Payments for acquisitions, net of cash acquired</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(145,079)</w:t>
            </w:r>
          </w:p>
        </w:tc>
        <w:tc>
          <w:tcPr>
            <w:tcW w:w="2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(428,710)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(221,937)</w:t>
            </w:r>
          </w:p>
        </w:tc>
      </w:tr>
      <w:tr>
        <w:trPr>
          <w:trHeight w:val="149"/>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Investments in unconsolidated joint ventures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(83,599)</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(133,921)</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(119,582)</w:t>
            </w: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Return of investments in unconsolidated joint ventures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40,222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54,950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5,018</w:t>
            </w:r>
          </w:p>
        </w:tc>
        <w:tc>
          <w:tcPr>
            <w:tcW w:w="100" w:type="dxa"/>
            <w:vAlign w:val="bottom"/>
          </w:tcPr>
          <w:p>
            <w:pPr>
              <w:spacing w:after="0"/>
              <w:rPr>
                <w:sz w:val="12"/>
                <w:szCs w:val="12"/>
                <w:color w:val="auto"/>
              </w:rPr>
            </w:pPr>
          </w:p>
        </w:tc>
      </w:tr>
      <w:tr>
        <w:trPr>
          <w:trHeight w:val="148"/>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Proceeds from sales of investments in unconsolidated joint ventures</w:t>
            </w: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240"/>
              <w:spacing w:after="0" w:line="142"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(255,584)</w:t>
            </w:r>
          </w:p>
        </w:tc>
        <w:tc>
          <w:tcPr>
            <w:tcW w:w="280" w:type="dxa"/>
            <w:vAlign w:val="bottom"/>
          </w:tcPr>
          <w:p>
            <w:pPr>
              <w:spacing w:after="0"/>
              <w:rPr>
                <w:sz w:val="12"/>
                <w:szCs w:val="12"/>
                <w:color w:val="auto"/>
              </w:rPr>
            </w:pPr>
          </w:p>
        </w:tc>
        <w:tc>
          <w:tcPr>
            <w:tcW w:w="12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(556,715)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(375,970)</w:t>
            </w:r>
          </w:p>
        </w:tc>
      </w:tr>
      <w:tr>
        <w:trPr>
          <w:trHeight w:val="142"/>
        </w:trPr>
        <w:tc>
          <w:tcPr>
            <w:tcW w:w="66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Proceeds from borrowings under credit agreement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243,700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153,200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620,900</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Repayments of borrowings under credit agreement</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(243,700)</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(153,200)</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(620,900)</w:t>
            </w: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Proceeds from issuance of convertible notes due 2029</w:t>
            </w: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Repurchases of convertible notes due 2025</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(113,405)</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(497,613)</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Proceeds from term loan</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450,000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Repayment of delayed draw term loan</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(350,000)</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Payments for debt issuance costs</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(2,571)</w:t>
            </w:r>
          </w:p>
        </w:tc>
        <w:tc>
          <w:tcPr>
            <w:tcW w:w="2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(19,185)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Contributions by noncontrolling interests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2,867</w:t>
            </w:r>
          </w:p>
        </w:tc>
        <w:tc>
          <w:tcPr>
            <w:tcW w:w="100" w:type="dxa"/>
            <w:vAlign w:val="bottom"/>
            <w:shd w:val="clear" w:color="auto" w:fill="CFF0FC"/>
          </w:tcPr>
          <w:p>
            <w:pPr>
              <w:spacing w:after="0"/>
              <w:rPr>
                <w:sz w:val="12"/>
                <w:szCs w:val="12"/>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(63,275)</w:t>
            </w:r>
          </w:p>
        </w:tc>
        <w:tc>
          <w:tcPr>
            <w:tcW w:w="2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(29,199)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(12,496)</w:t>
            </w: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Repurchases of common stock</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(124,994)</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(11,000)</w:t>
            </w: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Taxes paid on vested stock</w:t>
            </w: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(20,315)</w:t>
            </w:r>
          </w:p>
        </w:tc>
        <w:tc>
          <w:tcPr>
            <w:tcW w:w="2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(22,560)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(7,301)</w:t>
            </w: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Capped call transactions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(88,400)</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Bond hedge termination</w:t>
            </w: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195,549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shd w:val="clear" w:color="auto" w:fill="CFF0FC"/>
          </w:tcPr>
          <w:p>
            <w:pPr>
              <w:spacing w:after="0"/>
              <w:rPr>
                <w:sz w:val="20"/>
                <w:szCs w:val="20"/>
                <w:color w:val="auto"/>
              </w:rPr>
            </w:pPr>
            <w:r>
              <w:rPr>
                <w:rFonts w:ascii="Arial" w:cs="Arial" w:eastAsia="Arial" w:hAnsi="Arial"/>
                <w:sz w:val="13"/>
                <w:szCs w:val="13"/>
                <w:color w:val="auto"/>
              </w:rPr>
              <w:t>Redemption of warrants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(104,952)</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Proceeds from issuance of common stock</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8,880</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6,059</w:t>
            </w:r>
          </w:p>
        </w:tc>
        <w:tc>
          <w:tcPr>
            <w:tcW w:w="100" w:type="dxa"/>
            <w:vAlign w:val="bottom"/>
          </w:tcPr>
          <w:p>
            <w:pPr>
              <w:spacing w:after="0"/>
              <w:rPr>
                <w:sz w:val="12"/>
                <w:szCs w:val="12"/>
                <w:color w:val="auto"/>
              </w:rPr>
            </w:pPr>
          </w:p>
        </w:tc>
      </w:tr>
      <w:tr>
        <w:trPr>
          <w:trHeight w:val="142"/>
        </w:trPr>
        <w:tc>
          <w:tcPr>
            <w:tcW w:w="6640" w:type="dxa"/>
            <w:vAlign w:val="bottom"/>
            <w:shd w:val="clear" w:color="auto" w:fill="CFF0FC"/>
          </w:tcPr>
          <w:p>
            <w:pPr>
              <w:ind w:left="24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(214,100)</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218,749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(21,871)</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color w:val="auto"/>
              </w:rPr>
              <w:t>Effect of exchange rate changes</w:t>
            </w: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4,142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(5,035)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3"/>
                <w:szCs w:val="13"/>
                <w:color w:val="auto"/>
              </w:rPr>
              <w:t>546</w:t>
            </w:r>
          </w:p>
        </w:tc>
        <w:tc>
          <w:tcPr>
            <w:tcW w:w="100" w:type="dxa"/>
            <w:vAlign w:val="bottom"/>
          </w:tcPr>
          <w:p>
            <w:pPr>
              <w:spacing w:after="0"/>
              <w:rPr>
                <w:sz w:val="12"/>
                <w:szCs w:val="12"/>
                <w:color w:val="auto"/>
              </w:rPr>
            </w:pPr>
          </w:p>
        </w:tc>
      </w:tr>
      <w:tr>
        <w:trPr>
          <w:trHeight w:val="142"/>
        </w:trPr>
        <w:tc>
          <w:tcPr>
            <w:tcW w:w="6640" w:type="dxa"/>
            <w:vAlign w:val="bottom"/>
            <w:shd w:val="clear" w:color="auto" w:fill="CFF0FC"/>
          </w:tcPr>
          <w:p>
            <w:pPr>
              <w:ind w:left="240"/>
              <w:spacing w:after="0" w:line="142" w:lineRule="exact"/>
              <w:rPr>
                <w:sz w:val="20"/>
                <w:szCs w:val="20"/>
                <w:color w:val="auto"/>
              </w:rPr>
            </w:pPr>
            <w:r>
              <w:rPr>
                <w:rFonts w:ascii="Arial" w:cs="Arial" w:eastAsia="Arial" w:hAnsi="Arial"/>
                <w:sz w:val="13"/>
                <w:szCs w:val="13"/>
                <w:color w:val="auto"/>
              </w:rPr>
              <w:t>Net increase (decrease) in cash, cash equivalents and restricted cash</w:t>
            </w: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12,840</w:t>
            </w:r>
          </w:p>
        </w:tc>
        <w:tc>
          <w:tcPr>
            <w:tcW w:w="24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180,605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10,404</w:t>
            </w:r>
          </w:p>
        </w:tc>
        <w:tc>
          <w:tcPr>
            <w:tcW w:w="100" w:type="dxa"/>
            <w:vAlign w:val="bottom"/>
            <w:shd w:val="clear" w:color="auto" w:fill="CFF0FC"/>
          </w:tcPr>
          <w:p>
            <w:pPr>
              <w:spacing w:after="0"/>
              <w:rPr>
                <w:sz w:val="12"/>
                <w:szCs w:val="12"/>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Beginning of year</w:t>
            </w: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453,548</w:t>
            </w:r>
          </w:p>
        </w:tc>
        <w:tc>
          <w:tcPr>
            <w:tcW w:w="2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272,943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262,539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color w:val="auto"/>
              </w:rPr>
              <w:t>End of year</w:t>
            </w:r>
          </w:p>
        </w:tc>
        <w:tc>
          <w:tcPr>
            <w:tcW w:w="300" w:type="dxa"/>
            <w:vAlign w:val="bottom"/>
          </w:tcPr>
          <w:p>
            <w:pPr>
              <w:jc w:val="right"/>
              <w:ind w:right="153"/>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466,388</w:t>
            </w:r>
          </w:p>
        </w:tc>
        <w:tc>
          <w:tcPr>
            <w:tcW w:w="240" w:type="dxa"/>
            <w:vAlign w:val="bottom"/>
          </w:tcPr>
          <w:p>
            <w:pPr>
              <w:spacing w:after="0"/>
              <w:rPr>
                <w:sz w:val="12"/>
                <w:szCs w:val="12"/>
                <w:color w:val="auto"/>
              </w:rPr>
            </w:pPr>
          </w:p>
        </w:tc>
        <w:tc>
          <w:tcPr>
            <w:tcW w:w="280" w:type="dxa"/>
            <w:vAlign w:val="bottom"/>
          </w:tcPr>
          <w:p>
            <w:pPr>
              <w:jc w:val="right"/>
              <w:ind w:right="133"/>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line="142" w:lineRule="exact"/>
              <w:rPr>
                <w:sz w:val="20"/>
                <w:szCs w:val="20"/>
                <w:color w:val="auto"/>
              </w:rPr>
            </w:pPr>
            <w:r>
              <w:rPr>
                <w:rFonts w:ascii="Arial" w:cs="Arial" w:eastAsia="Arial" w:hAnsi="Arial"/>
                <w:sz w:val="13"/>
                <w:szCs w:val="13"/>
                <w:color w:val="auto"/>
              </w:rPr>
              <w:t>453,548</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42" w:lineRule="exact"/>
              <w:rPr>
                <w:sz w:val="20"/>
                <w:szCs w:val="20"/>
                <w:color w:val="auto"/>
              </w:rPr>
            </w:pPr>
            <w:r>
              <w:rPr>
                <w:rFonts w:ascii="Arial" w:cs="Arial" w:eastAsia="Arial" w:hAnsi="Arial"/>
                <w:sz w:val="13"/>
                <w:szCs w:val="13"/>
                <w:color w:val="auto"/>
              </w:rPr>
              <w:t>272,943</w:t>
            </w:r>
          </w:p>
        </w:tc>
        <w:tc>
          <w:tcPr>
            <w:tcW w:w="10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6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Cash paid during the year for</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640" w:type="dxa"/>
            <w:vAlign w:val="bottom"/>
          </w:tcPr>
          <w:p>
            <w:pPr>
              <w:spacing w:after="0" w:line="148" w:lineRule="exact"/>
              <w:rPr>
                <w:sz w:val="20"/>
                <w:szCs w:val="20"/>
                <w:color w:val="auto"/>
              </w:rPr>
            </w:pPr>
            <w:r>
              <w:rPr>
                <w:rFonts w:ascii="Arial" w:cs="Arial" w:eastAsia="Arial" w:hAnsi="Arial"/>
                <w:sz w:val="13"/>
                <w:szCs w:val="13"/>
                <w:color w:val="auto"/>
              </w:rPr>
              <w:t>Interest</w:t>
            </w:r>
          </w:p>
        </w:tc>
        <w:tc>
          <w:tcPr>
            <w:tcW w:w="300" w:type="dxa"/>
            <w:vAlign w:val="bottom"/>
          </w:tcPr>
          <w:p>
            <w:pPr>
              <w:jc w:val="right"/>
              <w:ind w:right="153"/>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43,810</w:t>
            </w:r>
          </w:p>
        </w:tc>
        <w:tc>
          <w:tcPr>
            <w:tcW w:w="240" w:type="dxa"/>
            <w:vAlign w:val="bottom"/>
          </w:tcPr>
          <w:p>
            <w:pPr>
              <w:spacing w:after="0"/>
              <w:rPr>
                <w:sz w:val="12"/>
                <w:szCs w:val="12"/>
                <w:color w:val="auto"/>
              </w:rPr>
            </w:pPr>
          </w:p>
        </w:tc>
        <w:tc>
          <w:tcPr>
            <w:tcW w:w="280" w:type="dxa"/>
            <w:vAlign w:val="bottom"/>
          </w:tcPr>
          <w:p>
            <w:pPr>
              <w:jc w:val="right"/>
              <w:ind w:right="133"/>
              <w:spacing w:after="0" w:line="148" w:lineRule="exact"/>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line="148" w:lineRule="exact"/>
              <w:rPr>
                <w:sz w:val="20"/>
                <w:szCs w:val="20"/>
                <w:color w:val="auto"/>
              </w:rPr>
            </w:pPr>
            <w:r>
              <w:rPr>
                <w:rFonts w:ascii="Arial" w:cs="Arial" w:eastAsia="Arial" w:hAnsi="Arial"/>
                <w:sz w:val="13"/>
                <w:szCs w:val="13"/>
                <w:color w:val="auto"/>
              </w:rPr>
              <w:t>34,440</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48" w:lineRule="exact"/>
              <w:rPr>
                <w:sz w:val="20"/>
                <w:szCs w:val="20"/>
                <w:color w:val="auto"/>
              </w:rPr>
            </w:pPr>
            <w:r>
              <w:rPr>
                <w:rFonts w:ascii="Arial" w:cs="Arial" w:eastAsia="Arial" w:hAnsi="Arial"/>
                <w:sz w:val="13"/>
                <w:szCs w:val="13"/>
                <w:color w:val="auto"/>
              </w:rPr>
              <w:t>30,273</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-3204845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-3204845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-3204845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-2433320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-2433320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-2433320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-710565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-710565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-316230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left="520" w:right="8520" w:hanging="512"/>
        <w:spacing w:after="0" w:line="360" w:lineRule="auto"/>
        <w:tabs>
          <w:tab w:leader="none" w:pos="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509"/>
        <w:spacing w:after="0" w:line="247"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282"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10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include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Intercompany accounts and transactions are eliminated in consolidation. Certain amounts may not foot due to rounding.</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preparation of the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ESOP</w:t>
      </w:r>
    </w:p>
    <w:p>
      <w:pPr>
        <w:spacing w:after="0" w:line="10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Company maintains a non-leveraged ESOP for eligible employees, for which the Company contributes shares of its own stock to the ESOP trust each year. Throughout the year, as employee services are rendered, the Company records compensation expense based on salaries of eligible employees. At each reporting period, the shares held within the ESOP or committed to be contributed to the ESOP are adjusted to their redemption value through an offsetting charge or credit to retained earnings.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Treasury Stock</w:t>
      </w:r>
    </w:p>
    <w:p>
      <w:pPr>
        <w:spacing w:after="0" w:line="104" w:lineRule="exact"/>
        <w:rPr>
          <w:sz w:val="20"/>
          <w:szCs w:val="20"/>
          <w:color w:val="auto"/>
        </w:rPr>
      </w:pPr>
    </w:p>
    <w:p>
      <w:pPr>
        <w:ind w:right="260" w:firstLine="509"/>
        <w:spacing w:after="0" w:line="275" w:lineRule="auto"/>
        <w:rPr>
          <w:sz w:val="20"/>
          <w:szCs w:val="20"/>
          <w:color w:val="auto"/>
        </w:rPr>
      </w:pPr>
      <w:r>
        <w:rPr>
          <w:rFonts w:ascii="Arial" w:cs="Arial" w:eastAsia="Arial" w:hAnsi="Arial"/>
          <w:sz w:val="17"/>
          <w:szCs w:val="17"/>
          <w:color w:val="auto"/>
        </w:rPr>
        <w:t>The Company records treasury stock purchases under the cost method whereby the entire cost of the acquired stock is recorded as treasury stock. The Company records the reissuance of treasury stock using the first-in, first-out method of accounting. Contributions of 1,172,622 shares, 633,033 shares, and 915,113 shares of common stock were made to the ESOP in 2025, 2024 and 2023,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 Repurchases</w:t>
      </w:r>
    </w:p>
    <w:p>
      <w:pPr>
        <w:spacing w:after="0" w:line="10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Any purchases made by the Company during Q1 of 2025 were deducted from the reset capacity.</w:t>
      </w:r>
    </w:p>
    <w:p>
      <w:pPr>
        <w:spacing w:after="0" w:line="6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Basic earnings per common share (“EPS”) is calculated by dividing Net income by the weighted average number of common shares outstanding during the year. Diluted earnings per common share is calculated using the if-converted method by dividing adjusted net income by adjusted weighted average outstanding shares, assuming conversion of all potentially dilutive securities. Upon contribution to the ESOP, the shares become outstanding and are included within the earnings per share computations.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 xml:space="preserve">In accordance with Account Standard Update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follows the five-step process in ASC 606 to recognize revenue:</w:t>
      </w:r>
    </w:p>
    <w:p>
      <w:pPr>
        <w:spacing w:after="0" w:line="46"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performance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Recognize revenue</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Contracts</w:t>
      </w:r>
      <w:r>
        <w:rPr>
          <w:rFonts w:ascii="Arial" w:cs="Arial" w:eastAsia="Arial" w:hAnsi="Arial"/>
          <w:sz w:val="18"/>
          <w:szCs w:val="18"/>
          <w:color w:val="auto"/>
        </w:rPr>
        <w:t>—Revenue is derived from long-term contracts with customers whereby the Company provides planning, design,</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technical, and construction and program management services. The Company has contracts with the United States federal government that contain provisions requiring compliance with the United States Federal Acquisition Regulation (“FAR”) and the United States Cost Accounting Standards (“CAS”). These regulations are generally applicable to all of the Company’s federal government contracts and are partially or fully incorporated in some local and state agency contracts. Most of the Company’s federal government contracts are subject to termination at the convenience of the client. These contracts typically provide for reimbursement of costs incurred and payment of fees earned through the date of such termination.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enters into the following types of contracts with its customers:</w:t>
      </w:r>
    </w:p>
    <w:p>
      <w:pPr>
        <w:spacing w:after="0" w:line="21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Cost-Plus—Under cost-plus contracts, the Company is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Time-and-Materials—Under time-and-materials contracts, hourly billing rates are negotiated and charged to clients based on the actual time spent on a project. In certain cases, these contracts may be subject to maximum contract values. In addition, clients reimburse actual out-of-pocket costs for materials and other direct incidental expenditures that are incurred in connection with the performance under the contract.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Fixed-Price—The Company enters into two types of fixed-price contracts: firm fixed-price (“FFP”) and fixed-price per unit (“FPPU”).</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Under FFP contracts, clients pay an agreed fixed-amount negotiated in advance for a specified scope of work.</w:t>
      </w:r>
    </w:p>
    <w:p>
      <w:pPr>
        <w:spacing w:after="0" w:line="19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i w:val="1"/>
          <w:iCs w:val="1"/>
          <w:color w:val="auto"/>
        </w:rPr>
        <w:t>Contract Costs</w:t>
      </w:r>
      <w:r>
        <w:rPr>
          <w:rFonts w:ascii="Arial" w:cs="Arial" w:eastAsia="Arial" w:hAnsi="Arial"/>
          <w:sz w:val="18"/>
          <w:szCs w:val="18"/>
          <w:color w:val="auto"/>
        </w:rPr>
        <w:t>—Contract costs consist of direct costs on contracts, including labor and materials, amounts payable to subcontractors,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Pre-contract costs are expensed as incurred unless they are expected to be recovered from the client, generate or enhance resources that will be used in satisfying performance obligations in the future and directly relate to an existing or anticipated contract. Costs to mobilize equipment and labor to a job site, prior to substantive work beginning (“mobilization costs”) are capitalized as incurred and amortized over the expected duration of the contract. Additionally, the Company may incur incremental costs to obtain certain contracts, such as selling and market costs, bid and proposal costs, sales commissions, and legal fees, certain of which can be capitalized if they are recoverable under the contract. Capitalized contract costs are included in other current assets on the consolidated balance sheets and were not material as of December 31, 2025 and December 31, 2024.</w:t>
      </w:r>
    </w:p>
    <w:p>
      <w:pPr>
        <w:spacing w:after="0" w:line="18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—A performance obligation is a promise in a contract to transfer a distinct good or service to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and is the unit of account in ASC 606. The transaction price of a contract is allocated to each distinct performance obligation and recognized as revenue when, or as, the performance obligation is satisfied. To the extent a contract is deemed to have multiple performance obligations, the Company allocates the transaction price of the contract to each performance obligation using our best estimate of the standalone selling price of each distinct good or service in the contract. The Company determines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the Company provides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the Company is not liable for the construction of the asset, but has an overall responsibility to oversee, coordinate, measure, and evaluate the quality of construction work and the performance of the construction contractor on behalf of the customer. Customers are generally billed as the Company satisfies its performance obligations and payment terms typically range from 30 to 120 days from the invoice date. Billings under certain fixed-price contracts may be based upon the achievement of specified milestones, while some arrangements may require advance customer payment. The Company’s contracts generally do not include a significant financing component.</w:t>
      </w:r>
    </w:p>
    <w:p>
      <w:pPr>
        <w:spacing w:after="0" w:line="188" w:lineRule="exact"/>
        <w:rPr>
          <w:sz w:val="20"/>
          <w:szCs w:val="20"/>
          <w:color w:val="auto"/>
        </w:rPr>
      </w:pPr>
    </w:p>
    <w:p>
      <w:pPr>
        <w:ind w:right="160" w:firstLine="509"/>
        <w:spacing w:after="0"/>
        <w:rPr>
          <w:sz w:val="20"/>
          <w:szCs w:val="20"/>
          <w:color w:val="auto"/>
        </w:rPr>
      </w:pPr>
      <w:r>
        <w:rPr>
          <w:rFonts w:ascii="Arial" w:cs="Arial" w:eastAsia="Arial" w:hAnsi="Arial"/>
          <w:sz w:val="18"/>
          <w:szCs w:val="18"/>
          <w:i w:val="1"/>
          <w:iCs w:val="1"/>
          <w:color w:val="auto"/>
        </w:rPr>
        <w:t>Variable Consideration</w:t>
      </w:r>
      <w:r>
        <w:rPr>
          <w:rFonts w:ascii="Arial" w:cs="Arial" w:eastAsia="Arial" w:hAnsi="Arial"/>
          <w:sz w:val="18"/>
          <w:szCs w:val="18"/>
          <w:color w:val="auto"/>
        </w:rPr>
        <w:t>—The transaction price for the Company’s contracts may include variable consideration,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transaction price for approved and unpriced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The Company estimates variable consideration for a performance obligation utilizing one of the two prescribed methods, depending on which method better predicts the amount of consideration to which the Company will be entitled (or the amount the Company expects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incur in the case of liquidated damages). Such methods are: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utilized in situations where a contract contains a large number of possible outcomes, while the most likely amount method is utilized in situations where a contract has only two possible outcomes.</w:t>
      </w:r>
    </w:p>
    <w:p>
      <w:pPr>
        <w:spacing w:after="0" w:line="17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Company includes variable consideration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anticipated performance and all information (historical, current and forecasted) that is reasonably available. The effect of variable consideration on the transaction price of a performance obligation is recognized as an adjustment to revenue on a cumulative catch-up basis.</w:t>
      </w:r>
    </w:p>
    <w:p>
      <w:pPr>
        <w:spacing w:after="0" w:line="17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Change Orders</w:t>
      </w:r>
      <w:r>
        <w:rPr>
          <w:rFonts w:ascii="Arial" w:cs="Arial" w:eastAsia="Arial" w:hAnsi="Arial"/>
          <w:sz w:val="18"/>
          <w:szCs w:val="18"/>
          <w:color w:val="auto"/>
        </w:rPr>
        <w:t>—Change orders, which are a normal and recurring part of business, may include changes in specifications or design,</w:t>
      </w:r>
      <w:r>
        <w:rPr>
          <w:rFonts w:ascii="Arial" w:cs="Arial" w:eastAsia="Arial" w:hAnsi="Arial"/>
          <w:sz w:val="18"/>
          <w:szCs w:val="18"/>
          <w:i w:val="1"/>
          <w:iCs w:val="1"/>
          <w:color w:val="auto"/>
        </w:rPr>
        <w:t xml:space="preserve"> </w:t>
      </w:r>
      <w:r>
        <w:rPr>
          <w:rFonts w:ascii="Arial" w:cs="Arial" w:eastAsia="Arial" w:hAnsi="Arial"/>
          <w:sz w:val="18"/>
          <w:szCs w:val="18"/>
          <w:color w:val="auto"/>
        </w:rPr>
        <w:t>manner of performance, facilities, equipment, materials, sites and period of completion of the work. The Company or customer may initiate change orders. Most change orders are not distinct from the existing contract and are accounted for as part of that existing contract. The effect of a change order on the transaction price and measure of progress for the performance obligation to which it relates is recognized as an adjustment to revenues (either as an increase in or a reduction of revenues) on a cumulative catch-up basis. Revenues from unpriced change orders are recognized to the extent of the amounts the Company expects to recover, consistent with the variable consideration policy discussed above. If it is probable that a reversal of revenues will occur, the costs attributable to change orders are treated as contract costs without incremental revenues. To the extent change orders included in the price are not resolved in the Company’s favor, there could be reductions in, or reversals of previously reported amounts of, revenues and profits, and charges against current earnings, which could be material.</w:t>
      </w:r>
    </w:p>
    <w:p>
      <w:pPr>
        <w:spacing w:after="0" w:line="180"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Claims Revenue</w:t>
      </w:r>
      <w:r>
        <w:rPr>
          <w:rFonts w:ascii="Arial" w:cs="Arial" w:eastAsia="Arial" w:hAnsi="Arial"/>
          <w:sz w:val="18"/>
          <w:szCs w:val="18"/>
          <w:color w:val="auto"/>
        </w:rPr>
        <w:t>—Claims revenue are amounts in excess of agreed contract prices that the Company seeks to collect from clients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others for customer-caused delays, errors in specifications and designs, contract terminations, change orders that are in dispute, or other causes of unanticipated additional contract costs, including factors outside of our control, and therefore the Company believes it is entitled to additional compensation. Claims revenue, when recorded, is only recorded to the extent it is probable that a significant reversal of cumulative revenue recognized will not occur. The Company includes certain claims in the transaction price when the claims are legally enforceable, the Company considers collection to be probable and believes it can reliably estimate the ultimate value. The Company continues to engage in negotiations with its customers on outstanding claims. However, these claims may be resolved at amounts that differ from current estimates, which could result in increases or decreases in future estimated contract profits or losses.</w:t>
      </w:r>
    </w:p>
    <w:p>
      <w:pPr>
        <w:spacing w:after="0" w:line="180"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i w:val="1"/>
          <w:iCs w:val="1"/>
          <w:color w:val="auto"/>
        </w:rPr>
        <w:t>Warranties</w:t>
      </w:r>
      <w:r>
        <w:rPr>
          <w:rFonts w:ascii="Arial" w:cs="Arial" w:eastAsia="Arial" w:hAnsi="Arial"/>
          <w:sz w:val="18"/>
          <w:szCs w:val="18"/>
          <w:color w:val="auto"/>
        </w:rPr>
        <w:t>—In most cases, contracts include assurance-type warranties that the Company’s performance is free from material defect</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consistent with the specifications of the Company’s contracts, which do not give rise to a separate performance obligation. To the extent the warranty terms provide the customer with an additional service, such as extended maintenance services, such warranty is accounted for as a separate performance obligation.</w:t>
      </w:r>
    </w:p>
    <w:p>
      <w:pPr>
        <w:spacing w:after="0" w:line="17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i w:val="1"/>
          <w:iCs w:val="1"/>
          <w:color w:val="auto"/>
        </w:rPr>
        <w:t>Revenue recognized over time</w:t>
      </w:r>
      <w:r>
        <w:rPr>
          <w:rFonts w:ascii="Arial" w:cs="Arial" w:eastAsia="Arial" w:hAnsi="Arial"/>
          <w:sz w:val="18"/>
          <w:szCs w:val="18"/>
          <w:color w:val="auto"/>
        </w:rPr>
        <w:t>—The Company’s performance obligations are generally satisfied over time as work progresses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continuous transfer of control to the customer and the Company has the right to bill the customer as costs are incurred. Typically, revenue is recognized over time using an input measure (i.e. costs incurred to date relative to total estimated costs at completion) to measure progress. The Company generally uses the cost-to-cost measure of progress method because it best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depicts the transfer of control to the customer which occurs as the Company incurs costs on its contracts.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 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18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i w:val="1"/>
          <w:iCs w:val="1"/>
          <w:color w:val="auto"/>
        </w:rPr>
        <w:t>Right to invoice practical expedient</w:t>
      </w:r>
      <w:r>
        <w:rPr>
          <w:rFonts w:ascii="Arial" w:cs="Arial" w:eastAsia="Arial" w:hAnsi="Arial"/>
          <w:sz w:val="18"/>
          <w:szCs w:val="18"/>
          <w:color w:val="auto"/>
        </w:rPr>
        <w:t>—For performance obligations satisfied over time where the Company has a right to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customer in an amount that corresponds directly with the value of the Company’s performance to-date, the Company recognizes revenue in the amount to which it has a right to invoice. For the Company’s reimbursable services contracts, revenue is recognized using the right to invoice practical expedient, or on a cost-to-cost measure of progress method. The Company will select the method that best represents progress on a project.</w:t>
      </w:r>
    </w:p>
    <w:p>
      <w:pPr>
        <w:spacing w:after="0" w:line="176"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i w:val="1"/>
          <w:iCs w:val="1"/>
          <w:color w:val="auto"/>
        </w:rPr>
        <w:t>Revenue recognized at a point in time</w:t>
      </w:r>
      <w:r>
        <w:rPr>
          <w:rFonts w:ascii="Arial" w:cs="Arial" w:eastAsia="Arial" w:hAnsi="Arial"/>
          <w:sz w:val="18"/>
          <w:szCs w:val="18"/>
          <w:color w:val="auto"/>
        </w:rPr>
        <w:t>—For performance obligations satisfied at a point in time, revenue is recognized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performed, control is transferred, and the performance obligation is complete. The Company recognizes revenue at a point in time for vehicle inspection services. Revenue related to the inspection service is recognized for each vehicle inspection at the point the Company has completed the inspection.</w:t>
      </w:r>
    </w:p>
    <w:p>
      <w:pPr>
        <w:spacing w:after="0" w:line="174"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In the Company’s industry, recognition of profit on long-term contracts requires the use of assumptions and estimates related to total contract revenue and in particular estimated claims revenue, total estimated cost at completion, and the measurement of progress towards completion. Estimates are continually evaluated as work progresses and are revised when necessary. When a change in estimate is determined to have an impact on contract profit, the Company records a positive or negative adjustment to the consolidated statements of income.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Cash Equivalents</w:t>
      </w:r>
    </w:p>
    <w:p>
      <w:pPr>
        <w:spacing w:after="0" w:line="104"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The Company considers all highly liquid investments with original maturities of less than three months to be cash equivalents. Cash equivalent investments are carried at cost, which approximates fair value, and consist primarily of United States Treasuries, time deposits, and other forms of short-term fixed income investments.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Cash and Investments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and investments held in trust accounts represent collateral for certain incentive programs.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 Net</w:t>
      </w:r>
    </w:p>
    <w:p>
      <w:pPr>
        <w:spacing w:after="0" w:line="104"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Accounts receivable includes billed and unbilled amounts and are recognized in the period when the Company’s rights to receive consideration are unconditional.</w:t>
      </w:r>
    </w:p>
    <w:p>
      <w:pPr>
        <w:spacing w:after="0" w:line="15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Company establishes an allowance for doubtful accounts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Past due receivable balances are written off when internal collection efforts have been unsuccessful in collecting the amounts due.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0" w:name="page111"/>
    <w:bookmarkEnd w:id="11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10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Projects with performance obligations recognized over time that have revenue recognized to-date in excess of cumulative billings and unbilled accounts receivable are reported on our consolidated balance sheets as “Contract assets”. Contract retentions, included in contract assets, represent amounts withheld by clients, in accordance with underlying contract terms, until certain conditions are met or the project is completed. The operating cycle for certain long-term contracts may extend beyond one year, and, accordingly, collection of retainage on those contracts may extend beyond one year. Contract assets are reclassified to accounts receivable when the right to consideration becomes unconditional.</w:t>
      </w:r>
    </w:p>
    <w:p>
      <w:pPr>
        <w:spacing w:after="0" w:line="17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Contract liabilities on uncompleted contracts represent the excess of cash collected from clients and billings to clients on contracts in advance of work performed over the amount of revenue recognized and provisions for losses. The majority of these amounts are expected to be earned within 12 months and are classified as current liabilities.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Concentration of Credit Risk</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 equivalents and accounts receivables. The Company’s cash is primarily held with major banks and financial institutions throughout the world. At times, cash balances may be in excess of the amount insured.</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51%, 59%, and 55% of consolidated revenues for the years ended December 31, 2025, December 31, 2024 and December 31, 2023, respectively, and approximately 19% and 23% of accounts receivable as of December 31, 2025 and December 31, 2024, respectively were derived from contracts with the United States federal government. No other customers represented 10% or more of consolidated revenues or accounts receivable in any of the periods presented. One customer set within the United States federal government represents over 20% of total Company revenue for the year ended December 31, 2025.</w:t>
      </w:r>
    </w:p>
    <w:p>
      <w:pPr>
        <w:spacing w:after="0" w:line="179"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In order to mitigate the credit risk associated with customers, the Company performs periodic credit evaluations of its customers’ financial condition.</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and Equipment</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Property and equipment are stated at cost and are shown net of accumulated depreciation. Depreciation is computed using the straight-line method over the estimated useful lives of the assets. Depreciation of leasehold improvements is computed using the straight-line method over the shorter of their estimated useful lives or the remaining term of the lease.</w:t>
      </w:r>
    </w:p>
    <w:p>
      <w:pPr>
        <w:spacing w:after="0" w:line="16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cost of assets retired or otherwise disposed of and the related accumulated depreciation are eliminated from the accounts, and any gain or loss thereon is included in net income. Expenditures for maintenance and repairs are expensed as incurred. Property and equipment are reviewed for impairment when events or circumstances change that indicate they may not be recoverable. Impairment losses are recognized when estimated future cash flows expected to result from the use of the assets and their eventual disposition are less than their carrying amount, in which case the asset is written down to its fair value.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8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have lease agreements with lease and non-lease components where the lease consideration is allocated between the components based on relative standalone prices. For real property leases, allocations of lease consideration between lease and non-lease components are immaterial.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Equity-Based Compensation</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measures the value of services received from employees and directors in exchange for an equity-based award based on the grant date fair value. The Company issues equity-based awards that settle in shares of the Company’s common stock. Awards containing performance measures are adjusted at each reporting period for the number of shares expected to be earned. Compensation cost for performance awards are trued-up at each reporting period for the number of shares expected to be earned pro-rated for the portion of the requisite service period rendered. The Company recognizes compensation costs for these awards on either a straight-line or accelerated basis over the vesting period of the award in selling, general and administrative expense in the consolidated statements of income. For awards that include market conditions, the grant date fair value is determined using a Monte Carlo simulation.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Business Combinations</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accounts for business combinations using the acquisition method, under which the purchase price of an acquired company is allocated to the tangible and intangible assets acquired and the liabilities assumed on the basis of their fair values at the date of acquisition. Any excess of purchase price over the fair value of tangible and intangible assets acquired and liabilities assumed is allocated to goodwill. The determination of fair values of assets acquired and liabilities assumed requires the Company to make estimates and use valuation techniques when a market value is not readily available.</w:t>
      </w:r>
    </w:p>
    <w:p>
      <w:pPr>
        <w:spacing w:after="0" w:line="6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determining the fair value of acquired intangible assets from our business acquisitions, the Company uses the multi-period excess earnings method to value customer relationships and backlog and values developed technologies using the relief-from royalty method. The Company’s determination of the fair value of the intangible assets acquired involves the use of significant estimates and assumptions related to discount rates, revenue growth rates, projected margins, and customer revenue attrition rates.</w:t>
      </w:r>
    </w:p>
    <w:p>
      <w:pPr>
        <w:spacing w:after="0" w:line="66"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Certain business acquisitions include contingent consideration. Contingent consideration is recorded at its fair value, using a Black-Scholes model, within other liabilities or other long-term liabilities, as appropriate. The fair value of contingent consideration involves the use of significant estimates and assumptions related to risks associated with earnout, i.e. risk in the underlying metric, risk in the earnout structure, counterparty credit risk, projected revenue, the revenue discount rate, the revenue volatility, and the Company's credit adjusted discount rate. Subsequent adjustments to these assumptions can cause changes to the measure of contingent consideration.</w:t>
      </w:r>
    </w:p>
    <w:p>
      <w:pPr>
        <w:spacing w:after="0" w:line="17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Company adjusts the preliminary purchase price allocation, as necessary, during the measurement period of up to one year after the acquisition closing date as the Company obtains more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information as to facts and circumstances existing at the acquisition date. Acquisition-related costs are recognized separate from the acquisition and are expensed as incurred.</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Consolidation of Joint Ventures and Variable Interest Entities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participates in joint ventures, which include partnerships and partially owned limited liability corporations, to bid, negotiate and complete specific projects. The Company is required to consolidate these joint ventures if it holds the majority voting interest or if the joint venture is determined to be a variable interest entity (“VIE”) for which the Company is the primary beneficiary, as described below.</w:t>
      </w:r>
    </w:p>
    <w:p>
      <w:pPr>
        <w:spacing w:after="0" w:line="16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The Company’s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8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is considered the primary beneficiary and required to consolidate a VIE if it has the power to direct the activities that most significantly impact that VIE’s economic performance, and the obligation to absorb losses or the right to receive benefits of that VIE that could potentially be significant to the VIE. In determining whether the Company is the primary beneficiary,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and (6) reviewing the funding and operating agreements. Examples of significant activities currently being performed by the Company’s significant consolidated and unconsolidated joint ventures include engineering and design services; management consulting services; procurement and construction services; program management; construction management; and operations and maintenance services. If the Company determines that the power to direct the significant activities is shared by two or more joint venture parties, then there is no primary beneficiary and no party consolidates the VIE. In making the shared-power determination, the Company analyzes the key contractual terms, governance, related party and de facto agency as they are defined in the accounting standard, and other arrangements.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Goodwill</w:t>
      </w:r>
    </w:p>
    <w:p>
      <w:pPr>
        <w:spacing w:after="0" w:line="109" w:lineRule="exact"/>
        <w:rPr>
          <w:sz w:val="20"/>
          <w:szCs w:val="20"/>
          <w:color w:val="auto"/>
        </w:rPr>
      </w:pPr>
    </w:p>
    <w:p>
      <w:pPr>
        <w:ind w:right="600" w:firstLine="509"/>
        <w:spacing w:after="0" w:line="234" w:lineRule="auto"/>
        <w:rPr>
          <w:sz w:val="20"/>
          <w:szCs w:val="20"/>
          <w:color w:val="auto"/>
        </w:rPr>
      </w:pPr>
      <w:r>
        <w:rPr>
          <w:rFonts w:ascii="Arial" w:cs="Arial" w:eastAsia="Arial" w:hAnsi="Arial"/>
          <w:sz w:val="17"/>
          <w:szCs w:val="17"/>
          <w:color w:val="auto"/>
        </w:rPr>
        <w:t>The Company performs a goodwill impairment test annually, on October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each year and additionally, performs a quarterly qualitative assessment to address whether a triggering event has occurred that would require an impairment test in the interim period.</w:t>
      </w:r>
    </w:p>
    <w:p>
      <w:pPr>
        <w:spacing w:after="0" w:line="180"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For purposes of impairment testing, goodwill is allocated to the applicable reporting units based on the current reporting structure. Reporting units are operating segments or components of operating segments where discrete financial information is available and segment management regularly reviews the operating results. When evaluating goodwill for impairment, the Company may decide to first perform a qualitative assessment, or “step zero” impairment test, to determine whether it is more likely than not that impairment has occurred. If the Company does not perform a qualitative assessment, or if the Company determines that it is not more likely than not that the fair value of its reporting units exceeds their carrying amounts, the Company performs a quantitative assessment and calculates the estimated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fair value of the respective reporting unit. If the carrying amount of a reporting unit exceeds its fair value, an impairment loss is recognized in the amount the carrying value exceeds its fair value, not to exceed the carrying amount of goodwill.</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decision to perform a qualitative impairment assessment in a given year is influenced by a number of factors, including the significance of the excess of the Company’s estimated fair value over carrying value at the last quantitative assessment date, the amount of time in between quantitative fair value assessments, and the date of its acquisitions, if any.</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sixteen years. These primarily consist of customer relationships, developed technology, backlog, and covenants not to compete. When indicators of a potential impairment exist, the Company assesses the recoverability of the unamortized balance of its intangible assets by first comparing undiscounted expected cash flows associated with the asset, or the asset group they are part of, to its carrying value. Should the review indicate that the carrying value is not fully recoverable, the excess of the carrying value over the fair value of the intangible assets would be recognized as an impairment loss.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Income taxes are accounted for under the asset and liability method. This approach requires the recognition of deferred tax liabilities and assets to reflect the tax effects of temporary differences between the financial statement carrying amounts and tax basis of the Company’s assets and liabilities. Deferred tax assets and liabilities are measured using enacted tax rates expected to be in effect when the asset or liability is recovered or settled. The effect of a change in tax rates on deferred tax assets and liabilities is recognized in income in the period that includes the enactment date. Deferred tax assets are evaluated for future realization and valuation allowances are established when, in our opinion, it is more likely than not that all or some portion of the asset will not be realized.</w:t>
      </w:r>
    </w:p>
    <w:p>
      <w:pPr>
        <w:spacing w:after="0" w:line="17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on examination by the taxing authorities based on the technical merits of the position. The tax benefits recognized in the financial statements on a particular tax position are measured based on the largest benefit that is greater than 50 percent likely of being realized. The amount of unrecognized tax benefits (“UTB”) is adjusted as appropriate for changes in facts and circumstances, such as significant amendments to existing tax law, new regulations or interpretations by the taxing authorities, new information obtained during a tax examination, or resolution of an examination. The Company recognizes both accrued interest and penalties, where appropriate, related to UTBs in income tax expense.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Foreign Currency Translation</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reporting currency is the U.S. Dollar. The functional currency of the Company’s foreign entities is typically the currency of the primary environment in which they operate. For foreign entities whose functional currency is not the U.S. dollar, the assets and liabilities are translated based on exchange rates in effect at the balance sheet date, while the income and expense accounts are translated using the average exchange rates during the period. Translation gains or losses, net of income tax effects, are reflected in accumulated other comprehensive income on the consolidated balance sheets. Transaction gains and losses due to movements in exchange rates between the functional currency and the currency in which a foreign currency transaction is denominated are recognized as “Other income (expense), net” in the Company’s consolidated statements of income.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Self-Insurance</w:t>
      </w:r>
    </w:p>
    <w:p>
      <w:pPr>
        <w:spacing w:after="0" w:line="10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Company typically utilizes third-party insurance subject to varying retention levels or self-insurance. The Company is self-insured for a portion of the losses and liabilities primarily associated with workers’ compensation, general, professional, automobile, employee matters, certain medical plans, and project-specific liability claims. Losses are accrued based upon the Company’s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New Accounting Pronouncements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fourth quarter of 2024, The Financial Accounting Standards Board ("FASB") Issued Accounting Standards Update (“ASU”) 2024-04, "Debt—Debt with Conversion and Other Options (Subtopic 470-20)" ("ASU 2024-04"). ASU 2024-04 improves the relevance and consistency in application of the induced conversion guidance in Subtopic 470-20, Debt–</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The amendments in ASU 2024-04 clarify the requirements for determining whether certain settlements of convertible debt instruments should be accounted for as an induced conversion. Under the amendments, to account for a settlement of a convertible debt instrument as an induced conversion, an inducement offer is required to provide the debt holder with, at a minimum, the consideration (in form and amount) issuable under the conversion privileges provided in the terms of the instrument. The amendments in this Update are effective for all entities for annual reporting periods beginning after December 15, 2025, and interim reporting periods within those annual reporting periods. Early adoption is permitted for all entities that have adopted the amendments in ASU 2020-06. The Company adopted ASU 2020-06 in the first quarter of 2021. The Company has elected to early adopt ASU 2024-04 as of January 1, 2024 on a prospective basis. The adoption of this ASU had a material impact on the Company's consolidated financial statements.</w:t>
      </w:r>
    </w:p>
    <w:p>
      <w:pPr>
        <w:spacing w:after="0" w:line="78"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the fourth quarter of 2024, The FASB Issued ASU 2024-03 "Income Statement—Reporting Comprehensive Income—Expense Disaggregation Disclosures (Subtopic 220-40)"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The adoption of this ASU will only impact disclosures and will not have a material impact on the Company's consolidated financial statements.</w:t>
      </w:r>
    </w:p>
    <w:p>
      <w:pPr>
        <w:spacing w:after="0" w:line="6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fourth quarter of 2023, The FASB Issued Accounting Standards Update (“ASU”) 2023-09, "Income Taxes (Topic 740)" ("ASU 2023-09"). ASU 2023-09 enhances the transparency and decision usefulness of income tax disclosures. The amendments in ASU 2023-09 addresses investor requests for more transparency about income tax information through improvements to income tax disclosures primarily related to the rate reconciliation and income taxes paid information. ASU 2023-09 also includes certain other amendments to improve the effectiveness of income tax disclosures. ASU 2023-09 is effective for fiscal years beginning after December 15, 2024. We adopted the standard and applied the disclosure requirements on a prospective basis effective for the year ended December 31, 2025. This ASU was adopted in the fourth quarter of 2025, prospectively. The adoption of this ASU will only impact disclosures and did not have a material impact on the Company's consolidated financial statements.</w:t>
      </w:r>
    </w:p>
    <w:p>
      <w:pPr>
        <w:spacing w:after="0" w:line="7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In the fourth quarter of 2023, The FASB Issued ASU 2023-07, "Segment Reporting (Topic 280)". ASU 2023-07 introduces enhanced disclosures about significant segment expenses along with other enhanced segment disclosures. ASU 2023-07 is effective for fiscal years beginning after December 15, 2023, and interim periods within fiscal years beginning after December 15, 2024. The adoption of this ASU only impacted disclosures and did not have a material impact on the Company's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1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202124"/>
        </w:rPr>
        <w:t>Applied Sciences Consulting, Inc.</w:t>
      </w:r>
    </w:p>
    <w:p>
      <w:pPr>
        <w:spacing w:after="0" w:line="21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202124"/>
        </w:rPr>
        <w:t>On October 1, 2025, the Company acquired a 100% ownership interest in Applied Sciences Consulting, Inc. ("ASC"), a privately owned company, for $28.1 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In connection with this acquisition, the Company recognized $0.5 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1,352</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1,210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21,852</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4,590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(557)</w:t>
            </w:r>
          </w:p>
        </w:tc>
      </w:tr>
      <w:tr>
        <w:trPr>
          <w:trHeight w:val="202"/>
        </w:trPr>
        <w:tc>
          <w:tcPr>
            <w:tcW w:w="640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(418)</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(511)</w:t>
            </w:r>
          </w:p>
        </w:tc>
      </w:tr>
      <w:tr>
        <w:trPr>
          <w:trHeight w:val="236"/>
        </w:trPr>
        <w:tc>
          <w:tcPr>
            <w:tcW w:w="640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28,137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140" w:type="dxa"/>
            <w:vAlign w:val="bottom"/>
          </w:tcPr>
          <w:p>
            <w:pPr>
              <w:jc w:val="center"/>
              <w:ind w:left="404"/>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1140" w:type="dxa"/>
            <w:vAlign w:val="bottom"/>
          </w:tcPr>
          <w:p>
            <w:pPr>
              <w:jc w:val="center"/>
              <w:ind w:left="384"/>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11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1140" w:type="dxa"/>
            <w:vAlign w:val="bottom"/>
            <w:shd w:val="clear" w:color="auto" w:fill="CFF0FC"/>
          </w:tcPr>
          <w:p>
            <w:pPr>
              <w:jc w:val="right"/>
              <w:ind w:right="964"/>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2,460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1,840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Non-compete agreements</w:t>
            </w: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Trade name</w:t>
            </w: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Amortization expense of $0.4 million related to these intangible assets was recorded for the year ended December 31, 2025. The entire value of goodwill was assigned to the Critical Infrastructure reporting unit and represents synergies expected to be realized from this business combination. The entire value of goodwill is deductible for tax purposes.</w:t>
      </w:r>
    </w:p>
    <w:p>
      <w:pPr>
        <w:spacing w:after="0" w:line="6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amount of revenue generated by ASC and included within consolidated revenue is $2.3 million for the year ended December 31, 2025.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ASC acquisition had been consummated as of the beginning of fiscal year 2024 (in thousands)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56"/>
        </w:trPr>
        <w:tc>
          <w:tcPr>
            <w:tcW w:w="6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6,371,493</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6,756,823</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310,257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289,861</w:t>
            </w:r>
          </w:p>
        </w:tc>
        <w:tc>
          <w:tcPr>
            <w:tcW w:w="12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Chesapeake Technology International, Corp</w:t>
      </w:r>
    </w:p>
    <w:p>
      <w:pPr>
        <w:spacing w:after="0" w:line="212"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202124"/>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In connection with this acquisition, the Company recognized $2.2 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502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4,769</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28,145</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4,256</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1,029</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57,468</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34,820</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3,173</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(17,818)</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(7,471)</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(8,079)</w:t>
            </w:r>
          </w:p>
        </w:tc>
      </w:tr>
      <w:tr>
        <w:trPr>
          <w:trHeight w:val="202"/>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(5,446)</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(2,167)</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(3,979)</w:t>
            </w:r>
          </w:p>
        </w:tc>
      </w:tr>
      <w:tr>
        <w:trPr>
          <w:trHeight w:val="196"/>
        </w:trPr>
        <w:tc>
          <w:tcPr>
            <w:tcW w:w="45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60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91,534</w:t>
            </w:r>
          </w:p>
        </w:tc>
        <w:tc>
          <w:tcPr>
            <w:tcW w:w="120" w:type="dxa"/>
            <w:vAlign w:val="bottom"/>
            <w:tcBorders>
              <w:top w:val="single" w:sz="8" w:color="CFF0FC"/>
            </w:tcBorders>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62"/>
        </w:trPr>
        <w:tc>
          <w:tcPr>
            <w:tcW w:w="4540" w:type="dxa"/>
            <w:vAlign w:val="bottom"/>
          </w:tcPr>
          <w:p>
            <w:pPr>
              <w:spacing w:after="0"/>
              <w:rPr>
                <w:sz w:val="24"/>
                <w:szCs w:val="24"/>
                <w:color w:val="auto"/>
              </w:rPr>
            </w:pPr>
          </w:p>
        </w:tc>
        <w:tc>
          <w:tcPr>
            <w:tcW w:w="5020" w:type="dxa"/>
            <w:vAlign w:val="bottom"/>
            <w:gridSpan w:val="2"/>
          </w:tcPr>
          <w:p>
            <w:pPr>
              <w:jc w:val="right"/>
              <w:ind w:right="3670"/>
              <w:spacing w:after="0"/>
              <w:rPr>
                <w:sz w:val="20"/>
                <w:szCs w:val="20"/>
                <w:color w:val="auto"/>
              </w:rPr>
            </w:pPr>
            <w:r>
              <w:rPr>
                <w:rFonts w:ascii="Arial" w:cs="Arial" w:eastAsia="Arial" w:hAnsi="Arial"/>
                <w:sz w:val="18"/>
                <w:szCs w:val="18"/>
                <w:color w:val="auto"/>
              </w:rPr>
              <w:t>F-22</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6"/>
        </w:trPr>
        <w:tc>
          <w:tcPr>
            <w:tcW w:w="45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-1208405</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20,690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2"/>
        </w:trPr>
        <w:tc>
          <w:tcPr>
            <w:tcW w:w="762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8,010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2,460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jc w:val="both"/>
        <w:ind w:right="480" w:firstLine="509"/>
        <w:spacing w:after="0" w:line="253" w:lineRule="auto"/>
        <w:rPr>
          <w:sz w:val="20"/>
          <w:szCs w:val="20"/>
          <w:color w:val="auto"/>
        </w:rPr>
      </w:pPr>
      <w:r>
        <w:rPr>
          <w:rFonts w:ascii="Arial" w:cs="Arial" w:eastAsia="Arial" w:hAnsi="Arial"/>
          <w:sz w:val="18"/>
          <w:szCs w:val="18"/>
          <w:color w:val="auto"/>
        </w:rPr>
        <w:t>Amortization expense of $2.7 million related to these intangible assets was recorded for the year ended December 31, 2025. The entire value of goodwill was assigned to the Federal Solutions reporting unit and represents synergies expected to be realized from this business combination. $8.8 million of goodwill is deductible for tax purposes.</w:t>
      </w:r>
    </w:p>
    <w:p>
      <w:pPr>
        <w:spacing w:after="0" w:line="6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amount of revenue generated by CTI and included within consolidated revenue is $36.2 million for the year ended December 31, 2025.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CTI acquisition had been consummated as of the beginning of fiscal year 2024 (in thousands)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55"/>
        </w:trPr>
        <w:tc>
          <w:tcPr>
            <w:tcW w:w="6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6,419,805</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6,840,001</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312,214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278,473</w:t>
            </w:r>
          </w:p>
        </w:tc>
        <w:tc>
          <w:tcPr>
            <w:tcW w:w="12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TRS Group, Inc.</w:t>
      </w:r>
    </w:p>
    <w:p>
      <w:pPr>
        <w:spacing w:after="0" w:line="212"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202124"/>
        </w:rPr>
        <w:t>On January 31, 2025, the Company acquired a 100% ownership interest in TRS Group, Inc. ("TRS") a privately owned company, for $36.6 million from cash on hand (of which $3.8 million will be paid in July 2026). TRS is an environmental solutions firm that specializes in remediation technology. In connection with this acquisition, the Company recognized $0.5 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91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PARSONS CORPORATION AND SUBSIDIARIES</w:t>
            </w: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140" w:type="dxa"/>
            <w:vAlign w:val="bottom"/>
          </w:tcPr>
          <w:p>
            <w:pPr>
              <w:jc w:val="center"/>
              <w:ind w:left="1970"/>
              <w:spacing w:after="0" w:line="202"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9140" w:type="dxa"/>
            <w:vAlign w:val="bottom"/>
            <w:tcBorders>
              <w:bottom w:val="single" w:sz="8" w:color="auto"/>
            </w:tcBorders>
          </w:tcPr>
          <w:p>
            <w:pPr>
              <w:jc w:val="center"/>
              <w:ind w:left="1950"/>
              <w:spacing w:after="0"/>
              <w:rPr>
                <w:sz w:val="20"/>
                <w:szCs w:val="20"/>
                <w:color w:val="auto"/>
              </w:rPr>
            </w:pPr>
            <w:r>
              <w:rPr>
                <w:rFonts w:ascii="Arial" w:cs="Arial" w:eastAsia="Arial" w:hAnsi="Arial"/>
                <w:sz w:val="18"/>
                <w:szCs w:val="18"/>
                <w:b w:val="1"/>
                <w:bCs w:val="1"/>
                <w:color w:val="auto"/>
                <w:w w:val="99"/>
              </w:rPr>
              <w:t>December 31, 2025, December 31, 2024 and December 31, 2023</w:t>
            </w:r>
          </w:p>
        </w:tc>
        <w:tc>
          <w:tcPr>
            <w:tcW w:w="5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510"/>
        </w:trPr>
        <w:tc>
          <w:tcPr>
            <w:tcW w:w="9660" w:type="dxa"/>
            <w:vAlign w:val="bottom"/>
            <w:gridSpan w:val="2"/>
          </w:tcPr>
          <w:p>
            <w:pPr>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7"/>
        </w:trPr>
        <w:tc>
          <w:tcPr>
            <w:tcW w:w="9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520" w:type="dxa"/>
            <w:vAlign w:val="bottom"/>
            <w:tcBorders>
              <w:top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5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5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5,832</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5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22,972</w:t>
            </w:r>
          </w:p>
        </w:tc>
        <w:tc>
          <w:tcPr>
            <w:tcW w:w="120" w:type="dxa"/>
            <w:vAlign w:val="bottom"/>
            <w:shd w:val="clear" w:color="auto" w:fill="CFF0FC"/>
          </w:tcPr>
          <w:p>
            <w:pPr>
              <w:spacing w:after="0"/>
              <w:rPr>
                <w:sz w:val="17"/>
                <w:szCs w:val="17"/>
                <w:color w:val="auto"/>
              </w:rPr>
            </w:pPr>
          </w:p>
        </w:tc>
      </w:tr>
      <w:tr>
        <w:trPr>
          <w:trHeight w:val="202"/>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(1,095)</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520" w:type="dxa"/>
            <w:vAlign w:val="bottom"/>
          </w:tcPr>
          <w:p>
            <w:pPr>
              <w:spacing w:after="0"/>
              <w:rPr>
                <w:sz w:val="17"/>
                <w:szCs w:val="17"/>
                <w:color w:val="auto"/>
              </w:rPr>
            </w:pP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(3,270)</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5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(4,222)</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520" w:type="dxa"/>
            <w:vAlign w:val="bottom"/>
          </w:tcPr>
          <w:p>
            <w:pPr>
              <w:spacing w:after="0"/>
              <w:rPr>
                <w:sz w:val="17"/>
                <w:szCs w:val="17"/>
                <w:color w:val="auto"/>
              </w:rPr>
            </w:pP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5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196"/>
        </w:trPr>
        <w:tc>
          <w:tcPr>
            <w:tcW w:w="91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36,566</w:t>
            </w:r>
          </w:p>
        </w:tc>
        <w:tc>
          <w:tcPr>
            <w:tcW w:w="12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140" w:type="dxa"/>
            <w:vAlign w:val="bottom"/>
          </w:tcPr>
          <w:p>
            <w:pPr>
              <w:jc w:val="center"/>
              <w:ind w:left="401"/>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1140" w:type="dxa"/>
            <w:vAlign w:val="bottom"/>
          </w:tcPr>
          <w:p>
            <w:pPr>
              <w:jc w:val="center"/>
              <w:ind w:left="381"/>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114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1140" w:type="dxa"/>
            <w:vAlign w:val="bottom"/>
            <w:shd w:val="clear" w:color="auto" w:fill="CFF0FC"/>
          </w:tcPr>
          <w:p>
            <w:pPr>
              <w:jc w:val="right"/>
              <w:ind w:right="961"/>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Developed technologies</w:t>
            </w:r>
          </w:p>
        </w:tc>
        <w:tc>
          <w:tcPr>
            <w:tcW w:w="1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3,900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140" w:type="dxa"/>
            <w:vAlign w:val="bottom"/>
            <w:shd w:val="clear" w:color="auto" w:fill="CFF0FC"/>
          </w:tcPr>
          <w:p>
            <w:pPr>
              <w:jc w:val="right"/>
              <w:ind w:right="961"/>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 xml:space="preserve">Amortization expense of $1.6 million related to these intangible assets was recorded for the </w:t>
      </w:r>
      <w:r>
        <w:rPr>
          <w:rFonts w:ascii="Arial" w:cs="Arial" w:eastAsia="Arial" w:hAnsi="Arial"/>
          <w:sz w:val="18"/>
          <w:szCs w:val="18"/>
          <w:color w:val="202124"/>
        </w:rPr>
        <w:t>year ended December 31, 2025</w:t>
      </w:r>
      <w:r>
        <w:rPr>
          <w:rFonts w:ascii="Arial" w:cs="Arial" w:eastAsia="Arial" w:hAnsi="Arial"/>
          <w:sz w:val="18"/>
          <w:szCs w:val="18"/>
          <w:color w:val="auto"/>
        </w:rPr>
        <w:t>. The entire value of goodwill was assigned to the Critical Infrastructure reporting unit and represents synergies expected to be realized from this business combination. The entire value of goodwill is deductible for tax purposes.</w:t>
      </w:r>
    </w:p>
    <w:p>
      <w:pPr>
        <w:spacing w:after="0" w:line="169"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 xml:space="preserve">The amount of revenue generated by TRS and included within consolidated revenue is $28.5 million for the </w:t>
      </w:r>
      <w:r>
        <w:rPr>
          <w:rFonts w:ascii="Arial" w:cs="Arial" w:eastAsia="Arial" w:hAnsi="Arial"/>
          <w:sz w:val="18"/>
          <w:szCs w:val="18"/>
          <w:color w:val="202124"/>
        </w:rPr>
        <w:t>year ended December 31,</w:t>
      </w:r>
      <w:r>
        <w:rPr>
          <w:rFonts w:ascii="Arial" w:cs="Arial" w:eastAsia="Arial" w:hAnsi="Arial"/>
          <w:sz w:val="18"/>
          <w:szCs w:val="18"/>
          <w:color w:val="auto"/>
        </w:rPr>
        <w:t xml:space="preserve"> </w:t>
      </w:r>
      <w:r>
        <w:rPr>
          <w:rFonts w:ascii="Arial" w:cs="Arial" w:eastAsia="Arial" w:hAnsi="Arial"/>
          <w:sz w:val="18"/>
          <w:szCs w:val="18"/>
          <w:color w:val="202124"/>
        </w:rPr>
        <w:t>2025</w:t>
      </w:r>
      <w:r>
        <w:rPr>
          <w:rFonts w:ascii="Arial" w:cs="Arial" w:eastAsia="Arial" w:hAnsi="Arial"/>
          <w:sz w:val="18"/>
          <w:szCs w:val="18"/>
          <w:color w:val="000000"/>
        </w:rPr>
        <w:t>. The Company has determined that the presentation of net income from the date of acquisition is impracticable due to the integration of</w:t>
      </w:r>
      <w:r>
        <w:rPr>
          <w:rFonts w:ascii="Arial" w:cs="Arial" w:eastAsia="Arial" w:hAnsi="Arial"/>
          <w:sz w:val="18"/>
          <w:szCs w:val="18"/>
          <w:color w:val="202124"/>
        </w:rPr>
        <w:t xml:space="preserve"> </w:t>
      </w:r>
      <w:r>
        <w:rPr>
          <w:rFonts w:ascii="Arial" w:cs="Arial" w:eastAsia="Arial" w:hAnsi="Arial"/>
          <w:sz w:val="18"/>
          <w:szCs w:val="18"/>
          <w:color w:val="000000"/>
        </w:rPr>
        <w:t>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TRS acquisition had been consummated as of the beginning of fiscal year 2024 (in thousands)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jc w:val="right"/>
              <w:ind w:right="499"/>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jc w:val="right"/>
              <w:ind w:right="499"/>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r>
      <w:tr>
        <w:trPr>
          <w:trHeight w:val="203"/>
        </w:trPr>
        <w:tc>
          <w:tcPr>
            <w:tcW w:w="5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 forma Revenue</w:t>
            </w:r>
          </w:p>
        </w:tc>
        <w:tc>
          <w:tcPr>
            <w:tcW w:w="14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6,366,268</w:t>
            </w: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6,779,739</w:t>
            </w:r>
          </w:p>
        </w:tc>
        <w:tc>
          <w:tcPr>
            <w:tcW w:w="100" w:type="dxa"/>
            <w:vAlign w:val="bottom"/>
            <w:shd w:val="clear" w:color="auto" w:fill="CFF0FC"/>
          </w:tcPr>
          <w:p>
            <w:pPr>
              <w:spacing w:after="0"/>
              <w:rPr>
                <w:sz w:val="17"/>
                <w:szCs w:val="17"/>
                <w:color w:val="auto"/>
              </w:rPr>
            </w:pPr>
          </w:p>
        </w:tc>
      </w:tr>
      <w:tr>
        <w:trPr>
          <w:trHeight w:val="239"/>
        </w:trPr>
        <w:tc>
          <w:tcPr>
            <w:tcW w:w="558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309,913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287,387</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right="840" w:firstLine="509"/>
        <w:spacing w:after="0" w:line="271"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BCC Engineering, LLC</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November 1, 2024, the Company acquired a 100% ownership interest in BCC Engineering, LLC ("BCC") a privately owned company, for $233.5 million from cash on hand.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In connection with this acquisition, the Company recognized $4.2 million of acquisition-related expenses in “Selling, general and administrative expense” in the consolidated statements of income for the year ended December 31, 2024, including legal fees, consulting fees, and other miscellaneous direct expenses associated with the acquisition.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7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23,240</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16,649</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9,438</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w:t>
            </w:r>
          </w:p>
        </w:tc>
        <w:tc>
          <w:tcPr>
            <w:tcW w:w="120" w:type="dxa"/>
            <w:vAlign w:val="bottom"/>
            <w:shd w:val="clear" w:color="auto" w:fill="CFF0FC"/>
          </w:tcPr>
          <w:p>
            <w:pPr>
              <w:spacing w:after="0"/>
              <w:rPr>
                <w:sz w:val="17"/>
                <w:szCs w:val="17"/>
                <w:color w:val="auto"/>
              </w:rPr>
            </w:pPr>
          </w:p>
        </w:tc>
      </w:tr>
      <w:tr>
        <w:trPr>
          <w:trHeight w:val="202"/>
        </w:trPr>
        <w:tc>
          <w:tcPr>
            <w:tcW w:w="76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176,582</w:t>
            </w:r>
          </w:p>
        </w:tc>
        <w:tc>
          <w:tcPr>
            <w:tcW w:w="12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32,400</w:t>
            </w:r>
          </w:p>
        </w:tc>
        <w:tc>
          <w:tcPr>
            <w:tcW w:w="12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(8,668)</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(7,296)</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(4,446)</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(2,090)</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(2,299)</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(7,462)</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(1,183)</w:t>
            </w:r>
          </w:p>
        </w:tc>
      </w:tr>
      <w:tr>
        <w:trPr>
          <w:trHeight w:val="236"/>
        </w:trPr>
        <w:tc>
          <w:tcPr>
            <w:tcW w:w="762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233,517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82"/>
        </w:trPr>
        <w:tc>
          <w:tcPr>
            <w:tcW w:w="9780" w:type="dxa"/>
            <w:vAlign w:val="bottom"/>
            <w:gridSpan w:val="6"/>
          </w:tcPr>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rPr>
              <w:t>Gross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rPr>
              <w:t>Carrying</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6,500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w:t>
            </w:r>
          </w:p>
        </w:tc>
      </w:tr>
      <w:tr>
        <w:trPr>
          <w:trHeight w:val="202"/>
        </w:trPr>
        <w:tc>
          <w:tcPr>
            <w:tcW w:w="762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Non-compete agreements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-1205230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-1188085</wp:posOffset>
            </wp:positionV>
            <wp:extent cx="774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3"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Amortization expense of $8.7 million and $1.5 million related to these intangible assets was recorded for the year ended December 31,2025 and December 31, 2024, respectively. The entire value of goodwill was assigned to the Critical Infrastructure reporting unit and represents synergies expected to be realized from this business combination. $45.8 million of goodwill is deductible for tax purposes.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The amount of revenue generated by BCC and included within consolidated revenue is $20.3 million for the year ended December 31, 2024. The Company has determined that the presentation of net income from the date of acquisition is impracticable due to the integration of general corporate functions upon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Supplemental information of unaudited pro forma operating results assuming the BCC acquisition had been consummated as of the beginning of fiscal year 2023 (in thousands) is as follows:</w:t>
      </w:r>
    </w:p>
    <w:tbl>
      <w:tblPr>
        <w:tblLayout w:type="fixed"/>
        <w:tblInd w:w="0" w:type="dxa"/>
        <w:tblCellMar>
          <w:top w:w="0" w:type="dxa"/>
          <w:left w:w="0" w:type="dxa"/>
          <w:bottom w:w="0" w:type="dxa"/>
          <w:right w:w="0" w:type="dxa"/>
        </w:tblCellMar>
      </w:tblPr>
      <w:tr>
        <w:trPr>
          <w:trHeight w:val="158"/>
        </w:trPr>
        <w:tc>
          <w:tcPr>
            <w:tcW w:w="6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39"/>
              <w:spacing w:after="0" w:line="158" w:lineRule="exact"/>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59"/>
              <w:spacing w:after="0" w:line="158"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6"/>
        </w:trPr>
        <w:tc>
          <w:tcPr>
            <w:tcW w:w="6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6,838,190</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5,537,090</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286,948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189,200</w:t>
            </w:r>
          </w:p>
        </w:tc>
        <w:tc>
          <w:tcPr>
            <w:tcW w:w="120" w:type="dxa"/>
            <w:vAlign w:val="bottom"/>
          </w:tcPr>
          <w:p>
            <w:pPr>
              <w:spacing w:after="0"/>
              <w:rPr>
                <w:sz w:val="20"/>
                <w:szCs w:val="20"/>
                <w:color w:val="auto"/>
              </w:rPr>
            </w:pPr>
          </w:p>
        </w:tc>
      </w:tr>
    </w:tbl>
    <w:p>
      <w:pPr>
        <w:spacing w:after="0" w:line="5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BlackSignal Technologies, LLC.</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from cash on hand. Headquartered in Chantilly, Virginia, BlackSignal is a next-generation digital signal processing, electronic warfare, and cyber security provider built to counter near peer threats. Parsons believes that the acquisition will expand Parsons' customer base across the Department of War and Intelligence Community and significantly strengthen Parsons' positioning within cyber warfare, while adding new capabilities in the counterspace radio frequency domain. In connection with this acquisition, the Company recognized $2.5 million of acquisition-related expenses in “Selling, general and administrative expense” in the consolidated statements of income for the year ended December 31, 2024, including legal fees, consulting fees, and other miscellaneous direct expenses associated with the acquisition.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502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4,917</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5,171</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r>
      <w:tr>
        <w:trPr>
          <w:trHeight w:val="202"/>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116,849</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97,600</w:t>
            </w:r>
          </w:p>
        </w:tc>
        <w:tc>
          <w:tcPr>
            <w:tcW w:w="12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(951)</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(4,999)</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(19,647)</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(4,570)</w:t>
            </w:r>
          </w:p>
        </w:tc>
      </w:tr>
      <w:tr>
        <w:trPr>
          <w:trHeight w:val="236"/>
        </w:trPr>
        <w:tc>
          <w:tcPr>
            <w:tcW w:w="454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6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203,738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862"/>
        </w:trPr>
        <w:tc>
          <w:tcPr>
            <w:tcW w:w="4540" w:type="dxa"/>
            <w:vAlign w:val="bottom"/>
          </w:tcPr>
          <w:p>
            <w:pPr>
              <w:spacing w:after="0"/>
              <w:rPr>
                <w:sz w:val="24"/>
                <w:szCs w:val="24"/>
                <w:color w:val="auto"/>
              </w:rPr>
            </w:pPr>
          </w:p>
        </w:tc>
        <w:tc>
          <w:tcPr>
            <w:tcW w:w="5020" w:type="dxa"/>
            <w:vAlign w:val="bottom"/>
            <w:gridSpan w:val="2"/>
          </w:tcPr>
          <w:p>
            <w:pPr>
              <w:jc w:val="right"/>
              <w:ind w:right="3670"/>
              <w:spacing w:after="0"/>
              <w:rPr>
                <w:sz w:val="20"/>
                <w:szCs w:val="20"/>
                <w:color w:val="auto"/>
              </w:rPr>
            </w:pPr>
            <w:r>
              <w:rPr>
                <w:rFonts w:ascii="Arial" w:cs="Arial" w:eastAsia="Arial" w:hAnsi="Arial"/>
                <w:sz w:val="18"/>
                <w:szCs w:val="18"/>
                <w:color w:val="auto"/>
              </w:rPr>
              <w:t>F-26</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45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11,700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Amortization expense of $12.7 million and $4.3 million related to these intangible assets was recorded for the year ended December 31,2025 and December 31, 2024, respectively. The entire value of goodwill was assigned to the Federal Solutions reporting unit and represents synergies expected to be realized from this business combination. $17.1 million of goodwill is deductible for tax purposes.</w:t>
      </w:r>
    </w:p>
    <w:p>
      <w:pPr>
        <w:spacing w:after="0" w:line="61"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amount of revenue generated by BlackSignal and included within consolidated revenue is $22.7 million for the year ended December 31, 2024. The Company has determined that the presentation of net income from the date of acquisition is impracticable due to the integration of general corporate functions upon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BlackSignal acquisition had been consummated as of the beginning of fiscal year 2023 (in thousands)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55"/>
        </w:trPr>
        <w:tc>
          <w:tcPr>
            <w:tcW w:w="6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6,782,552</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5,481,036</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283,900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185,954</w:t>
            </w:r>
          </w:p>
        </w:tc>
        <w:tc>
          <w:tcPr>
            <w:tcW w:w="120" w:type="dxa"/>
            <w:vAlign w:val="bottom"/>
          </w:tcPr>
          <w:p>
            <w:pPr>
              <w:spacing w:after="0"/>
              <w:rPr>
                <w:sz w:val="20"/>
                <w:szCs w:val="20"/>
                <w:color w:val="auto"/>
              </w:rPr>
            </w:pPr>
          </w:p>
        </w:tc>
      </w:tr>
    </w:tbl>
    <w:p>
      <w:pPr>
        <w:spacing w:after="0" w:line="5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 Engineers, LLC</w:t>
      </w:r>
    </w:p>
    <w:p>
      <w:pPr>
        <w:spacing w:after="0" w:line="10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(“I.S. Engineers”), a privately-owned company, for $12.2 million in cash. Headquartered in Texas, I.S. Engineers provides full service consulting specializing in transportation engineering, including roads and highways, and program management. The acquisition was entirely funded by cash on-hand. In connection with this acquisition, the Company recognized $0.3 million of acquisition related “Selling, general and administrative expense” in the consolidated statements of income for the year ended December 31, 2023, including legal fees, consulting fees, and other miscellaneous direct expenses associated with the acquisition. The Company allocated the purchase price to the appropriate classes of tangible assets and liabilities and assigned the excess of $11.9 million entirely to goodwill. The entire value of goodwill was assigned to the Critical Infrastructure reporting unit and represents synergies expected to be realized from this business combination. No goodwill is deductible for income tax purposes.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Sealing Technologies, Inc.</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$176.0 million in cash and up to an additional $25 million in the event an earn out revenue target is exceeded. The Company borrowed $175 million under the Credit Agreement to partially fund the acquisition. Headquartered in Maryland, SealingTech expands Parsons’ customer base across the Department of War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In connection with this acquisition, the Company recognized $3.3 million of acquisition-related expenses in “Selling, general and administrative expense” in the consolidated statements of income for the year ended December 31, 2023, including legal fees, consulting fees, and other miscellaneous direct expenses associated with the acquisition.</w:t>
      </w:r>
    </w:p>
    <w:p>
      <w:pPr>
        <w:spacing w:after="0" w:line="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 agreed to pay the selling shareholders up to an additional $25 million in the event an earn out revenue target of $110 million is exceeded during the fiscal year ended December 31, 2024. The earn out payment due and payable by the Company to the selling shareholders shall be equal to (i) five-tenths (0.5), multiplied by (ii) the difference of (A) the actual earn out revenue minus (B) the earn out revenue target; provided, however, that in no event shall the earn out payment exceed $25 million. In the event that the earn out revenue is less than or equal to the earn out revenue target, the earn out payment shall be zero. The earn out payment, if any, shall be paid by the Company to the selling shareholders within 15 days following the date the earn out statement becomes final and binding on both parties. The fair value of the earn out (contingent consideration in the table below) was calculated using a Black-Scholes model. See "Note 2—</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Significant Accounting Policies" </w:t>
      </w:r>
      <w:r>
        <w:rPr>
          <w:rFonts w:ascii="Arial" w:cs="Arial" w:eastAsia="Arial" w:hAnsi="Arial"/>
          <w:sz w:val="18"/>
          <w:szCs w:val="18"/>
          <w:color w:val="auto"/>
        </w:rPr>
        <w:t>and "Note 18—Fair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for further information on how the fair value of contingent consideration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9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at closing</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176,028</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Fair value of contingent consideration to be achieved</w:t>
            </w: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3,231</w:t>
            </w:r>
          </w:p>
        </w:tc>
        <w:tc>
          <w:tcPr>
            <w:tcW w:w="120" w:type="dxa"/>
            <w:vAlign w:val="bottom"/>
          </w:tcPr>
          <w:p>
            <w:pPr>
              <w:spacing w:after="0"/>
              <w:rPr>
                <w:sz w:val="17"/>
                <w:szCs w:val="17"/>
                <w:color w:val="auto"/>
              </w:rPr>
            </w:pPr>
          </w:p>
        </w:tc>
      </w:tr>
      <w:tr>
        <w:trPr>
          <w:trHeight w:val="236"/>
        </w:trPr>
        <w:tc>
          <w:tcPr>
            <w:tcW w:w="9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179,259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the conclusion of the earn out period, the Company paid zero contingent consideration.</w:t>
      </w:r>
    </w:p>
    <w:p>
      <w:pPr>
        <w:spacing w:after="0" w:line="10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502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8,133</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17,889</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2,946</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1,379</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4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2,025</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1,836</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4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357</w:t>
            </w: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90,593</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75,000</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(15,987)</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(2,408)</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(668)</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(418)</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(1,418)</w:t>
            </w:r>
          </w:p>
        </w:tc>
      </w:tr>
      <w:tr>
        <w:trPr>
          <w:trHeight w:val="236"/>
        </w:trPr>
        <w:tc>
          <w:tcPr>
            <w:tcW w:w="454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6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179,259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862"/>
        </w:trPr>
        <w:tc>
          <w:tcPr>
            <w:tcW w:w="4540" w:type="dxa"/>
            <w:vAlign w:val="bottom"/>
          </w:tcPr>
          <w:p>
            <w:pPr>
              <w:spacing w:after="0"/>
              <w:rPr>
                <w:sz w:val="24"/>
                <w:szCs w:val="24"/>
                <w:color w:val="auto"/>
              </w:rPr>
            </w:pPr>
          </w:p>
        </w:tc>
        <w:tc>
          <w:tcPr>
            <w:tcW w:w="5020" w:type="dxa"/>
            <w:vAlign w:val="bottom"/>
            <w:gridSpan w:val="2"/>
          </w:tcPr>
          <w:p>
            <w:pPr>
              <w:jc w:val="right"/>
              <w:ind w:right="3670"/>
              <w:spacing w:after="0"/>
              <w:rPr>
                <w:sz w:val="20"/>
                <w:szCs w:val="20"/>
                <w:color w:val="auto"/>
              </w:rPr>
            </w:pPr>
            <w:r>
              <w:rPr>
                <w:rFonts w:ascii="Arial" w:cs="Arial" w:eastAsia="Arial" w:hAnsi="Arial"/>
                <w:sz w:val="18"/>
                <w:szCs w:val="18"/>
                <w:color w:val="auto"/>
              </w:rPr>
              <w:t>F-28</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6"/>
        </w:trPr>
        <w:tc>
          <w:tcPr>
            <w:tcW w:w="45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Gross</w:t>
            </w: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40,000</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7"/>
                <w:szCs w:val="17"/>
                <w:color w:val="auto"/>
              </w:rPr>
            </w:pPr>
          </w:p>
        </w:tc>
        <w:tc>
          <w:tcPr>
            <w:tcW w:w="1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26,000</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8,000</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53" w:lineRule="exact"/>
        <w:rPr>
          <w:sz w:val="20"/>
          <w:szCs w:val="20"/>
          <w:color w:val="auto"/>
        </w:rPr>
      </w:pPr>
    </w:p>
    <w:p>
      <w:pPr>
        <w:ind w:right="540" w:firstLine="509"/>
        <w:spacing w:after="0" w:line="247" w:lineRule="auto"/>
        <w:rPr>
          <w:sz w:val="20"/>
          <w:szCs w:val="20"/>
          <w:color w:val="auto"/>
        </w:rPr>
      </w:pPr>
      <w:r>
        <w:rPr>
          <w:rFonts w:ascii="Arial" w:cs="Arial" w:eastAsia="Arial" w:hAnsi="Arial"/>
          <w:sz w:val="18"/>
          <w:szCs w:val="18"/>
          <w:color w:val="auto"/>
        </w:rPr>
        <w:t>Amortization expense of $12.0 million, $12.9 million and $7.0 million related to these intangible assets was recorded for the year ended December 31,2025, December 31,2024 and December 31, 2023, respectively. The entire value of goodwill was assigned to the Federal Solutions reporting unit and represents synergies expected to be realized from this business combination. The entire value of goodwill is deductible for tax purposes.</w:t>
      </w:r>
    </w:p>
    <w:p>
      <w:pPr>
        <w:spacing w:after="0" w:line="66"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The amount of revenue generated by SealingTech and included within consolidated revenue is $34.1 million for the year December 31, 2023. The Company has determined that the presentation of net income from the date of acquisition is impracticable due to the integration of general corporate functions upon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SealingTech acquisition had been consummated as of the beginning of fiscal year 2022 (in thousands)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55"/>
        </w:trPr>
        <w:tc>
          <w:tcPr>
            <w:tcW w:w="6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tcPr>
          <w:p>
            <w:pPr>
              <w:jc w:val="right"/>
              <w:ind w:right="799"/>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 forma Revenue</w:t>
            </w:r>
          </w:p>
        </w:tc>
        <w:tc>
          <w:tcPr>
            <w:tcW w:w="25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5,525,099</w:t>
            </w:r>
          </w:p>
        </w:tc>
        <w:tc>
          <w:tcPr>
            <w:tcW w:w="100" w:type="dxa"/>
            <w:vAlign w:val="bottom"/>
            <w:shd w:val="clear" w:color="auto" w:fill="CFF0FC"/>
          </w:tcPr>
          <w:p>
            <w:pPr>
              <w:spacing w:after="0"/>
              <w:rPr>
                <w:sz w:val="17"/>
                <w:szCs w:val="17"/>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216,157</w:t>
            </w:r>
          </w:p>
        </w:tc>
        <w:tc>
          <w:tcPr>
            <w:tcW w:w="100" w:type="dxa"/>
            <w:vAlign w:val="bottom"/>
          </w:tcPr>
          <w:p>
            <w:pPr>
              <w:spacing w:after="0"/>
              <w:rPr>
                <w:sz w:val="20"/>
                <w:szCs w:val="20"/>
                <w:color w:val="auto"/>
              </w:rPr>
            </w:pPr>
          </w:p>
        </w:tc>
      </w:tr>
    </w:tbl>
    <w:p>
      <w:pPr>
        <w:spacing w:after="0" w:line="5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IPKeys Power Partners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in cash.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acquisition was entirely funded by cash on-hand. In connection with this acquisition, the Company recognized $0.6 million of acquisition-related expenses in “Selling, general and administrative expense” in the consolidated statements of income for the year ended December 31, 2023, respectively, including legal fees, consulting fees, and other miscellaneous direct expenses associated with the acquisition.</w:t>
      </w:r>
    </w:p>
    <w:p>
      <w:pPr>
        <w:spacing w:after="0" w:line="7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7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126</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3,937</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834</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86</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1,105</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152</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22,407</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23,000</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(541)</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(1,768)</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(1,936)</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(343)</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(3,713)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(762)</w:t>
            </w:r>
          </w:p>
        </w:tc>
      </w:tr>
      <w:tr>
        <w:trPr>
          <w:trHeight w:val="196"/>
        </w:trPr>
        <w:tc>
          <w:tcPr>
            <w:tcW w:w="762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300" w:type="dxa"/>
            <w:vAlign w:val="bottom"/>
            <w:tcBorders>
              <w:top w:val="single" w:sz="8" w:color="CFF0FC"/>
            </w:tcBorders>
          </w:tcPr>
          <w:p>
            <w:pPr>
              <w:spacing w:after="0"/>
              <w:rPr>
                <w:sz w:val="17"/>
                <w:szCs w:val="17"/>
                <w:color w:val="auto"/>
              </w:rPr>
            </w:pPr>
          </w:p>
        </w:tc>
        <w:tc>
          <w:tcPr>
            <w:tcW w:w="12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43,039</w:t>
            </w:r>
          </w:p>
        </w:tc>
        <w:tc>
          <w:tcPr>
            <w:tcW w:w="120" w:type="dxa"/>
            <w:vAlign w:val="bottom"/>
            <w:tcBorders>
              <w:top w:val="single" w:sz="8" w:color="CFF0FC"/>
            </w:tcBorders>
          </w:tcPr>
          <w:p>
            <w:pPr>
              <w:spacing w:after="0"/>
              <w:rPr>
                <w:sz w:val="17"/>
                <w:szCs w:val="17"/>
                <w:color w:val="auto"/>
              </w:rPr>
            </w:pPr>
          </w:p>
        </w:tc>
      </w:tr>
      <w:tr>
        <w:trPr>
          <w:trHeight w:val="20"/>
        </w:trPr>
        <w:tc>
          <w:tcPr>
            <w:tcW w:w="916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9"/>
        </w:trPr>
        <w:tc>
          <w:tcPr>
            <w:tcW w:w="9800" w:type="dxa"/>
            <w:vAlign w:val="bottom"/>
            <w:gridSpan w:val="6"/>
          </w:tcPr>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7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rPr>
              <w:t>Gross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rPr>
              <w:t>Carrying</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(1)</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15,900</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7"/>
                <w:szCs w:val="17"/>
                <w:color w:val="auto"/>
              </w:rPr>
            </w:pPr>
          </w:p>
        </w:tc>
        <w:tc>
          <w:tcPr>
            <w:tcW w:w="16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7,000</w:t>
            </w:r>
          </w:p>
        </w:tc>
        <w:tc>
          <w:tcPr>
            <w:tcW w:w="28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-1388110</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The acquired business is a SaaS commercial business. Backlog for this type of business is included as customer relationships.</w:t>
      </w:r>
    </w:p>
    <w:p>
      <w:pPr>
        <w:spacing w:after="0" w:line="99"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Amortization expense of $1.6 million, $1.6 million and $1.4 million related to these intangible assets was recorded for the year ended December 31,2025, December 31, 2024 and December 31, 2023, respectively. The entire value of goodwill was assigned to the Critical Infrastructure reporting unit and represents synergies expected to be realized from this business combination. $0.9 million of goodwill is deductible for tax purposes.</w:t>
      </w:r>
    </w:p>
    <w:p>
      <w:pPr>
        <w:spacing w:after="0" w:line="66"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amount of revenue generated by IPKeys and included within consolidated revenue is $9.3 million for the year ended December 31, 2023. The Company has determined that the presentation of net income from the date of acquisition is impracticable due to the integration of general corporate functions upon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IPKeys acquisition had been consummated as of the beginning of fiscal year 2022 (in thousands)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55"/>
        </w:trPr>
        <w:tc>
          <w:tcPr>
            <w:tcW w:w="6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tcPr>
          <w:p>
            <w:pPr>
              <w:jc w:val="right"/>
              <w:ind w:right="799"/>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 forma Revenue</w:t>
            </w:r>
          </w:p>
        </w:tc>
        <w:tc>
          <w:tcPr>
            <w:tcW w:w="25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5,445,604</w:t>
            </w:r>
          </w:p>
        </w:tc>
        <w:tc>
          <w:tcPr>
            <w:tcW w:w="100" w:type="dxa"/>
            <w:vAlign w:val="bottom"/>
            <w:shd w:val="clear" w:color="auto" w:fill="CFF0FC"/>
          </w:tcPr>
          <w:p>
            <w:pPr>
              <w:spacing w:after="0"/>
              <w:rPr>
                <w:sz w:val="17"/>
                <w:szCs w:val="17"/>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209,773</w:t>
            </w:r>
          </w:p>
        </w:tc>
        <w:tc>
          <w:tcPr>
            <w:tcW w:w="100" w:type="dxa"/>
            <w:vAlign w:val="bottom"/>
          </w:tcPr>
          <w:p>
            <w:pPr>
              <w:spacing w:after="0"/>
              <w:rPr>
                <w:sz w:val="20"/>
                <w:szCs w:val="20"/>
                <w:color w:val="auto"/>
              </w:rPr>
            </w:pPr>
          </w:p>
        </w:tc>
      </w:tr>
    </w:tbl>
    <w:p>
      <w:pPr>
        <w:spacing w:after="0" w:line="53" w:lineRule="exact"/>
        <w:rPr>
          <w:sz w:val="20"/>
          <w:szCs w:val="20"/>
          <w:color w:val="auto"/>
        </w:rPr>
      </w:pPr>
    </w:p>
    <w:p>
      <w:pPr>
        <w:ind w:right="380" w:firstLine="509"/>
        <w:spacing w:after="0" w:line="253"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00" w:lineRule="exact"/>
        <w:rPr>
          <w:sz w:val="20"/>
          <w:szCs w:val="20"/>
          <w:color w:val="auto"/>
        </w:rPr>
      </w:pPr>
    </w:p>
    <w:p>
      <w:pPr>
        <w:spacing w:after="0" w:line="279" w:lineRule="exact"/>
        <w:rPr>
          <w:sz w:val="20"/>
          <w:szCs w:val="20"/>
          <w:color w:val="auto"/>
        </w:rPr>
      </w:pPr>
    </w:p>
    <w:p>
      <w:pPr>
        <w:ind w:left="520" w:right="8400" w:hanging="512"/>
        <w:spacing w:after="0" w:line="381" w:lineRule="auto"/>
        <w:tabs>
          <w:tab w:leader="none" w:pos="52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Contracts with Customers </w:t>
      </w:r>
      <w:r>
        <w:rPr>
          <w:rFonts w:ascii="Arial" w:cs="Arial" w:eastAsia="Arial" w:hAnsi="Arial"/>
          <w:sz w:val="17"/>
          <w:szCs w:val="17"/>
          <w:b w:val="1"/>
          <w:bCs w:val="1"/>
          <w:i w:val="1"/>
          <w:iCs w:val="1"/>
          <w:color w:val="auto"/>
        </w:rPr>
        <w:t>Disaggregation of Revenue</w:t>
      </w:r>
    </w:p>
    <w:p>
      <w:pPr>
        <w:ind w:right="340" w:firstLine="509"/>
        <w:spacing w:after="0" w:line="301" w:lineRule="auto"/>
        <w:rPr>
          <w:sz w:val="20"/>
          <w:szCs w:val="20"/>
          <w:color w:val="auto"/>
        </w:rPr>
      </w:pPr>
      <w:r>
        <w:rPr>
          <w:rFonts w:ascii="Arial" w:cs="Arial" w:eastAsia="Arial" w:hAnsi="Arial"/>
          <w:sz w:val="17"/>
          <w:szCs w:val="17"/>
          <w:color w:val="auto"/>
        </w:rPr>
        <w:t>The Company’s contracts contain both fixed price and cost reimbursable components. Contract types are based on the component that represents the majority of the contract. The following table presents revenue disaggregated by contract type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73660</wp:posOffset>
            </wp:positionV>
            <wp:extent cx="102235" cy="1454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4">
                      <a:extLst>
                        <a:ext uri="{28A0092B-C50C-407E-A947-70E740481C1C}"/>
                      </a:extLst>
                    </a:blip>
                    <a:srcRect/>
                    <a:stretch>
                      <a:fillRect/>
                    </a:stretch>
                  </pic:blipFill>
                  <pic:spPr bwMode="auto">
                    <a:xfrm>
                      <a:off x="0" y="0"/>
                      <a:ext cx="102235" cy="1454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73660</wp:posOffset>
            </wp:positionV>
            <wp:extent cx="93980" cy="1454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73660</wp:posOffset>
            </wp:positionV>
            <wp:extent cx="93980" cy="145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6">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5"/>
                <w:szCs w:val="15"/>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2,138,910</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2,844,719</w:t>
            </w:r>
          </w:p>
        </w:tc>
        <w:tc>
          <w:tcPr>
            <w:tcW w:w="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1,810,499</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1,536,052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1,419,168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1,352,871</w:t>
            </w: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2,689,283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2,486,689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2,279,379</w:t>
            </w:r>
          </w:p>
        </w:tc>
      </w:tr>
      <w:tr>
        <w:trPr>
          <w:trHeight w:val="20"/>
        </w:trPr>
        <w:tc>
          <w:tcPr>
            <w:tcW w:w="5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780" w:type="dxa"/>
            <w:vAlign w:val="bottom"/>
          </w:tcPr>
          <w:p>
            <w:pPr>
              <w:ind w:left="16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6,364,245</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6,750,576</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5,442,749</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-145415</wp:posOffset>
            </wp:positionV>
            <wp:extent cx="768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-145415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for the Company’s revenues by business lines.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assets and contract liabilities balances at December 31, 2025 and December 31, 2024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r>
      <w:tr>
        <w:trPr>
          <w:trHeight w:val="196"/>
        </w:trPr>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assets</w:t>
            </w:r>
          </w:p>
        </w:tc>
        <w:tc>
          <w:tcPr>
            <w:tcW w:w="154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915,806</w:t>
            </w:r>
          </w:p>
        </w:tc>
        <w:tc>
          <w:tcPr>
            <w:tcW w:w="400" w:type="dxa"/>
            <w:vAlign w:val="bottom"/>
            <w:shd w:val="clear" w:color="auto" w:fill="CFF0FC"/>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741,504</w:t>
            </w:r>
          </w:p>
        </w:tc>
        <w:tc>
          <w:tcPr>
            <w:tcW w:w="3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174,302</w:t>
            </w:r>
          </w:p>
        </w:tc>
        <w:tc>
          <w:tcPr>
            <w:tcW w:w="15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23.5%</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340,113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289,799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50,314</w:t>
            </w:r>
          </w:p>
        </w:tc>
        <w:tc>
          <w:tcPr>
            <w:tcW w:w="22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w:t>
            </w:r>
          </w:p>
        </w:tc>
      </w:tr>
      <w:tr>
        <w:trPr>
          <w:trHeight w:val="20"/>
        </w:trPr>
        <w:tc>
          <w:tcPr>
            <w:tcW w:w="3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contract assets (liabilities) (1)</w:t>
            </w:r>
          </w:p>
        </w:tc>
        <w:tc>
          <w:tcPr>
            <w:tcW w:w="154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575,693</w:t>
            </w:r>
          </w:p>
        </w:tc>
        <w:tc>
          <w:tcPr>
            <w:tcW w:w="400" w:type="dxa"/>
            <w:vAlign w:val="bottom"/>
            <w:shd w:val="clear" w:color="auto" w:fill="CFF0FC"/>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451,705</w:t>
            </w:r>
          </w:p>
        </w:tc>
        <w:tc>
          <w:tcPr>
            <w:tcW w:w="3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123,988</w:t>
            </w:r>
          </w:p>
        </w:tc>
        <w:tc>
          <w:tcPr>
            <w:tcW w:w="15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27.4%</w:t>
            </w: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8" w:lineRule="exact"/>
        <w:rPr>
          <w:sz w:val="20"/>
          <w:szCs w:val="20"/>
          <w:color w:val="auto"/>
        </w:rPr>
      </w:pPr>
    </w:p>
    <w:p>
      <w:pPr>
        <w:ind w:left="520" w:right="100" w:hanging="512"/>
        <w:spacing w:after="0" w:line="228" w:lineRule="auto"/>
        <w:tabs>
          <w:tab w:leader="none" w:pos="411" w:val="left"/>
        </w:tabs>
        <w:numPr>
          <w:ilvl w:val="0"/>
          <w:numId w:val="60"/>
        </w:numPr>
        <w:rPr>
          <w:rFonts w:ascii="Arial" w:cs="Arial" w:eastAsia="Arial" w:hAnsi="Arial"/>
          <w:sz w:val="24"/>
          <w:szCs w:val="24"/>
          <w:color w:val="auto"/>
          <w:vertAlign w:val="superscript"/>
        </w:rPr>
      </w:pPr>
      <w:r>
        <w:rPr>
          <w:rFonts w:ascii="Arial" w:cs="Arial" w:eastAsia="Arial" w:hAnsi="Arial"/>
          <w:sz w:val="18"/>
          <w:szCs w:val="18"/>
          <w:color w:val="auto"/>
        </w:rPr>
        <w:t>Total contract retentions included in net contract assets (liabilities) were $114.6 million as of December 31, 2025, of which $53.8 million are not expected to be paid in 2026. Total contract retentions included in net contract assets (liabilities) were $89.8 million as of December 31, 2024. Contract assets at December 31, 2025 and December 31, 2024 include approximately $58.9 million and $70.7 million, respectively, related to net claim recovery estimates. For the years ended December 31, 2025 and December 31, 2024, there were $12.0 million and $21.6 million, respectively of losses recognized related to the reduction in estimated claims recovery.</w:t>
      </w:r>
    </w:p>
    <w:p>
      <w:pPr>
        <w:spacing w:after="0" w:line="180" w:lineRule="exact"/>
        <w:rPr>
          <w:sz w:val="20"/>
          <w:szCs w:val="20"/>
          <w:color w:val="auto"/>
        </w:rPr>
      </w:pPr>
    </w:p>
    <w:p>
      <w:pPr>
        <w:ind w:right="480" w:firstLine="509"/>
        <w:spacing w:after="0" w:line="253" w:lineRule="auto"/>
        <w:rPr>
          <w:sz w:val="20"/>
          <w:szCs w:val="20"/>
          <w:color w:val="auto"/>
        </w:rPr>
      </w:pPr>
      <w:r>
        <w:rPr>
          <w:rFonts w:ascii="Arial" w:cs="Arial" w:eastAsia="Arial" w:hAnsi="Arial"/>
          <w:sz w:val="18"/>
          <w:szCs w:val="18"/>
          <w:color w:val="auto"/>
        </w:rPr>
        <w:t>During the years ended December 31, 2025 and December 31, 2024, the Company recognized revenue of approximately $193.6 million and $190.3 million, respectively, that was included in the corresponding contract liability balance at December 31, 2024 and December 31, 2023, respectively. Certain changes in contract assets and contract liabilities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December 31, 2025</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4"/>
                <w:szCs w:val="14"/>
                <w:color w:val="auto"/>
              </w:rPr>
            </w:pPr>
          </w:p>
        </w:tc>
      </w:tr>
      <w:tr>
        <w:trPr>
          <w:trHeight w:val="196"/>
        </w:trPr>
        <w:tc>
          <w:tcPr>
            <w:tcW w:w="3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Acquired contract assets</w:t>
            </w:r>
          </w:p>
        </w:tc>
        <w:tc>
          <w:tcPr>
            <w:tcW w:w="25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6,533</w:t>
            </w:r>
          </w:p>
        </w:tc>
        <w:tc>
          <w:tcPr>
            <w:tcW w:w="6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19,858</w:t>
            </w:r>
          </w:p>
        </w:tc>
        <w:tc>
          <w:tcPr>
            <w:tcW w:w="100" w:type="dxa"/>
            <w:vAlign w:val="bottom"/>
            <w:shd w:val="clear" w:color="auto" w:fill="CFF0FC"/>
          </w:tcPr>
          <w:p>
            <w:pPr>
              <w:spacing w:after="0"/>
              <w:rPr>
                <w:sz w:val="17"/>
                <w:szCs w:val="17"/>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12,301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0"/>
                <w:szCs w:val="20"/>
                <w:color w:val="auto"/>
              </w:rPr>
            </w:pPr>
          </w:p>
        </w:tc>
      </w:tr>
      <w:tr>
        <w:trPr>
          <w:trHeight w:val="845"/>
        </w:trPr>
        <w:tc>
          <w:tcPr>
            <w:tcW w:w="3780" w:type="dxa"/>
            <w:vAlign w:val="bottom"/>
          </w:tcPr>
          <w:p>
            <w:pPr>
              <w:spacing w:after="0"/>
              <w:rPr>
                <w:sz w:val="24"/>
                <w:szCs w:val="24"/>
                <w:color w:val="auto"/>
              </w:rPr>
            </w:pPr>
          </w:p>
        </w:tc>
        <w:tc>
          <w:tcPr>
            <w:tcW w:w="2580" w:type="dxa"/>
            <w:vAlign w:val="bottom"/>
            <w:gridSpan w:val="2"/>
          </w:tcPr>
          <w:p>
            <w:pPr>
              <w:jc w:val="right"/>
              <w:ind w:right="560"/>
              <w:spacing w:after="0"/>
              <w:rPr>
                <w:sz w:val="20"/>
                <w:szCs w:val="20"/>
                <w:color w:val="auto"/>
              </w:rPr>
            </w:pPr>
            <w:r>
              <w:rPr>
                <w:rFonts w:ascii="Arial" w:cs="Arial" w:eastAsia="Arial" w:hAnsi="Arial"/>
                <w:sz w:val="18"/>
                <w:szCs w:val="18"/>
                <w:color w:val="auto"/>
              </w:rPr>
              <w:t>F-31</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37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significant impairment of contract assets recognized during the years ended December 31, 2025 and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9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 impact, net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(6,345)</w:t>
            </w:r>
          </w:p>
        </w:tc>
        <w:tc>
          <w:tcPr>
            <w:tcW w:w="2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(55,952)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5,428</w:t>
            </w: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financial statement impacts from revisions in estimates were as follows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Pr>
          <w:p>
            <w:pPr>
              <w:spacing w:after="0"/>
              <w:rPr>
                <w:sz w:val="14"/>
                <w:szCs w:val="14"/>
                <w:color w:val="auto"/>
              </w:rPr>
            </w:pPr>
          </w:p>
        </w:tc>
        <w:tc>
          <w:tcPr>
            <w:tcW w:w="18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Pr>
          <w:p>
            <w:pPr>
              <w:spacing w:after="0"/>
              <w:rPr>
                <w:sz w:val="14"/>
                <w:szCs w:val="14"/>
                <w:color w:val="auto"/>
              </w:rPr>
            </w:pPr>
          </w:p>
        </w:tc>
        <w:tc>
          <w:tcPr>
            <w:tcW w:w="182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 2023</w:t>
            </w:r>
          </w:p>
        </w:tc>
      </w:tr>
      <w:tr>
        <w:trPr>
          <w:trHeight w:val="203"/>
        </w:trPr>
        <w:tc>
          <w:tcPr>
            <w:tcW w:w="3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income (loss)</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(29,011)</w:t>
            </w:r>
          </w:p>
        </w:tc>
        <w:tc>
          <w:tcPr>
            <w:tcW w:w="3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(62,298)</w:t>
            </w:r>
          </w:p>
        </w:tc>
        <w:tc>
          <w:tcPr>
            <w:tcW w:w="3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35,297</w:t>
            </w:r>
          </w:p>
        </w:tc>
      </w:tr>
      <w:tr>
        <w:trPr>
          <w:trHeight w:val="239"/>
        </w:trPr>
        <w:tc>
          <w:tcPr>
            <w:tcW w:w="338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tcPr>
          <w:p>
            <w:pPr>
              <w:spacing w:after="0"/>
              <w:rPr>
                <w:sz w:val="20"/>
                <w:szCs w:val="20"/>
                <w:color w:val="auto"/>
              </w:rPr>
            </w:pPr>
          </w:p>
        </w:tc>
        <w:tc>
          <w:tcPr>
            <w:tcW w:w="1880" w:type="dxa"/>
            <w:vAlign w:val="bottom"/>
          </w:tcPr>
          <w:p>
            <w:pPr>
              <w:jc w:val="right"/>
              <w:ind w:right="36"/>
              <w:spacing w:after="0"/>
              <w:rPr>
                <w:sz w:val="20"/>
                <w:szCs w:val="20"/>
                <w:color w:val="auto"/>
              </w:rPr>
            </w:pPr>
            <w:r>
              <w:rPr>
                <w:rFonts w:ascii="Arial" w:cs="Arial" w:eastAsia="Arial" w:hAnsi="Arial"/>
                <w:sz w:val="18"/>
                <w:szCs w:val="18"/>
                <w:color w:val="auto"/>
              </w:rPr>
              <w:t>(21,961)</w:t>
            </w:r>
          </w:p>
        </w:tc>
        <w:tc>
          <w:tcPr>
            <w:tcW w:w="320" w:type="dxa"/>
            <w:vAlign w:val="bottom"/>
          </w:tcPr>
          <w:p>
            <w:pPr>
              <w:spacing w:after="0"/>
              <w:rPr>
                <w:sz w:val="20"/>
                <w:szCs w:val="20"/>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(47,651)</w:t>
            </w:r>
          </w:p>
        </w:tc>
        <w:tc>
          <w:tcPr>
            <w:tcW w:w="320" w:type="dxa"/>
            <w:vAlign w:val="bottom"/>
          </w:tcPr>
          <w:p>
            <w:pPr>
              <w:spacing w:after="0"/>
              <w:rPr>
                <w:sz w:val="20"/>
                <w:szCs w:val="20"/>
                <w:color w:val="auto"/>
              </w:rPr>
            </w:pP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26,261</w:t>
            </w:r>
          </w:p>
        </w:tc>
      </w:tr>
    </w:tbl>
    <w:p>
      <w:pPr>
        <w:spacing w:after="0" w:line="36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amounts for 2025, in the table above, include the impact from contracts in the Federal Solutions segment related to a change in estimate increasing direct costs of contracts by $22.7 million.</w:t>
      </w:r>
    </w:p>
    <w:p>
      <w:pPr>
        <w:spacing w:after="0" w:line="154"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8"/>
          <w:szCs w:val="18"/>
          <w:color w:val="auto"/>
        </w:rPr>
        <w:t>The amounts for 2024, in the table above, include the impact from a contract in the Critical Infrastructure segment related to a change in estimate increasing direct costs of contracts by $6.3 million.</w:t>
      </w:r>
    </w:p>
    <w:p>
      <w:pPr>
        <w:spacing w:after="0" w:line="154"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amounts for 2023, in the table above, include the impact from contracts in the Critical Infrastructure segment related to a change in estimate increasing direct costs of contracts by $8.0 million related to net write-downs and a decrease in direct costs of contracts of $37.9 million related to a legal matter.</w:t>
      </w:r>
    </w:p>
    <w:p>
      <w:pPr>
        <w:spacing w:after="0" w:line="169"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These impacts do not include the operating income impacts disclosed below in "Note 16— Investments in and Advances to Joint Ventures.</w:t>
      </w:r>
      <w:r>
        <w:rPr>
          <w:rFonts w:ascii="Arial" w:cs="Arial" w:eastAsia="Arial" w:hAnsi="Arial"/>
          <w:sz w:val="18"/>
          <w:szCs w:val="18"/>
          <w:i w:val="1"/>
          <w:iCs w:val="1"/>
          <w:color w:val="auto"/>
        </w:rPr>
        <w: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net consisted of the following as of December 31, 2025 and December 31, 2024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Billed</w:t>
            </w:r>
          </w:p>
        </w:tc>
        <w:tc>
          <w:tcPr>
            <w:tcW w:w="27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732,414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712,046</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Unbilled</w:t>
            </w:r>
          </w:p>
        </w:tc>
        <w:tc>
          <w:tcPr>
            <w:tcW w:w="2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395,889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392,236</w:t>
            </w:r>
          </w:p>
        </w:tc>
        <w:tc>
          <w:tcPr>
            <w:tcW w:w="100" w:type="dxa"/>
            <w:vAlign w:val="bottom"/>
          </w:tcPr>
          <w:p>
            <w:pPr>
              <w:spacing w:after="0"/>
              <w:rPr>
                <w:sz w:val="17"/>
                <w:szCs w:val="17"/>
                <w:color w:val="auto"/>
              </w:rPr>
            </w:pPr>
          </w:p>
        </w:tc>
      </w:tr>
      <w:tr>
        <w:trPr>
          <w:trHeight w:val="196"/>
        </w:trPr>
        <w:tc>
          <w:tcPr>
            <w:tcW w:w="50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1,128,303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1,104,282</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(3,886)</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(3,886)</w:t>
            </w:r>
          </w:p>
        </w:tc>
      </w:tr>
      <w:tr>
        <w:trPr>
          <w:trHeight w:val="20"/>
        </w:trPr>
        <w:tc>
          <w:tcPr>
            <w:tcW w:w="5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net</w:t>
            </w:r>
          </w:p>
        </w:tc>
        <w:tc>
          <w:tcPr>
            <w:tcW w:w="27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1,124,417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1,100,396</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19% and 23% as of December 31, 2025 and December 31, 2024, respectively.</w:t>
      </w:r>
    </w:p>
    <w:p>
      <w:pPr>
        <w:spacing w:after="0" w:line="17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government agency or commercial sector client, and general economic conditions and particular industry conditions that may affect a client’s ability to pay.</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Company’s remaining unsatisfied performance obligations (“RUPO”) as of December 31, 2025 represent a measure of the total dollar value of work to be performed on contracts awarded and in progress. The Company had $7.1 billion in RUPO as of December 31, 2025.</w:t>
      </w:r>
    </w:p>
    <w:p>
      <w:pPr>
        <w:spacing w:after="0" w:line="16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w:t>
      </w:r>
    </w:p>
    <w:p>
      <w:pPr>
        <w:spacing w:after="0" w:line="15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to satisfy its RUPO as of December 31, 2025 over the following periods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Period RUPO Will Be Satisfied</w:t>
            </w: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39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Federal Solutions</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1,826,145</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468,713</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129,435</w:t>
            </w:r>
          </w:p>
        </w:tc>
      </w:tr>
      <w:tr>
        <w:trPr>
          <w:trHeight w:val="203"/>
        </w:trPr>
        <w:tc>
          <w:tcPr>
            <w:tcW w:w="3940" w:type="dxa"/>
            <w:vAlign w:val="bottom"/>
          </w:tcPr>
          <w:p>
            <w:pPr>
              <w:ind w:left="60"/>
              <w:spacing w:after="0" w:line="202" w:lineRule="exact"/>
              <w:rPr>
                <w:sz w:val="20"/>
                <w:szCs w:val="20"/>
                <w:color w:val="auto"/>
              </w:rPr>
            </w:pPr>
            <w:r>
              <w:rPr>
                <w:rFonts w:ascii="Arial" w:cs="Arial" w:eastAsia="Arial" w:hAnsi="Arial"/>
                <w:sz w:val="18"/>
                <w:szCs w:val="18"/>
                <w:color w:val="auto"/>
              </w:rPr>
              <w:t>Critical Infrastructure</w:t>
            </w: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2,276,922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1,299,426</w:t>
            </w:r>
          </w:p>
        </w:tc>
        <w:tc>
          <w:tcPr>
            <w:tcW w:w="2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1,081,343</w:t>
            </w:r>
          </w:p>
        </w:tc>
      </w:tr>
      <w:tr>
        <w:trPr>
          <w:trHeight w:val="20"/>
        </w:trPr>
        <w:tc>
          <w:tcPr>
            <w:tcW w:w="3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9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4,103,067</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1,768,139</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1,210,778</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-24765</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768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ten years, some of which may include options to extend the leases for up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five years, and some of which may include options to terminate the leases after the third year.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costs for the years ended December 31, 2025 and December 31, 2024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4620" w:type="dxa"/>
            <w:vAlign w:val="bottom"/>
            <w:gridSpan w:val="2"/>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65,571</w:t>
            </w:r>
          </w:p>
        </w:tc>
        <w:tc>
          <w:tcPr>
            <w:tcW w:w="4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64,858</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Short-term lease cost</w:t>
            </w:r>
          </w:p>
        </w:tc>
        <w:tc>
          <w:tcPr>
            <w:tcW w:w="3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16,398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17,114</w:t>
            </w: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right-of-use assets</w:t>
            </w:r>
          </w:p>
        </w:tc>
        <w:tc>
          <w:tcPr>
            <w:tcW w:w="36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4,507</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3,549</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Interest on lease liabilities</w:t>
            </w:r>
          </w:p>
        </w:tc>
        <w:tc>
          <w:tcPr>
            <w:tcW w:w="3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434</w:t>
            </w: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Sublease income</w:t>
            </w:r>
          </w:p>
        </w:tc>
        <w:tc>
          <w:tcPr>
            <w:tcW w:w="36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(3,730)</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(4,289)</w:t>
            </w:r>
          </w:p>
        </w:tc>
      </w:tr>
      <w:tr>
        <w:trPr>
          <w:trHeight w:val="20"/>
        </w:trPr>
        <w:tc>
          <w:tcPr>
            <w:tcW w:w="4080" w:type="dxa"/>
            <w:vAlign w:val="bottom"/>
            <w:shd w:val="clear" w:color="auto" w:fill="CFF0FC"/>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080" w:type="dxa"/>
            <w:vAlign w:val="bottom"/>
          </w:tcPr>
          <w:p>
            <w:pPr>
              <w:spacing w:after="0" w:line="182" w:lineRule="exact"/>
              <w:rPr>
                <w:sz w:val="20"/>
                <w:szCs w:val="20"/>
                <w:color w:val="auto"/>
              </w:rPr>
            </w:pPr>
            <w:r>
              <w:rPr>
                <w:rFonts w:ascii="Arial" w:cs="Arial" w:eastAsia="Arial" w:hAnsi="Arial"/>
                <w:sz w:val="18"/>
                <w:szCs w:val="18"/>
                <w:color w:val="auto"/>
              </w:rPr>
              <w:t>Total lease cost</w:t>
            </w:r>
          </w:p>
        </w:tc>
        <w:tc>
          <w:tcPr>
            <w:tcW w:w="3640" w:type="dxa"/>
            <w:vAlign w:val="bottom"/>
          </w:tcPr>
          <w:p>
            <w:pPr>
              <w:spacing w:after="0"/>
              <w:rPr>
                <w:sz w:val="17"/>
                <w:szCs w:val="17"/>
                <w:color w:val="auto"/>
              </w:rPr>
            </w:pPr>
          </w:p>
        </w:tc>
        <w:tc>
          <w:tcPr>
            <w:tcW w:w="980" w:type="dxa"/>
            <w:vAlign w:val="bottom"/>
          </w:tcPr>
          <w:p>
            <w:pPr>
              <w:jc w:val="right"/>
              <w:ind w:right="779"/>
              <w:spacing w:after="0" w:line="18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83,270</w:t>
            </w:r>
          </w:p>
        </w:tc>
        <w:tc>
          <w:tcPr>
            <w:tcW w:w="160" w:type="dxa"/>
            <w:vAlign w:val="bottom"/>
          </w:tcPr>
          <w:p>
            <w:pPr>
              <w:spacing w:after="0"/>
              <w:rPr>
                <w:sz w:val="17"/>
                <w:szCs w:val="17"/>
                <w:color w:val="auto"/>
              </w:rPr>
            </w:pPr>
          </w:p>
        </w:tc>
        <w:tc>
          <w:tcPr>
            <w:tcW w:w="48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81,666</w:t>
            </w:r>
          </w:p>
        </w:tc>
      </w:tr>
      <w:tr>
        <w:trPr>
          <w:trHeight w:val="20"/>
        </w:trPr>
        <w:tc>
          <w:tcPr>
            <w:tcW w:w="4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2"/>
        </w:trPr>
        <w:tc>
          <w:tcPr>
            <w:tcW w:w="4080" w:type="dxa"/>
            <w:vAlign w:val="bottom"/>
          </w:tcPr>
          <w:p>
            <w:pPr>
              <w:spacing w:after="0"/>
              <w:rPr>
                <w:sz w:val="24"/>
                <w:szCs w:val="24"/>
                <w:color w:val="auto"/>
              </w:rPr>
            </w:pPr>
          </w:p>
        </w:tc>
        <w:tc>
          <w:tcPr>
            <w:tcW w:w="4620" w:type="dxa"/>
            <w:vAlign w:val="bottom"/>
            <w:gridSpan w:val="2"/>
          </w:tcPr>
          <w:p>
            <w:pPr>
              <w:jc w:val="right"/>
              <w:ind w:right="2819"/>
              <w:spacing w:after="0"/>
              <w:rPr>
                <w:sz w:val="20"/>
                <w:szCs w:val="20"/>
                <w:color w:val="auto"/>
              </w:rPr>
            </w:pPr>
            <w:r>
              <w:rPr>
                <w:rFonts w:ascii="Arial" w:cs="Arial" w:eastAsia="Arial" w:hAnsi="Arial"/>
                <w:sz w:val="18"/>
                <w:szCs w:val="18"/>
                <w:color w:val="auto"/>
              </w:rPr>
              <w:t>F-33</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0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Supplemental cash flow information related to leases for the years ended December 31, 2025 and December 31, 2024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cash flows for operating leases</w:t>
            </w:r>
          </w:p>
        </w:tc>
        <w:tc>
          <w:tcPr>
            <w:tcW w:w="980" w:type="dxa"/>
            <w:vAlign w:val="bottom"/>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66,841</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67,696</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Operating cash flows for financing activities</w:t>
            </w:r>
          </w:p>
        </w:tc>
        <w:tc>
          <w:tcPr>
            <w:tcW w:w="98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434</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Financing cash flows for finance leases</w:t>
            </w: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4,383</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3,376</w:t>
            </w:r>
          </w:p>
        </w:tc>
      </w:tr>
      <w:tr>
        <w:trPr>
          <w:trHeight w:val="184"/>
        </w:trPr>
        <w:tc>
          <w:tcPr>
            <w:tcW w:w="7720" w:type="dxa"/>
            <w:vAlign w:val="bottom"/>
          </w:tcPr>
          <w:p>
            <w:pPr>
              <w:spacing w:after="0" w:line="183" w:lineRule="exact"/>
              <w:rPr>
                <w:sz w:val="20"/>
                <w:szCs w:val="20"/>
                <w:color w:val="auto"/>
              </w:rPr>
            </w:pPr>
            <w:r>
              <w:rPr>
                <w:rFonts w:ascii="Arial" w:cs="Arial" w:eastAsia="Arial" w:hAnsi="Arial"/>
                <w:sz w:val="18"/>
                <w:szCs w:val="18"/>
                <w:color w:val="auto"/>
              </w:rPr>
              <w:t>Right-of-use assets obtained in exchange for new</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7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9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26,574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36,583</w:t>
            </w:r>
          </w:p>
        </w:tc>
      </w:tr>
      <w:tr>
        <w:trPr>
          <w:trHeight w:val="184"/>
        </w:trPr>
        <w:tc>
          <w:tcPr>
            <w:tcW w:w="77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Right-of-use assets obtained in exchange for new</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finance lease liabilities</w:t>
            </w: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2,606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4,220</w:t>
            </w:r>
          </w:p>
        </w:tc>
      </w:tr>
    </w:tbl>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December 31, 2025 and December 31, 2024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Leases:</w:t>
            </w:r>
          </w:p>
        </w:tc>
        <w:tc>
          <w:tcPr>
            <w:tcW w:w="1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2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126,770</w:t>
            </w:r>
          </w:p>
        </w:tc>
        <w:tc>
          <w:tcPr>
            <w:tcW w:w="3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153,048</w:t>
            </w:r>
          </w:p>
        </w:tc>
        <w:tc>
          <w:tcPr>
            <w:tcW w:w="180" w:type="dxa"/>
            <w:vAlign w:val="bottom"/>
          </w:tcPr>
          <w:p>
            <w:pPr>
              <w:spacing w:after="0"/>
              <w:rPr>
                <w:sz w:val="17"/>
                <w:szCs w:val="17"/>
                <w:color w:val="auto"/>
              </w:rPr>
            </w:pPr>
          </w:p>
        </w:tc>
      </w:tr>
      <w:tr>
        <w:trPr>
          <w:trHeight w:val="203"/>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1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Current</w:t>
            </w: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45,353</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52,725</w:t>
            </w:r>
          </w:p>
        </w:tc>
        <w:tc>
          <w:tcPr>
            <w:tcW w:w="180" w:type="dxa"/>
            <w:vAlign w:val="bottom"/>
          </w:tcPr>
          <w:p>
            <w:pPr>
              <w:spacing w:after="0"/>
              <w:rPr>
                <w:sz w:val="17"/>
                <w:szCs w:val="17"/>
                <w:color w:val="auto"/>
              </w:rPr>
            </w:pPr>
          </w:p>
        </w:tc>
      </w:tr>
      <w:tr>
        <w:trPr>
          <w:trHeight w:val="203"/>
        </w:trPr>
        <w:tc>
          <w:tcPr>
            <w:tcW w:w="5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Long-term</w:t>
            </w:r>
          </w:p>
        </w:tc>
        <w:tc>
          <w:tcPr>
            <w:tcW w:w="19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94,044</w:t>
            </w:r>
          </w:p>
        </w:tc>
        <w:tc>
          <w:tcPr>
            <w:tcW w:w="3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114,386</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color w:val="auto"/>
              </w:rPr>
              <w:t>Total operating lease liabilities</w:t>
            </w:r>
          </w:p>
        </w:tc>
        <w:tc>
          <w:tcPr>
            <w:tcW w:w="23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139,397</w:t>
            </w:r>
          </w:p>
        </w:tc>
        <w:tc>
          <w:tcPr>
            <w:tcW w:w="3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167,111</w:t>
            </w:r>
          </w:p>
        </w:tc>
        <w:tc>
          <w:tcPr>
            <w:tcW w:w="18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6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Finance Leases:</w:t>
            </w:r>
          </w:p>
        </w:tc>
        <w:tc>
          <w:tcPr>
            <w:tcW w:w="19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2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8,990</w:t>
            </w:r>
          </w:p>
        </w:tc>
        <w:tc>
          <w:tcPr>
            <w:tcW w:w="3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9,864</w:t>
            </w:r>
          </w:p>
        </w:tc>
        <w:tc>
          <w:tcPr>
            <w:tcW w:w="180" w:type="dxa"/>
            <w:vAlign w:val="bottom"/>
          </w:tcPr>
          <w:p>
            <w:pPr>
              <w:spacing w:after="0"/>
              <w:rPr>
                <w:sz w:val="17"/>
                <w:szCs w:val="17"/>
                <w:color w:val="auto"/>
              </w:rPr>
            </w:pPr>
          </w:p>
        </w:tc>
      </w:tr>
      <w:tr>
        <w:trPr>
          <w:trHeight w:val="203"/>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4,118</w:t>
            </w: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3,645</w:t>
            </w:r>
          </w:p>
        </w:tc>
        <w:tc>
          <w:tcPr>
            <w:tcW w:w="180" w:type="dxa"/>
            <w:vAlign w:val="bottom"/>
            <w:shd w:val="clear" w:color="auto" w:fill="CFF0FC"/>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3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6,441</w:t>
            </w:r>
          </w:p>
        </w:tc>
        <w:tc>
          <w:tcPr>
            <w:tcW w:w="180" w:type="dxa"/>
            <w:vAlign w:val="bottom"/>
          </w:tcPr>
          <w:p>
            <w:pPr>
              <w:spacing w:after="0"/>
              <w:rPr>
                <w:sz w:val="17"/>
                <w:szCs w:val="17"/>
                <w:color w:val="auto"/>
              </w:rPr>
            </w:pPr>
          </w:p>
        </w:tc>
      </w:tr>
      <w:tr>
        <w:trPr>
          <w:trHeight w:val="203"/>
        </w:trPr>
        <w:tc>
          <w:tcPr>
            <w:tcW w:w="56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w:t>
            </w: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3.7 Years</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3.9 Years</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Finance leases</w:t>
            </w: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 Years</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 Years</w:t>
            </w:r>
          </w:p>
        </w:tc>
      </w:tr>
      <w:tr>
        <w:trPr>
          <w:trHeight w:val="203"/>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r>
      <w:tr>
        <w:trPr>
          <w:trHeight w:val="203"/>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1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4.9%</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-1576705</wp:posOffset>
            </wp:positionV>
            <wp:extent cx="1111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-1576705</wp:posOffset>
            </wp:positionV>
            <wp:extent cx="1117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2025, the Company has no additional operating leases that have not yet commenced.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tcPr>
          <w:p>
            <w:pPr>
              <w:spacing w:after="0"/>
              <w:rPr>
                <w:sz w:val="14"/>
                <w:szCs w:val="14"/>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31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50,952</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4,546</w:t>
            </w:r>
          </w:p>
        </w:tc>
        <w:tc>
          <w:tcPr>
            <w:tcW w:w="12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35,670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3,293</w:t>
            </w:r>
          </w:p>
        </w:tc>
        <w:tc>
          <w:tcPr>
            <w:tcW w:w="12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2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29,467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1,950</w:t>
            </w:r>
          </w:p>
        </w:tc>
        <w:tc>
          <w:tcPr>
            <w:tcW w:w="12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21,893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12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2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8,540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2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151,669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10,351</w:t>
            </w:r>
          </w:p>
        </w:tc>
        <w:tc>
          <w:tcPr>
            <w:tcW w:w="12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(993)</w:t>
            </w:r>
          </w:p>
        </w:tc>
      </w:tr>
      <w:tr>
        <w:trPr>
          <w:trHeight w:val="236"/>
        </w:trPr>
        <w:tc>
          <w:tcPr>
            <w:tcW w:w="42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present value of lease liabilities</w:t>
            </w:r>
          </w:p>
        </w:tc>
        <w:tc>
          <w:tcPr>
            <w:tcW w:w="29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139,397</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9,358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862"/>
        </w:trPr>
        <w:tc>
          <w:tcPr>
            <w:tcW w:w="4200" w:type="dxa"/>
            <w:vAlign w:val="bottom"/>
          </w:tcPr>
          <w:p>
            <w:pPr>
              <w:spacing w:after="0"/>
              <w:rPr>
                <w:sz w:val="24"/>
                <w:szCs w:val="24"/>
                <w:color w:val="auto"/>
              </w:rPr>
            </w:pPr>
          </w:p>
        </w:tc>
        <w:tc>
          <w:tcPr>
            <w:tcW w:w="3160" w:type="dxa"/>
            <w:vAlign w:val="bottom"/>
            <w:gridSpan w:val="2"/>
          </w:tcPr>
          <w:p>
            <w:pPr>
              <w:jc w:val="right"/>
              <w:ind w:right="1470"/>
              <w:spacing w:after="0"/>
              <w:rPr>
                <w:sz w:val="20"/>
                <w:szCs w:val="20"/>
                <w:color w:val="auto"/>
              </w:rPr>
            </w:pPr>
            <w:r>
              <w:rPr>
                <w:rFonts w:ascii="Arial" w:cs="Arial" w:eastAsia="Arial" w:hAnsi="Arial"/>
                <w:sz w:val="18"/>
                <w:szCs w:val="18"/>
                <w:color w:val="auto"/>
              </w:rPr>
              <w:t>F-34</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6"/>
        </w:trPr>
        <w:tc>
          <w:tcPr>
            <w:tcW w:w="42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-1070610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-1053465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Rental expense for the years ended December 31, 2025, December 31, 2024 and December 31, 2023 was $82.0 million, $82.0 million and $81.0 million, respectively, and is recorded in “Selling, general and administrative expenses” in the consolidated statements of income.</w:t>
      </w:r>
    </w:p>
    <w:p>
      <w:pPr>
        <w:spacing w:after="0" w:line="200" w:lineRule="exact"/>
        <w:rPr>
          <w:sz w:val="20"/>
          <w:szCs w:val="20"/>
          <w:color w:val="auto"/>
        </w:rPr>
      </w:pPr>
    </w:p>
    <w:p>
      <w:pPr>
        <w:spacing w:after="0" w:line="305" w:lineRule="exact"/>
        <w:rPr>
          <w:sz w:val="20"/>
          <w:szCs w:val="20"/>
          <w:color w:val="auto"/>
        </w:rPr>
      </w:pPr>
    </w:p>
    <w:p>
      <w:pPr>
        <w:ind w:left="520" w:right="5080" w:hanging="512"/>
        <w:spacing w:after="0" w:line="422" w:lineRule="auto"/>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and Equity-Based Compensation Plans Equity Compensation Plan Information</w:t>
      </w:r>
    </w:p>
    <w:p>
      <w:pPr>
        <w:spacing w:after="0" w:line="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following table provides information as of December 31, 2025 regarding compensation plans under which our equity securities are authorized for issuance.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c>
          <w:tcPr>
            <w:tcW w:w="3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 Securities to be</w:t>
            </w: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c>
          <w:tcPr>
            <w:tcW w:w="3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Issued upon Exercise of</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3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c>
          <w:tcPr>
            <w:tcW w:w="3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Outstanding Options, Warrants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3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3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Rights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3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300" w:type="dxa"/>
            <w:vAlign w:val="bottom"/>
          </w:tcPr>
          <w:p>
            <w:pPr>
              <w:spacing w:after="0"/>
              <w:rPr>
                <w:sz w:val="14"/>
                <w:szCs w:val="14"/>
                <w:color w:val="auto"/>
              </w:rPr>
            </w:pPr>
          </w:p>
        </w:tc>
      </w:tr>
      <w:tr>
        <w:trPr>
          <w:trHeight w:val="171"/>
        </w:trPr>
        <w:tc>
          <w:tcPr>
            <w:tcW w:w="364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300" w:type="dxa"/>
            <w:vAlign w:val="bottom"/>
          </w:tcPr>
          <w:p>
            <w:pPr>
              <w:spacing w:after="0"/>
              <w:rPr>
                <w:sz w:val="14"/>
                <w:szCs w:val="14"/>
                <w:color w:val="auto"/>
              </w:rPr>
            </w:pPr>
          </w:p>
        </w:tc>
      </w:tr>
      <w:tr>
        <w:trPr>
          <w:trHeight w:val="177"/>
        </w:trPr>
        <w:tc>
          <w:tcPr>
            <w:tcW w:w="36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Equity compensation plans approved by</w:t>
            </w:r>
          </w:p>
        </w:tc>
        <w:tc>
          <w:tcPr>
            <w:tcW w:w="2200" w:type="dxa"/>
            <w:vAlign w:val="bottom"/>
            <w:tcBorders>
              <w:top w:val="single" w:sz="8" w:color="auto"/>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8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jc w:val="center"/>
              <w:ind w:left="10"/>
              <w:spacing w:after="0" w:line="177" w:lineRule="exact"/>
              <w:rPr>
                <w:sz w:val="20"/>
                <w:szCs w:val="20"/>
                <w:color w:val="auto"/>
              </w:rPr>
            </w:pPr>
            <w:r>
              <w:rPr>
                <w:rFonts w:ascii="Arial" w:cs="Arial" w:eastAsia="Arial" w:hAnsi="Arial"/>
                <w:sz w:val="18"/>
                <w:szCs w:val="18"/>
                <w:color w:val="auto"/>
                <w:w w:val="99"/>
              </w:rPr>
              <w:t>(2</w:t>
            </w:r>
          </w:p>
        </w:tc>
      </w:tr>
      <w:tr>
        <w:trPr>
          <w:trHeight w:val="221"/>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security holders (1)</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1,217,941</w:t>
            </w:r>
          </w:p>
        </w:tc>
        <w:tc>
          <w:tcPr>
            <w:tcW w:w="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170"/>
        </w:trPr>
        <w:tc>
          <w:tcPr>
            <w:tcW w:w="3640" w:type="dxa"/>
            <w:vAlign w:val="bottom"/>
          </w:tcPr>
          <w:p>
            <w:pPr>
              <w:spacing w:after="0" w:line="170" w:lineRule="exact"/>
              <w:rPr>
                <w:sz w:val="20"/>
                <w:szCs w:val="20"/>
                <w:color w:val="auto"/>
              </w:rPr>
            </w:pPr>
            <w:r>
              <w:rPr>
                <w:rFonts w:ascii="Arial" w:cs="Arial" w:eastAsia="Arial" w:hAnsi="Arial"/>
                <w:sz w:val="18"/>
                <w:szCs w:val="18"/>
                <w:color w:val="auto"/>
              </w:rPr>
              <w:t>Equity compensation plans not approved</w:t>
            </w:r>
          </w:p>
        </w:tc>
        <w:tc>
          <w:tcPr>
            <w:tcW w:w="252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rPr>
              <w:t>(3</w:t>
            </w: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jc w:val="center"/>
              <w:ind w:left="10"/>
              <w:spacing w:after="0" w:line="170" w:lineRule="exact"/>
              <w:rPr>
                <w:sz w:val="20"/>
                <w:szCs w:val="20"/>
                <w:color w:val="auto"/>
              </w:rPr>
            </w:pPr>
            <w:r>
              <w:rPr>
                <w:rFonts w:ascii="Arial" w:cs="Arial" w:eastAsia="Arial" w:hAnsi="Arial"/>
                <w:sz w:val="18"/>
                <w:szCs w:val="18"/>
                <w:color w:val="auto"/>
                <w:w w:val="99"/>
              </w:rPr>
              <w:t>(4</w:t>
            </w:r>
          </w:p>
        </w:tc>
      </w:tr>
      <w:tr>
        <w:trPr>
          <w:trHeight w:val="221"/>
        </w:trPr>
        <w:tc>
          <w:tcPr>
            <w:tcW w:w="3640" w:type="dxa"/>
            <w:vAlign w:val="bottom"/>
          </w:tcPr>
          <w:p>
            <w:pPr>
              <w:spacing w:after="0"/>
              <w:rPr>
                <w:sz w:val="20"/>
                <w:szCs w:val="20"/>
                <w:color w:val="auto"/>
              </w:rPr>
            </w:pPr>
            <w:r>
              <w:rPr>
                <w:rFonts w:ascii="Arial" w:cs="Arial" w:eastAsia="Arial" w:hAnsi="Arial"/>
                <w:sz w:val="18"/>
                <w:szCs w:val="18"/>
                <w:color w:val="auto"/>
              </w:rPr>
              <w:t>by security holders</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1,591,245  )</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6,931,420</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36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1,591,245</w:t>
            </w:r>
          </w:p>
        </w:tc>
        <w:tc>
          <w:tcPr>
            <w:tcW w:w="320" w:type="dxa"/>
            <w:vAlign w:val="bottom"/>
            <w:tcBorders>
              <w:bottom w:val="single" w:sz="8" w:color="CFF0FC"/>
            </w:tcBorders>
            <w:shd w:val="clear" w:color="auto" w:fill="CFF0FC"/>
          </w:tcPr>
          <w:p>
            <w:pPr>
              <w:spacing w:after="0"/>
              <w:rPr>
                <w:sz w:val="20"/>
                <w:szCs w:val="20"/>
                <w:color w:val="auto"/>
              </w:rPr>
            </w:pPr>
          </w:p>
        </w:tc>
        <w:tc>
          <w:tcPr>
            <w:tcW w:w="2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8,149,361</w:t>
            </w:r>
          </w:p>
        </w:tc>
        <w:tc>
          <w:tcPr>
            <w:tcW w:w="3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-25400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768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the 2020 Employee Stock Purchase Plan.</w:t>
      </w:r>
    </w:p>
    <w:p>
      <w:pPr>
        <w:spacing w:after="0" w:line="15" w:lineRule="exact"/>
        <w:rPr>
          <w:rFonts w:ascii="Arial" w:cs="Arial" w:eastAsia="Arial" w:hAnsi="Arial"/>
          <w:sz w:val="14"/>
          <w:szCs w:val="14"/>
          <w:color w:val="auto"/>
        </w:rPr>
      </w:pPr>
    </w:p>
    <w:p>
      <w:pPr>
        <w:ind w:left="520" w:right="160" w:hanging="512"/>
        <w:spacing w:after="0" w:line="241"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 represents 1,217,941 shares remaining available for future issuance under the 2020 Employee Stock Purchase Plan (of which 79,496 shares were purchased pursuant to the offering period that ended on December 31, 2025).</w:t>
      </w:r>
    </w:p>
    <w:p>
      <w:pPr>
        <w:ind w:left="520" w:right="480" w:hanging="512"/>
        <w:spacing w:after="0" w:line="241"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 represents the sum of 1,591,245 shares of common stock subject to outstanding RSU and PSU awards under the 2019 Incentive Plan (with PSU awards reflected at “target” levels),</w:t>
      </w:r>
    </w:p>
    <w:p>
      <w:pPr>
        <w:ind w:left="520" w:hanging="512"/>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 represents 6,931,420 shares remaining available for future issuance under the 2019 Incentive Plan.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Employee Stock Purchase Plan</w:t>
      </w:r>
    </w:p>
    <w:p>
      <w:pPr>
        <w:spacing w:after="0" w:line="104"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The Parsons Corporation Employee Stock Purchase Plan (“ESPP”) was adopted effective March 1, 2020. Under the ESPP, eligible employees who elect to participate are granted the right to purchase shares of Parsons common stock at a discount of 5% of the market value on the last trading day of the offering period.</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stock issuance activity for the years ended December 31, 2025 and December 31, 2024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5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Purchase price paid for shares sold</w:t>
            </w:r>
          </w:p>
        </w:tc>
        <w:tc>
          <w:tcPr>
            <w:tcW w:w="3560" w:type="dxa"/>
            <w:vAlign w:val="bottom"/>
            <w:gridSpan w:val="2"/>
            <w:shd w:val="clear" w:color="auto" w:fill="CFF0FC"/>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9,464</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7,935</w:t>
            </w:r>
          </w:p>
        </w:tc>
      </w:tr>
      <w:tr>
        <w:trPr>
          <w:trHeight w:val="239"/>
        </w:trPr>
        <w:tc>
          <w:tcPr>
            <w:tcW w:w="5560" w:type="dxa"/>
            <w:vAlign w:val="bottom"/>
          </w:tcPr>
          <w:p>
            <w:pPr>
              <w:spacing w:after="0"/>
              <w:rPr>
                <w:sz w:val="20"/>
                <w:szCs w:val="20"/>
                <w:color w:val="auto"/>
              </w:rPr>
            </w:pPr>
            <w:r>
              <w:rPr>
                <w:rFonts w:ascii="Arial" w:cs="Arial" w:eastAsia="Arial" w:hAnsi="Arial"/>
                <w:sz w:val="18"/>
                <w:szCs w:val="18"/>
                <w:color w:val="auto"/>
              </w:rPr>
              <w:t>Number of shares sold</w:t>
            </w:r>
          </w:p>
        </w:tc>
        <w:tc>
          <w:tcPr>
            <w:tcW w:w="2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r>
    </w:tbl>
    <w:p>
      <w:pPr>
        <w:spacing w:after="0" w:line="174"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The average purchase price for the year ended December 31, 2025 and December 31, 2024 was $63.09 and $82.66 per share, respectively.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Equity-Based Compensation Plans</w:t>
      </w:r>
    </w:p>
    <w:p>
      <w:pPr>
        <w:spacing w:after="0" w:line="10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Company issues stock-based awards through the Incentive Award Plan. The compensation expense for these awards is recorded in “Selling, general and administrative expenses” in the Company’s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Stock-based compensation expense was $34.0 million, $52.6 million, and $27.5 million for the years ended December 31, 2025, December 31, 2024 and December 31, 2023, respectively, net of recognized tax benefits of $6.2 million, $8.9 million, and $8.6 million for 2025, 2024 and 2023, respectively. The tax benefit realized related to awards vested during 2025, 2024, and 2023 was $9.1 million, $12.0 million, and $4.3 million, respectively. We recognize forfeitures as they occur.</w:t>
      </w:r>
    </w:p>
    <w:p>
      <w:pPr>
        <w:spacing w:after="0" w:line="17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At December 31, 2025, the amount of compensation cost relating to non-vested awards not yet recognized in the consolidated financial statements is $37.5 million. The majority of these unrecognized compensation costs will be recognized by the fourth quarter of fiscal 2027.</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Restricted Stock Units awards are issued under the Incentive Award Plan and are settled by the issuance of the Company’s common stock. Outstanding awards have been granted based on either service or service and performance conditions. Awards vest over three-year periods, either annually or cliff. Expense is recognized on an accelerated basis for awards with service conditions only and on a straight-line basis for awards that include performance conditions. Expense recognition of awards with performance criteria are subject to the probability of meeting the performance conditions and adjusted for the number of shares expected to be earned. Compensation cost for awards with performance conditions are trued-up at each reporting period for changes in the expected shares pro-rated for the portion of the requisite service period rendered. For awards that include market conditions, the grant date fair value is determined using a Monte Carlo simulation. Inputs to the Monte Carlo model include the vesting period, historical stock volatilities for Parsons and a peer group commensurate with a look back period equal to the vesting period.</w:t>
      </w:r>
    </w:p>
    <w:p>
      <w:pPr>
        <w:spacing w:after="0" w:line="183"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following table presents the number of shares of restricted stock units granted (at target shares for awards with performance conditions) for the years ended December 31, 2025, December 31, 2024 and 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60" w:type="dxa"/>
            <w:vAlign w:val="bottom"/>
          </w:tcPr>
          <w:p>
            <w:pPr>
              <w:spacing w:after="0"/>
              <w:rPr>
                <w:sz w:val="14"/>
                <w:szCs w:val="14"/>
                <w:color w:val="auto"/>
              </w:rPr>
            </w:pP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Restricted Stock Units (service condition)</w:t>
            </w:r>
          </w:p>
        </w:tc>
        <w:tc>
          <w:tcPr>
            <w:tcW w:w="19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401,974</w:t>
            </w:r>
          </w:p>
        </w:tc>
        <w:tc>
          <w:tcPr>
            <w:tcW w:w="19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346,483</w:t>
            </w:r>
          </w:p>
        </w:tc>
        <w:tc>
          <w:tcPr>
            <w:tcW w:w="17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616,337</w:t>
            </w:r>
          </w:p>
        </w:tc>
      </w:tr>
      <w:tr>
        <w:trPr>
          <w:trHeight w:val="239"/>
        </w:trPr>
        <w:tc>
          <w:tcPr>
            <w:tcW w:w="5660" w:type="dxa"/>
            <w:vAlign w:val="bottom"/>
          </w:tcPr>
          <w:p>
            <w:pPr>
              <w:spacing w:after="0"/>
              <w:rPr>
                <w:sz w:val="20"/>
                <w:szCs w:val="20"/>
                <w:color w:val="auto"/>
              </w:rPr>
            </w:pPr>
            <w:r>
              <w:rPr>
                <w:rFonts w:ascii="Arial" w:cs="Arial" w:eastAsia="Arial" w:hAnsi="Arial"/>
                <w:sz w:val="18"/>
                <w:szCs w:val="18"/>
                <w:color w:val="auto"/>
              </w:rPr>
              <w:t>Restricted Stock Units (service and performance condition)</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359,146</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296,513</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452,179</w:t>
            </w:r>
          </w:p>
        </w:tc>
      </w:tr>
    </w:tbl>
    <w:p>
      <w:pPr>
        <w:spacing w:after="0" w:line="188"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number of units granted for awards with performance conditions in the above table is based on performance at the target amount. The number of shares ultimately issued, which could be greater or less than target, will be based on achieving specific performance conditions related to the awards. During the years ended December 31, 2025 and December 31, 2024, certain restricted stock unit grants with performance conditions vested with performance different from the target share amounts. As a result, 156,312 and 99,280 additional shares, respectively were granted and vested.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the number and weighted average grant-date fair value of restricted stock units (at target shares for awards with performance conditions) for the years ended December 31, 2025, December 31, 2024 and 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Grant-</w:t>
            </w:r>
          </w:p>
        </w:tc>
      </w:tr>
      <w:tr>
        <w:trPr>
          <w:trHeight w:val="171"/>
        </w:trPr>
        <w:tc>
          <w:tcPr>
            <w:tcW w:w="6820" w:type="dxa"/>
            <w:vAlign w:val="bottom"/>
          </w:tcPr>
          <w:p>
            <w:pPr>
              <w:spacing w:after="0"/>
              <w:rPr>
                <w:sz w:val="14"/>
                <w:szCs w:val="14"/>
                <w:color w:val="auto"/>
              </w:rPr>
            </w:pPr>
          </w:p>
        </w:tc>
        <w:tc>
          <w:tcPr>
            <w:tcW w:w="20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Number of Units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4"/>
                <w:szCs w:val="14"/>
                <w:color w:val="auto"/>
              </w:rPr>
            </w:pPr>
          </w:p>
        </w:tc>
      </w:tr>
      <w:tr>
        <w:trPr>
          <w:trHeight w:val="216"/>
        </w:trPr>
        <w:tc>
          <w:tcPr>
            <w:tcW w:w="6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Outstanding at December 31, 2022</w:t>
            </w:r>
          </w:p>
        </w:tc>
        <w:tc>
          <w:tcPr>
            <w:tcW w:w="2340" w:type="dxa"/>
            <w:vAlign w:val="bottom"/>
            <w:gridSpan w:val="2"/>
            <w:shd w:val="clear" w:color="auto" w:fill="CFF0FC"/>
          </w:tcPr>
          <w:p>
            <w:pPr>
              <w:jc w:val="right"/>
              <w:ind w:right="340"/>
              <w:spacing w:after="0" w:line="182" w:lineRule="exact"/>
              <w:rPr>
                <w:sz w:val="20"/>
                <w:szCs w:val="20"/>
                <w:color w:val="auto"/>
              </w:rPr>
            </w:pPr>
            <w:r>
              <w:rPr>
                <w:rFonts w:ascii="Arial" w:cs="Arial" w:eastAsia="Arial" w:hAnsi="Arial"/>
                <w:sz w:val="18"/>
                <w:szCs w:val="18"/>
                <w:color w:val="auto"/>
              </w:rPr>
              <w:t>1,621,155</w:t>
            </w: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37.49</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ind w:right="340"/>
              <w:spacing w:after="0" w:line="183" w:lineRule="exact"/>
              <w:rPr>
                <w:sz w:val="20"/>
                <w:szCs w:val="20"/>
                <w:color w:val="auto"/>
              </w:rPr>
            </w:pPr>
            <w:r>
              <w:rPr>
                <w:rFonts w:ascii="Arial" w:cs="Arial" w:eastAsia="Arial" w:hAnsi="Arial"/>
                <w:sz w:val="18"/>
                <w:szCs w:val="18"/>
                <w:color w:val="auto"/>
              </w:rPr>
              <w:t>1,068,516</w:t>
            </w:r>
          </w:p>
        </w:tc>
        <w:tc>
          <w:tcPr>
            <w:tcW w:w="120" w:type="dxa"/>
            <w:vAlign w:val="bottom"/>
          </w:tcPr>
          <w:p>
            <w:pPr>
              <w:spacing w:after="0"/>
              <w:rPr>
                <w:sz w:val="15"/>
                <w:szCs w:val="15"/>
                <w:color w:val="auto"/>
              </w:rPr>
            </w:pPr>
          </w:p>
        </w:tc>
        <w:tc>
          <w:tcPr>
            <w:tcW w:w="19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48.96</w:t>
            </w:r>
          </w:p>
        </w:tc>
      </w:tr>
      <w:tr>
        <w:trPr>
          <w:trHeight w:val="203"/>
        </w:trPr>
        <w:tc>
          <w:tcPr>
            <w:tcW w:w="6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2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(372,962)</w:t>
            </w:r>
          </w:p>
        </w:tc>
        <w:tc>
          <w:tcPr>
            <w:tcW w:w="1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37.56</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(223,373)</w:t>
            </w:r>
          </w:p>
        </w:tc>
        <w:tc>
          <w:tcPr>
            <w:tcW w:w="120" w:type="dxa"/>
            <w:vAlign w:val="bottom"/>
          </w:tcPr>
          <w:p>
            <w:pPr>
              <w:spacing w:after="0"/>
              <w:rPr>
                <w:sz w:val="17"/>
                <w:szCs w:val="17"/>
                <w:color w:val="auto"/>
              </w:rPr>
            </w:pPr>
          </w:p>
        </w:tc>
        <w:tc>
          <w:tcPr>
            <w:tcW w:w="1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39.90</w:t>
            </w:r>
          </w:p>
        </w:tc>
      </w:tr>
      <w:tr>
        <w:trPr>
          <w:trHeight w:val="20"/>
        </w:trPr>
        <w:tc>
          <w:tcPr>
            <w:tcW w:w="68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Outstanding at December 31, 2023</w:t>
            </w:r>
          </w:p>
        </w:tc>
        <w:tc>
          <w:tcPr>
            <w:tcW w:w="2340" w:type="dxa"/>
            <w:vAlign w:val="bottom"/>
            <w:gridSpan w:val="2"/>
            <w:shd w:val="clear" w:color="auto" w:fill="CFF0FC"/>
          </w:tcPr>
          <w:p>
            <w:pPr>
              <w:jc w:val="right"/>
              <w:ind w:right="340"/>
              <w:spacing w:after="0" w:line="182" w:lineRule="exact"/>
              <w:rPr>
                <w:sz w:val="20"/>
                <w:szCs w:val="20"/>
                <w:color w:val="auto"/>
              </w:rPr>
            </w:pPr>
            <w:r>
              <w:rPr>
                <w:rFonts w:ascii="Arial" w:cs="Arial" w:eastAsia="Arial" w:hAnsi="Arial"/>
                <w:sz w:val="18"/>
                <w:szCs w:val="18"/>
                <w:color w:val="auto"/>
              </w:rPr>
              <w:t>2,093,336</w:t>
            </w:r>
          </w:p>
        </w:tc>
        <w:tc>
          <w:tcPr>
            <w:tcW w:w="1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43.11</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ind w:right="340"/>
              <w:spacing w:after="0" w:line="183" w:lineRule="exact"/>
              <w:rPr>
                <w:sz w:val="20"/>
                <w:szCs w:val="20"/>
                <w:color w:val="auto"/>
              </w:rPr>
            </w:pPr>
            <w:r>
              <w:rPr>
                <w:rFonts w:ascii="Arial" w:cs="Arial" w:eastAsia="Arial" w:hAnsi="Arial"/>
                <w:sz w:val="18"/>
                <w:szCs w:val="18"/>
                <w:color w:val="auto"/>
              </w:rPr>
              <w:t>642,996</w:t>
            </w:r>
          </w:p>
        </w:tc>
        <w:tc>
          <w:tcPr>
            <w:tcW w:w="120" w:type="dxa"/>
            <w:vAlign w:val="bottom"/>
          </w:tcPr>
          <w:p>
            <w:pPr>
              <w:spacing w:after="0"/>
              <w:rPr>
                <w:sz w:val="15"/>
                <w:szCs w:val="15"/>
                <w:color w:val="auto"/>
              </w:rPr>
            </w:pPr>
          </w:p>
        </w:tc>
        <w:tc>
          <w:tcPr>
            <w:tcW w:w="19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79.71</w:t>
            </w:r>
          </w:p>
        </w:tc>
      </w:tr>
      <w:tr>
        <w:trPr>
          <w:trHeight w:val="203"/>
        </w:trPr>
        <w:tc>
          <w:tcPr>
            <w:tcW w:w="6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2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(697,956)</w:t>
            </w:r>
          </w:p>
        </w:tc>
        <w:tc>
          <w:tcPr>
            <w:tcW w:w="1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37.83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(155,358)</w:t>
            </w:r>
          </w:p>
        </w:tc>
        <w:tc>
          <w:tcPr>
            <w:tcW w:w="120" w:type="dxa"/>
            <w:vAlign w:val="bottom"/>
          </w:tcPr>
          <w:p>
            <w:pPr>
              <w:spacing w:after="0"/>
              <w:rPr>
                <w:sz w:val="17"/>
                <w:szCs w:val="17"/>
                <w:color w:val="auto"/>
              </w:rPr>
            </w:pPr>
          </w:p>
        </w:tc>
        <w:tc>
          <w:tcPr>
            <w:tcW w:w="1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45.33</w:t>
            </w:r>
          </w:p>
        </w:tc>
      </w:tr>
      <w:tr>
        <w:trPr>
          <w:trHeight w:val="20"/>
        </w:trPr>
        <w:tc>
          <w:tcPr>
            <w:tcW w:w="68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Outstanding at December 31, 2024</w:t>
            </w:r>
          </w:p>
        </w:tc>
        <w:tc>
          <w:tcPr>
            <w:tcW w:w="2340" w:type="dxa"/>
            <w:vAlign w:val="bottom"/>
            <w:gridSpan w:val="2"/>
            <w:shd w:val="clear" w:color="auto" w:fill="CFF0FC"/>
          </w:tcPr>
          <w:p>
            <w:pPr>
              <w:jc w:val="right"/>
              <w:ind w:right="340"/>
              <w:spacing w:after="0" w:line="182" w:lineRule="exact"/>
              <w:rPr>
                <w:sz w:val="20"/>
                <w:szCs w:val="20"/>
                <w:color w:val="auto"/>
              </w:rPr>
            </w:pPr>
            <w:r>
              <w:rPr>
                <w:rFonts w:ascii="Arial" w:cs="Arial" w:eastAsia="Arial" w:hAnsi="Arial"/>
                <w:sz w:val="18"/>
                <w:szCs w:val="18"/>
                <w:color w:val="auto"/>
              </w:rPr>
              <w:t>1,883,018</w:t>
            </w:r>
          </w:p>
        </w:tc>
        <w:tc>
          <w:tcPr>
            <w:tcW w:w="1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57.35</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ind w:right="340"/>
              <w:spacing w:after="0" w:line="183" w:lineRule="exact"/>
              <w:rPr>
                <w:sz w:val="20"/>
                <w:szCs w:val="20"/>
                <w:color w:val="auto"/>
              </w:rPr>
            </w:pPr>
            <w:r>
              <w:rPr>
                <w:rFonts w:ascii="Arial" w:cs="Arial" w:eastAsia="Arial" w:hAnsi="Arial"/>
                <w:sz w:val="18"/>
                <w:szCs w:val="18"/>
                <w:color w:val="auto"/>
              </w:rPr>
              <w:t>761,120</w:t>
            </w:r>
          </w:p>
        </w:tc>
        <w:tc>
          <w:tcPr>
            <w:tcW w:w="120" w:type="dxa"/>
            <w:vAlign w:val="bottom"/>
          </w:tcPr>
          <w:p>
            <w:pPr>
              <w:spacing w:after="0"/>
              <w:rPr>
                <w:sz w:val="15"/>
                <w:szCs w:val="15"/>
                <w:color w:val="auto"/>
              </w:rPr>
            </w:pPr>
          </w:p>
        </w:tc>
        <w:tc>
          <w:tcPr>
            <w:tcW w:w="19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50.20</w:t>
            </w:r>
          </w:p>
        </w:tc>
      </w:tr>
      <w:tr>
        <w:trPr>
          <w:trHeight w:val="203"/>
        </w:trPr>
        <w:tc>
          <w:tcPr>
            <w:tcW w:w="6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2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(855,126)</w:t>
            </w:r>
          </w:p>
        </w:tc>
        <w:tc>
          <w:tcPr>
            <w:tcW w:w="1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41.88</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(197,767)</w:t>
            </w:r>
          </w:p>
        </w:tc>
        <w:tc>
          <w:tcPr>
            <w:tcW w:w="120" w:type="dxa"/>
            <w:vAlign w:val="bottom"/>
          </w:tcPr>
          <w:p>
            <w:pPr>
              <w:spacing w:after="0"/>
              <w:rPr>
                <w:sz w:val="17"/>
                <w:szCs w:val="17"/>
                <w:color w:val="auto"/>
              </w:rPr>
            </w:pPr>
          </w:p>
        </w:tc>
        <w:tc>
          <w:tcPr>
            <w:tcW w:w="1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52.84</w:t>
            </w:r>
          </w:p>
        </w:tc>
      </w:tr>
      <w:tr>
        <w:trPr>
          <w:trHeight w:val="20"/>
        </w:trPr>
        <w:tc>
          <w:tcPr>
            <w:tcW w:w="68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Outstanding at December 31, 2025</w:t>
            </w:r>
          </w:p>
        </w:tc>
        <w:tc>
          <w:tcPr>
            <w:tcW w:w="2340" w:type="dxa"/>
            <w:vAlign w:val="bottom"/>
            <w:gridSpan w:val="2"/>
            <w:shd w:val="clear" w:color="auto" w:fill="CFF0FC"/>
          </w:tcPr>
          <w:p>
            <w:pPr>
              <w:jc w:val="right"/>
              <w:ind w:right="340"/>
              <w:spacing w:after="0" w:line="182" w:lineRule="exact"/>
              <w:rPr>
                <w:sz w:val="20"/>
                <w:szCs w:val="20"/>
                <w:color w:val="auto"/>
              </w:rPr>
            </w:pPr>
            <w:r>
              <w:rPr>
                <w:rFonts w:ascii="Arial" w:cs="Arial" w:eastAsia="Arial" w:hAnsi="Arial"/>
                <w:sz w:val="18"/>
                <w:szCs w:val="18"/>
                <w:color w:val="auto"/>
              </w:rPr>
              <w:t>1,591,245</w:t>
            </w: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62.80</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-1670685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-1653540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-1122045</wp:posOffset>
            </wp:positionV>
            <wp:extent cx="768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-1104900</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-573405</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-556895</wp:posOffset>
            </wp:positionV>
            <wp:extent cx="768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6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For the year ended December 31, 2025, 988,128 shares of restricted stock units were issued, and 347,450 shares of common stock related to employee statutory income tax withholding were retired. For the year ended December 31, 2024, 778,167 shares of restricted stock units were issued, and 272,284 shares of common stock related to employee statutory income tax withholding were retired. For the year ended December 31, 2023, 484,988 shares of restricted stock units were issued, and 159,281 shares of common stock related to employee statutory income tax withholding were retired.</w:t>
      </w:r>
    </w:p>
    <w:p>
      <w:pPr>
        <w:spacing w:after="0" w:line="176"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following table presents the number of shares of restricted stock outstanding (at target shares for awards with performance conditions) at December 31, 2025, December 31, 2024 and 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60" w:type="dxa"/>
            <w:vAlign w:val="bottom"/>
          </w:tcPr>
          <w:p>
            <w:pPr>
              <w:spacing w:after="0"/>
              <w:rPr>
                <w:sz w:val="14"/>
                <w:szCs w:val="14"/>
                <w:color w:val="auto"/>
              </w:rPr>
            </w:pP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Restricted Stock Units (service condition)</w:t>
            </w:r>
          </w:p>
        </w:tc>
        <w:tc>
          <w:tcPr>
            <w:tcW w:w="19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730,329</w:t>
            </w:r>
          </w:p>
        </w:tc>
        <w:tc>
          <w:tcPr>
            <w:tcW w:w="19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911,908</w:t>
            </w:r>
          </w:p>
        </w:tc>
        <w:tc>
          <w:tcPr>
            <w:tcW w:w="17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1,085,203</w:t>
            </w:r>
          </w:p>
        </w:tc>
      </w:tr>
      <w:tr>
        <w:trPr>
          <w:trHeight w:val="239"/>
        </w:trPr>
        <w:tc>
          <w:tcPr>
            <w:tcW w:w="5660" w:type="dxa"/>
            <w:vAlign w:val="bottom"/>
          </w:tcPr>
          <w:p>
            <w:pPr>
              <w:spacing w:after="0"/>
              <w:rPr>
                <w:sz w:val="20"/>
                <w:szCs w:val="20"/>
                <w:color w:val="auto"/>
              </w:rPr>
            </w:pPr>
            <w:r>
              <w:rPr>
                <w:rFonts w:ascii="Arial" w:cs="Arial" w:eastAsia="Arial" w:hAnsi="Arial"/>
                <w:sz w:val="18"/>
                <w:szCs w:val="18"/>
                <w:color w:val="auto"/>
              </w:rPr>
              <w:t>Restricted Stock Units (service and performance condition)</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860,916</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971,110</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1,008,133</w:t>
            </w:r>
          </w:p>
        </w:tc>
      </w:tr>
    </w:tbl>
    <w:p>
      <w:pPr>
        <w:spacing w:after="0" w:line="296"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for the years ended December 31, 2025 and December 31, 2024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7"/>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140" w:type="dxa"/>
            <w:vAlign w:val="bottom"/>
          </w:tcPr>
          <w:p>
            <w:pPr>
              <w:jc w:val="center"/>
              <w:ind w:right="17"/>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1,806,564</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54,654</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1,861,218</w:t>
            </w:r>
          </w:p>
        </w:tc>
        <w:tc>
          <w:tcPr>
            <w:tcW w:w="12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276,116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46,765</w:t>
            </w:r>
          </w:p>
        </w:tc>
        <w:tc>
          <w:tcPr>
            <w:tcW w:w="18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325,432</w:t>
            </w:r>
          </w:p>
        </w:tc>
      </w:tr>
      <w:tr>
        <w:trPr>
          <w:trHeight w:val="236"/>
        </w:trPr>
        <w:tc>
          <w:tcPr>
            <w:tcW w:w="53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2,082,680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101,419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2,186,650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322"/>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140" w:type="dxa"/>
            <w:vAlign w:val="bottom"/>
          </w:tcPr>
          <w:p>
            <w:pPr>
              <w:jc w:val="center"/>
              <w:ind w:right="1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1,686,901</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119,663</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1,806,564</w:t>
            </w:r>
          </w:p>
        </w:tc>
        <w:tc>
          <w:tcPr>
            <w:tcW w:w="12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105,764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174,585</w:t>
            </w:r>
          </w:p>
        </w:tc>
        <w:tc>
          <w:tcPr>
            <w:tcW w:w="18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276,116</w:t>
            </w:r>
          </w:p>
        </w:tc>
      </w:tr>
      <w:tr>
        <w:trPr>
          <w:trHeight w:val="236"/>
        </w:trPr>
        <w:tc>
          <w:tcPr>
            <w:tcW w:w="53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1,792,665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294,248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2,082,680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862"/>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F-37</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5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-1824990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-1807845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-1824990</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-1807845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-1824990</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-1807845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-1807845</wp:posOffset>
            </wp:positionV>
            <wp:extent cx="774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-1070610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-1053465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-1070610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-1053465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-1070610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-1053465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For the years ended December 31, 2025 and December 31, 2024, the Company performed a quantitative impairment analysis for all reporting units. It was determined that the fair value of all reporting units exceeded their carrying values. No goodwill impairments were identified for the three years ended December 31, 2025, December 31, 2024 and December 31, 2023.</w:t>
      </w:r>
    </w:p>
    <w:p>
      <w:pPr>
        <w:spacing w:after="0" w:line="277"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gross amount and accumulated amortization of acquired identifiable intangible assets included in “Intangible assets, net” on the consolidated balance sheets were as follows (in thousands except for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4"/>
            <w:vMerge w:val="restart"/>
          </w:tcPr>
          <w:p>
            <w:pPr>
              <w:jc w:val="right"/>
              <w:ind w:right="40"/>
              <w:spacing w:after="0"/>
              <w:rPr>
                <w:sz w:val="20"/>
                <w:szCs w:val="20"/>
                <w:color w:val="auto"/>
              </w:rPr>
            </w:pPr>
            <w:r>
              <w:rPr>
                <w:rFonts w:ascii="Arial" w:cs="Arial" w:eastAsia="Arial" w:hAnsi="Arial"/>
                <w:sz w:val="13"/>
                <w:szCs w:val="13"/>
                <w:b w:val="1"/>
                <w:bCs w:val="1"/>
                <w:color w:val="auto"/>
                <w:w w:val="99"/>
              </w:rPr>
              <w:t>December 31, 2025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w w:val="99"/>
              </w:rPr>
              <w:t>December 31, 2024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11"/>
        </w:trPr>
        <w:tc>
          <w:tcPr>
            <w:tcW w:w="3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91"/>
              <w:spacing w:after="0" w:line="111" w:lineRule="exact"/>
              <w:rPr>
                <w:sz w:val="20"/>
                <w:szCs w:val="20"/>
                <w:color w:val="auto"/>
              </w:rPr>
            </w:pPr>
            <w:r>
              <w:rPr>
                <w:rFonts w:ascii="Arial" w:cs="Arial" w:eastAsia="Arial" w:hAnsi="Arial"/>
                <w:sz w:val="12"/>
                <w:szCs w:val="12"/>
                <w:b w:val="1"/>
                <w:bCs w:val="1"/>
                <w:color w:val="auto"/>
              </w:rPr>
              <w:t>Gross</w:t>
            </w:r>
          </w:p>
        </w:tc>
        <w:tc>
          <w:tcPr>
            <w:tcW w:w="200" w:type="dxa"/>
            <w:vAlign w:val="bottom"/>
          </w:tcPr>
          <w:p>
            <w:pPr>
              <w:spacing w:after="0"/>
              <w:rPr>
                <w:sz w:val="9"/>
                <w:szCs w:val="9"/>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08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Amortization</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Amortization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Backlog</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154,470</w:t>
            </w:r>
          </w:p>
        </w:tc>
        <w:tc>
          <w:tcPr>
            <w:tcW w:w="380" w:type="dxa"/>
            <w:vAlign w:val="bottom"/>
            <w:gridSpan w:val="2"/>
            <w:shd w:val="clear" w:color="auto" w:fill="CFF0FC"/>
          </w:tcPr>
          <w:p>
            <w:pPr>
              <w:ind w:left="2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(83,181)</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71,289</w:t>
            </w:r>
          </w:p>
        </w:tc>
        <w:tc>
          <w:tcPr>
            <w:tcW w:w="3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142,100</w:t>
            </w:r>
          </w:p>
        </w:tc>
        <w:tc>
          <w:tcPr>
            <w:tcW w:w="400" w:type="dxa"/>
            <w:vAlign w:val="bottom"/>
            <w:gridSpan w:val="2"/>
            <w:shd w:val="clear" w:color="auto" w:fill="CFF0FC"/>
          </w:tcPr>
          <w:p>
            <w:pPr>
              <w:jc w:val="right"/>
              <w:ind w:right="37"/>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(51,322)</w:t>
            </w:r>
          </w:p>
        </w:tc>
        <w:tc>
          <w:tcPr>
            <w:tcW w:w="1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90,778</w:t>
            </w:r>
          </w:p>
        </w:tc>
        <w:tc>
          <w:tcPr>
            <w:tcW w:w="1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395,460</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(166,391)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229,069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372,930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(139,568)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233,362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Developed technology</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30,100</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(13,496)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16,604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(7,458)</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15,742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Trade name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2,530</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(2,123)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Non-compete agreements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10,980</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(4,293)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(1,203)</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In process research and development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intangibles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gridSpan w:val="2"/>
            <w:shd w:val="clear" w:color="auto" w:fill="CFF0FC"/>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3860" w:type="dxa"/>
            <w:vAlign w:val="bottom"/>
          </w:tcPr>
          <w:p>
            <w:pPr>
              <w:ind w:left="80"/>
              <w:spacing w:after="0" w:line="155" w:lineRule="exact"/>
              <w:rPr>
                <w:sz w:val="20"/>
                <w:szCs w:val="20"/>
                <w:color w:val="auto"/>
              </w:rPr>
            </w:pPr>
            <w:r>
              <w:rPr>
                <w:rFonts w:ascii="Arial" w:cs="Arial" w:eastAsia="Arial" w:hAnsi="Arial"/>
                <w:sz w:val="14"/>
                <w:szCs w:val="14"/>
                <w:color w:val="auto"/>
              </w:rPr>
              <w:t>Total intangible assets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595,364</w:t>
            </w:r>
          </w:p>
        </w:tc>
        <w:tc>
          <w:tcPr>
            <w:tcW w:w="20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(269,484)</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325,880</w:t>
            </w: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549,855</w:t>
            </w:r>
          </w:p>
        </w:tc>
        <w:tc>
          <w:tcPr>
            <w:tcW w:w="400" w:type="dxa"/>
            <w:vAlign w:val="bottom"/>
            <w:gridSpan w:val="2"/>
          </w:tcPr>
          <w:p>
            <w:pPr>
              <w:jc w:val="right"/>
              <w:ind w:right="37"/>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(199,918)</w:t>
            </w: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349,937</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-119380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-119380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-119380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-119380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aggregate amortization expense of intangible assets was $69.6 million, $55.6 million, and $76.6 million for the years ended December 31, 2025, December 31, 2024 and December 31, 2023,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40" w:type="dxa"/>
            <w:vAlign w:val="bottom"/>
          </w:tcPr>
          <w:p>
            <w:pPr>
              <w:ind w:left="520"/>
              <w:spacing w:after="0"/>
              <w:rPr>
                <w:sz w:val="20"/>
                <w:szCs w:val="20"/>
                <w:color w:val="auto"/>
              </w:rPr>
            </w:pPr>
            <w:r>
              <w:rPr>
                <w:rFonts w:ascii="Arial" w:cs="Arial" w:eastAsia="Arial" w:hAnsi="Arial"/>
                <w:sz w:val="18"/>
                <w:szCs w:val="18"/>
                <w:color w:val="auto"/>
              </w:rPr>
              <w:t>Estimated amortization expense in each of the next five years and beyond is as follows (in thousands):</w:t>
            </w: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7"/>
        </w:trPr>
        <w:tc>
          <w:tcPr>
            <w:tcW w:w="8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24"/>
                <w:szCs w:val="24"/>
                <w:color w:val="auto"/>
              </w:rPr>
            </w:pPr>
          </w:p>
        </w:tc>
      </w:tr>
      <w:tr>
        <w:trPr>
          <w:trHeight w:val="196"/>
        </w:trPr>
        <w:tc>
          <w:tcPr>
            <w:tcW w:w="8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65,441</w:t>
            </w:r>
          </w:p>
        </w:tc>
      </w:tr>
      <w:tr>
        <w:trPr>
          <w:trHeight w:val="202"/>
        </w:trPr>
        <w:tc>
          <w:tcPr>
            <w:tcW w:w="89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58,480</w:t>
            </w:r>
          </w:p>
        </w:tc>
      </w:tr>
      <w:tr>
        <w:trPr>
          <w:trHeight w:val="203"/>
        </w:trPr>
        <w:tc>
          <w:tcPr>
            <w:tcW w:w="8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42,726</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26,421</w:t>
            </w:r>
          </w:p>
        </w:tc>
      </w:tr>
      <w:tr>
        <w:trPr>
          <w:trHeight w:val="203"/>
        </w:trPr>
        <w:tc>
          <w:tcPr>
            <w:tcW w:w="8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22,702</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108,309</w:t>
            </w:r>
          </w:p>
        </w:tc>
        <w:tc>
          <w:tcPr>
            <w:tcW w:w="100" w:type="dxa"/>
            <w:vAlign w:val="bottom"/>
          </w:tcPr>
          <w:p>
            <w:pPr>
              <w:spacing w:after="0"/>
              <w:rPr>
                <w:sz w:val="17"/>
                <w:szCs w:val="17"/>
                <w:color w:val="auto"/>
              </w:rPr>
            </w:pPr>
          </w:p>
        </w:tc>
      </w:tr>
      <w:tr>
        <w:trPr>
          <w:trHeight w:val="236"/>
        </w:trPr>
        <w:tc>
          <w:tcPr>
            <w:tcW w:w="8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324,079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December 31, 2025 and December 31, 2024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4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4"/>
                <w:szCs w:val="14"/>
                <w:color w:val="auto"/>
              </w:rPr>
            </w:pPr>
          </w:p>
        </w:tc>
        <w:tc>
          <w:tcPr>
            <w:tcW w:w="16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Buildings and leasehold improvements</w:t>
            </w:r>
          </w:p>
        </w:tc>
        <w:tc>
          <w:tcPr>
            <w:tcW w:w="19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118,945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103,945</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88,011</w:t>
            </w:r>
          </w:p>
        </w:tc>
        <w:tc>
          <w:tcPr>
            <w:tcW w:w="10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84,720</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systems and equipment</w:t>
            </w: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181,595</w:t>
            </w: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172,437</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Construction equipment</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15,739</w:t>
            </w:r>
          </w:p>
        </w:tc>
        <w:tc>
          <w:tcPr>
            <w:tcW w:w="10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6,463</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3"/>
        </w:trPr>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51,070</w:t>
            </w: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30,342</w:t>
            </w:r>
          </w:p>
        </w:tc>
        <w:tc>
          <w:tcPr>
            <w:tcW w:w="16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455,360</w:t>
            </w:r>
          </w:p>
        </w:tc>
        <w:tc>
          <w:tcPr>
            <w:tcW w:w="100" w:type="dxa"/>
            <w:vAlign w:val="bottom"/>
          </w:tcPr>
          <w:p>
            <w:pPr>
              <w:spacing w:after="0"/>
              <w:rPr>
                <w:sz w:val="17"/>
                <w:szCs w:val="17"/>
                <w:color w:val="auto"/>
              </w:rPr>
            </w:pPr>
          </w:p>
        </w:tc>
        <w:tc>
          <w:tcPr>
            <w:tcW w:w="16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397,907</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(304,299)</w:t>
            </w: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(286,332)</w:t>
            </w:r>
          </w:p>
        </w:tc>
        <w:tc>
          <w:tcPr>
            <w:tcW w:w="16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60" w:type="dxa"/>
            <w:vAlign w:val="bottom"/>
          </w:tcPr>
          <w:p>
            <w:pPr>
              <w:ind w:left="160"/>
              <w:spacing w:after="0" w:line="196" w:lineRule="exact"/>
              <w:rPr>
                <w:sz w:val="20"/>
                <w:szCs w:val="20"/>
                <w:color w:val="auto"/>
              </w:rPr>
            </w:pPr>
            <w:r>
              <w:rPr>
                <w:rFonts w:ascii="Arial" w:cs="Arial" w:eastAsia="Arial" w:hAnsi="Arial"/>
                <w:sz w:val="18"/>
                <w:szCs w:val="18"/>
                <w:color w:val="auto"/>
              </w:rPr>
              <w:t>Property and equipment, net</w:t>
            </w: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151,061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111,575</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2"/>
        </w:trPr>
        <w:tc>
          <w:tcPr>
            <w:tcW w:w="4260" w:type="dxa"/>
            <w:vAlign w:val="bottom"/>
          </w:tcPr>
          <w:p>
            <w:pPr>
              <w:spacing w:after="0"/>
              <w:rPr>
                <w:sz w:val="24"/>
                <w:szCs w:val="24"/>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F-38</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6"/>
        </w:trPr>
        <w:tc>
          <w:tcPr>
            <w:tcW w:w="4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-1473835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-1473835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-1208405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-1208405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740" w:firstLine="509"/>
        <w:spacing w:after="0" w:line="271" w:lineRule="auto"/>
        <w:rPr>
          <w:sz w:val="20"/>
          <w:szCs w:val="20"/>
          <w:color w:val="auto"/>
        </w:rPr>
      </w:pPr>
      <w:r>
        <w:rPr>
          <w:rFonts w:ascii="Arial" w:cs="Arial" w:eastAsia="Arial" w:hAnsi="Arial"/>
          <w:sz w:val="18"/>
          <w:szCs w:val="18"/>
          <w:color w:val="auto"/>
        </w:rPr>
        <w:t>Depreciation expense of $42.0 million, $37.4 million, and $39.1 million was recorded for the years ended December 31, 2025, December 31, 2024 and December 31, 2023, respectively.</w:t>
      </w:r>
    </w:p>
    <w:p>
      <w:pPr>
        <w:spacing w:after="0" w:line="262"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04" w:lineRule="exact"/>
        <w:rPr>
          <w:sz w:val="20"/>
          <w:szCs w:val="20"/>
          <w:color w:val="auto"/>
        </w:rPr>
      </w:pPr>
    </w:p>
    <w:p>
      <w:pPr>
        <w:ind w:right="980" w:firstLine="509"/>
        <w:spacing w:after="0" w:line="271" w:lineRule="auto"/>
        <w:rPr>
          <w:sz w:val="20"/>
          <w:szCs w:val="20"/>
          <w:color w:val="auto"/>
        </w:rPr>
      </w:pPr>
      <w:r>
        <w:rPr>
          <w:rFonts w:ascii="Arial" w:cs="Arial" w:eastAsia="Arial" w:hAnsi="Arial"/>
          <w:sz w:val="18"/>
          <w:szCs w:val="18"/>
          <w:color w:val="auto"/>
        </w:rPr>
        <w:t>Accrued expenses and other current liabilities consisted of the following at December 31, 2025 and December 31, 2024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Salaries and wages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133,688</w:t>
            </w:r>
          </w:p>
        </w:tc>
        <w:tc>
          <w:tcPr>
            <w:tcW w:w="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119,122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Employee benefits</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351,487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371,435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Self-insurance liability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23,415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17,723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Project cost accruals</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280,479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307,200</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95,376</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78,945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884,445</w:t>
            </w:r>
          </w:p>
        </w:tc>
        <w:tc>
          <w:tcPr>
            <w:tcW w:w="6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894,425</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at December 31, 2025 and December 31, 2024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2024</w:t>
            </w: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24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100"/>
              <w:spacing w:after="0"/>
              <w:rPr>
                <w:sz w:val="20"/>
                <w:szCs w:val="20"/>
                <w:color w:val="auto"/>
              </w:rPr>
            </w:pPr>
            <w:r>
              <w:rPr>
                <w:rFonts w:ascii="Arial" w:cs="Arial" w:eastAsia="Arial" w:hAnsi="Arial"/>
                <w:sz w:val="18"/>
                <w:szCs w:val="18"/>
                <w:color w:val="auto"/>
              </w:rPr>
              <w:t>Delayed draw term loan due 2025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r>
      <w:tr>
        <w:trPr>
          <w:trHeight w:val="203"/>
        </w:trPr>
        <w:tc>
          <w:tcPr>
            <w:tcW w:w="68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Convertible senior notes due 2025</w:t>
            </w:r>
          </w:p>
        </w:tc>
        <w:tc>
          <w:tcPr>
            <w:tcW w:w="24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113,405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463,405</w:t>
            </w:r>
          </w:p>
        </w:tc>
        <w:tc>
          <w:tcPr>
            <w:tcW w:w="100" w:type="dxa"/>
            <w:vAlign w:val="bottom"/>
          </w:tcPr>
          <w:p>
            <w:pPr>
              <w:spacing w:after="0"/>
              <w:rPr>
                <w:sz w:val="18"/>
                <w:szCs w:val="18"/>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860" w:type="dxa"/>
            <w:vAlign w:val="bottom"/>
          </w:tcPr>
          <w:p>
            <w:pPr>
              <w:ind w:left="100"/>
              <w:spacing w:after="0" w:line="202" w:lineRule="exact"/>
              <w:rPr>
                <w:sz w:val="20"/>
                <w:szCs w:val="20"/>
                <w:color w:val="auto"/>
              </w:rPr>
            </w:pPr>
            <w:r>
              <w:rPr>
                <w:rFonts w:ascii="Arial" w:cs="Arial" w:eastAsia="Arial" w:hAnsi="Arial"/>
                <w:sz w:val="18"/>
                <w:szCs w:val="18"/>
                <w:color w:val="auto"/>
              </w:rPr>
              <w:t>Convertible senior notes due 2029</w:t>
            </w:r>
          </w:p>
        </w:tc>
        <w:tc>
          <w:tcPr>
            <w:tcW w:w="2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r>
      <w:tr>
        <w:trPr>
          <w:trHeight w:val="203"/>
        </w:trPr>
        <w:tc>
          <w:tcPr>
            <w:tcW w:w="6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860" w:type="dxa"/>
            <w:vAlign w:val="bottom"/>
          </w:tcPr>
          <w:p>
            <w:pPr>
              <w:ind w:left="100"/>
              <w:spacing w:after="0" w:line="202" w:lineRule="exact"/>
              <w:rPr>
                <w:sz w:val="20"/>
                <w:szCs w:val="20"/>
                <w:color w:val="auto"/>
              </w:rPr>
            </w:pPr>
            <w:r>
              <w:rPr>
                <w:rFonts w:ascii="Arial" w:cs="Arial" w:eastAsia="Arial" w:hAnsi="Arial"/>
                <w:sz w:val="18"/>
                <w:szCs w:val="18"/>
                <w:color w:val="auto"/>
              </w:rPr>
              <w:t>Term loan due 2028</w:t>
            </w:r>
          </w:p>
        </w:tc>
        <w:tc>
          <w:tcPr>
            <w:tcW w:w="2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(12,184)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(15,904)</w:t>
            </w:r>
          </w:p>
        </w:tc>
      </w:tr>
      <w:tr>
        <w:trPr>
          <w:trHeight w:val="196"/>
        </w:trPr>
        <w:tc>
          <w:tcPr>
            <w:tcW w:w="68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1,237,816</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784,096</w:t>
            </w:r>
          </w:p>
        </w:tc>
        <w:tc>
          <w:tcPr>
            <w:tcW w:w="100" w:type="dxa"/>
            <w:vAlign w:val="bottom"/>
            <w:tcBorders>
              <w:top w:val="single" w:sz="8" w:color="CFF0FC"/>
            </w:tcBorders>
          </w:tcPr>
          <w:p>
            <w:pPr>
              <w:spacing w:after="0"/>
              <w:rPr>
                <w:sz w:val="17"/>
                <w:szCs w:val="17"/>
                <w:color w:val="auto"/>
              </w:rPr>
            </w:pPr>
          </w:p>
        </w:tc>
      </w:tr>
      <w:tr>
        <w:trPr>
          <w:trHeight w:val="236"/>
        </w:trPr>
        <w:tc>
          <w:tcPr>
            <w:tcW w:w="6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1,237,816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1,247,501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-1113790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-299720</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June 2025, the Company terminated its $350 million Delayed Draw Term Loan due 2025 and its $650 million Revolving Credit Facility due 2026 and replaced these credit facilities with a $450 million Term Loan due 2028 and a $750 million Revolving Credit Facility due 2030. Proceeds from the Term Loan were used to payoff the outstanding balance of the Delayed Draw Term Loan.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Term Loan</w:t>
      </w:r>
    </w:p>
    <w:p>
      <w:pPr>
        <w:spacing w:after="0" w:line="21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June 2025, the Company entered into a $450 million unsecured Term Loan with an increase option of up to $150 million. Proceeds of the Term Loan Agreement may be used (a) to pay off in full, or partially payoff, the Company’s existing Convertible Senior Notes, (b) to prepay revolving loans outstanding under the Revolving Credit Agreement (as defined below), or (c) for working capital, capital expenditures and other lawful corporate purposes. The Company incurred $0.9 million of debt issuance costs in connection with the Term Loan as of December 31, 2025. These costs are presented as a direct deduction from long-term debt on the face of the balance sheet. Interest expense related to the Term Loan was $14.0 million for the year ended December 31, 2025, of which $0.2 million was related to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amortization of debt fees. The amortization of debt issuance costs and interest expense is recorded in “Interest expense” on the consolidated statements of income. As of December 31, 2025 there was $450 million outstanding under the Term Loan.</w:t>
      </w:r>
    </w:p>
    <w:p>
      <w:pPr>
        <w:spacing w:after="0" w:line="15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Term Loan has a three-year maturity and permits the Company to borrow in U.S. dollars. The Term Loan does not require any amortization payments by the Company. Depending on the Company’s consolidated leverage ratio (or debt rating after such time as the Company has such rating), borrowings under the Term Loan Agreement will bear interest at either an adjusted Term SOFR benchmark rate plus a margin between 0.875% and 1.500% or a base rate plus a margin of between 0% and 0.500% and will initially bear interest at the middle of this range. Amounts outstanding under the Term Loan Agreement may be prepaid at the option of the Company without premium or penalty, subject to customary breakage fees in connection with the prepayment of benchmark rate loans. The interest rate on December 31, 2025 was 4.8%.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 (Terminated June 2025)</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Proceeds of the 2022 Delayed Draw Term Loan Agreement may be used (a) to pay off in</w:t>
      </w:r>
    </w:p>
    <w:p>
      <w:pPr>
        <w:spacing w:after="0" w:line="234" w:lineRule="auto"/>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5"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incurred $0.9 million of</w:t>
      </w:r>
    </w:p>
    <w:p>
      <w:pPr>
        <w:spacing w:after="0" w:line="235" w:lineRule="auto"/>
        <w:rPr>
          <w:sz w:val="20"/>
          <w:szCs w:val="20"/>
          <w:color w:val="auto"/>
        </w:rPr>
      </w:pPr>
      <w:r>
        <w:rPr>
          <w:rFonts w:ascii="Arial" w:cs="Arial" w:eastAsia="Arial" w:hAnsi="Arial"/>
          <w:sz w:val="18"/>
          <w:szCs w:val="18"/>
          <w:color w:val="auto"/>
        </w:rPr>
        <w:t>debt issuance costs in connection with the delayed draw term loan. These costs are presented as a direct deduction from long-term debt on</w:t>
      </w:r>
    </w:p>
    <w:p>
      <w:pPr>
        <w:spacing w:after="0" w:line="235" w:lineRule="auto"/>
        <w:rPr>
          <w:sz w:val="20"/>
          <w:szCs w:val="20"/>
          <w:color w:val="auto"/>
        </w:rPr>
      </w:pPr>
      <w:r>
        <w:rPr>
          <w:rFonts w:ascii="Arial" w:cs="Arial" w:eastAsia="Arial" w:hAnsi="Arial"/>
          <w:sz w:val="18"/>
          <w:szCs w:val="18"/>
          <w:color w:val="auto"/>
        </w:rPr>
        <w:t>the face of the balance sheet. Interest expense related to the Delayed Draw Term Loan was $8.7 million, $23.1 million and 22.4 million for</w:t>
      </w:r>
    </w:p>
    <w:p>
      <w:pPr>
        <w:spacing w:after="0" w:line="235" w:lineRule="auto"/>
        <w:rPr>
          <w:sz w:val="20"/>
          <w:szCs w:val="20"/>
          <w:color w:val="auto"/>
        </w:rPr>
      </w:pPr>
      <w:r>
        <w:rPr>
          <w:rFonts w:ascii="Arial" w:cs="Arial" w:eastAsia="Arial" w:hAnsi="Arial"/>
          <w:sz w:val="18"/>
          <w:szCs w:val="18"/>
          <w:color w:val="auto"/>
        </w:rPr>
        <w:t>the years ended December 31, 2025, December 31, 2024 and December 31, 2023, respectively. Included in these amounts was amortization</w:t>
      </w:r>
    </w:p>
    <w:p>
      <w:pPr>
        <w:spacing w:after="0" w:line="234" w:lineRule="auto"/>
        <w:rPr>
          <w:sz w:val="20"/>
          <w:szCs w:val="20"/>
          <w:color w:val="auto"/>
        </w:rPr>
      </w:pPr>
      <w:r>
        <w:rPr>
          <w:rFonts w:ascii="Arial" w:cs="Arial" w:eastAsia="Arial" w:hAnsi="Arial"/>
          <w:sz w:val="18"/>
          <w:szCs w:val="18"/>
          <w:color w:val="auto"/>
        </w:rPr>
        <w:t>of debt fees of $0.2 million, $0.3 million, and $0.3 million, respectively. The amortization of debt issuance costs and interest expense is</w:t>
      </w:r>
    </w:p>
    <w:p>
      <w:pPr>
        <w:spacing w:after="0" w:line="235" w:lineRule="auto"/>
        <w:rPr>
          <w:sz w:val="20"/>
          <w:szCs w:val="20"/>
          <w:color w:val="auto"/>
        </w:rPr>
      </w:pPr>
      <w:r>
        <w:rPr>
          <w:rFonts w:ascii="Arial" w:cs="Arial" w:eastAsia="Arial" w:hAnsi="Arial"/>
          <w:sz w:val="18"/>
          <w:szCs w:val="18"/>
          <w:color w:val="auto"/>
        </w:rPr>
        <w:t>recorded in “Interest expense” on the consolidated statements of income. There was no amount outstanding as of December 31, 2025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$350.0 million outstanding as of December 31, 2024 under the Delayed Draw Term Loan.</w:t>
      </w:r>
    </w:p>
    <w:p>
      <w:pPr>
        <w:spacing w:after="0" w:line="19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June 30, 2025 (loan termination period) and December 31, 2024 were 5.6% and 5.6%, respectively.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Convertible Senior Notes due 2025</w:t>
      </w:r>
    </w:p>
    <w:p>
      <w:pPr>
        <w:spacing w:after="0" w:line="104"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matured on August 15, 2025, unless earlier repurchased, redeemed or converted. The convertible Senior Notes due 2025 matured on August 15, 2025.</w:t>
      </w:r>
    </w:p>
    <w:p>
      <w:pPr>
        <w:spacing w:after="0" w:line="179"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Company recognized interest expense of $0.1 million, $3.9 million and $3.1 million for the years ended December 31, 2025, December 31, 2024 and December 31, 2023, respectively. Included in these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amounts were the amortization of debt fees of $3.5 million and $2.1 million for the years ended December 31, 2024 and December 31, 2023, respectively. The debt issuance costs were full amortized during the year ended December 31, 2024. There was no amount outstanding as of December 31, 2025 and the net carrying value of the Convertible Senior Notes due 2025 was $113.4 million as of December 31, 2024.</w:t>
      </w:r>
    </w:p>
    <w:p>
      <w:pPr>
        <w:spacing w:after="0" w:line="15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 of each year beginning on September 1, 2024, and will mature on March 1, 2029, unless earlier repurchased, redeemed or converted.</w:t>
      </w:r>
    </w:p>
    <w:p>
      <w:pPr>
        <w:spacing w:after="0" w:line="17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until the close of business on the second scheduled trading day immediately preceding the maturity date of the 2029 Convertible Notes, holders may convert all or a portion of their 2029 Convertible Notes, regardless of the conditions below.</w:t>
      </w:r>
    </w:p>
    <w:p>
      <w:pPr>
        <w:spacing w:after="0" w:line="154"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jc w:val="both"/>
        <w:ind w:left="1400" w:right="20" w:hanging="374"/>
        <w:spacing w:after="0" w:line="246" w:lineRule="auto"/>
        <w:tabs>
          <w:tab w:leader="none" w:pos="14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20" w:hanging="374"/>
        <w:spacing w:after="0" w:line="246" w:lineRule="auto"/>
        <w:tabs>
          <w:tab w:leader="none" w:pos="14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Company recognized interest expense with respect to the Convertible Senior Notes Due 2029 of $25.2 million and $21.3 million for the years ended December 31, 2025 and December 31, 2024, respectively. Included in these amounts was amortization of debt fees of $4.2 million and $3.5 million, respectively As of December 31, 2025 and December 31, 2024, the net carrying value of the Convertible Notes due 2029 were $788.5 million and $784.3 million, respectively.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the issuance of the Convertible Senior Notes due 2029, during the first quarter of 2024, we used $391.8 million of the net proceeds to purchase approximately $228.1 million aggregate principal amount of 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 from the note hedge counterparties for the partial termination of the existing bond hedge relating to the Convertible Senior Notes due 2025 repurchased, net of our obligations to the counterparties in 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89" w:lineRule="exact"/>
        <w:rPr>
          <w:sz w:val="20"/>
          <w:szCs w:val="20"/>
          <w:color w:val="auto"/>
        </w:rPr>
      </w:pPr>
    </w:p>
    <w:p>
      <w:pPr>
        <w:ind w:right="260" w:firstLine="509"/>
        <w:spacing w:after="0" w:line="228" w:lineRule="auto"/>
        <w:rPr>
          <w:sz w:val="20"/>
          <w:szCs w:val="20"/>
          <w:color w:val="auto"/>
        </w:rPr>
      </w:pPr>
      <w:r>
        <w:rPr>
          <w:rFonts w:ascii="Arial" w:cs="Arial" w:eastAsia="Arial" w:hAnsi="Arial"/>
          <w:sz w:val="18"/>
          <w:szCs w:val="18"/>
          <w:color w:val="auto"/>
        </w:rPr>
        <w:t>The partial repurchase, during the year ended December 31, 2024, resulted in a $18.4 million repurchase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a $3.2 million charge to interest expense for the acceleration of the amortization of debt issuance costs associated with the 0.25% Convertible Senior Notes due 2025. The tax effect of the repurchase loss, excluding the interest expense, was recognized as a discrete event during the year ended December 31, 2024 with a tax benefit of $4.3 million recognized in the income statement.</w:t>
      </w:r>
    </w:p>
    <w:p>
      <w:pPr>
        <w:spacing w:after="0" w:line="187" w:lineRule="exact"/>
        <w:rPr>
          <w:sz w:val="20"/>
          <w:szCs w:val="20"/>
          <w:color w:val="auto"/>
        </w:rPr>
      </w:pPr>
    </w:p>
    <w:p>
      <w:pPr>
        <w:ind w:left="460" w:right="260"/>
        <w:spacing w:after="0" w:line="23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 Please see "Note 2—Summary of Significant Accounting Policies—New Accounting Pronouncements" for a discussion of the Company's adoption of ASU 2024-04. The extinguishment charge and related income tax impacts were reversed from the Company's consolidated financial statements and recorded as a convertible debt repurchase loss as described above.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Revolving Credit Facility due 2030</w:t>
      </w:r>
    </w:p>
    <w:p>
      <w:pPr>
        <w:spacing w:after="0" w:line="210"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In June 2025, the Company entered into a $750 million unsecured revolving credit facility (the “Credit Agreement”). The Company incurred $1.7 million of costs in connection with this Credit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Agreement. The 2025 Credit Agreement replaced an existing Credit Agreement dated as of June 25, 2021. Under the new agreement, the Company’s revolving credit facility was increased from $650 million to $750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2025 Facility. The borrowings under the Credit Agreement bear interest at either the Term SOFR rate plus a margin between 1.0% and 1.625% or a base rate (as defined in the Credit Agreement) plus a margin of between 0% and 0.625%. The rate on December 31, 2025 was 5.0%. Letters of credit commitments outstanding under this agreement aggregated to $41.8 million at December 31, 2025 which reduced borrowing limits available to the Company.</w:t>
      </w:r>
    </w:p>
    <w:p>
      <w:pPr>
        <w:spacing w:after="0" w:line="180"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Interest expense related to the Credit Agreements (due 2030 and due 2026) were $0.7 million, $0.7 million and $3.9 million for the year ended December 31, 2025, December 31, 2024 and December 31, 2023, respectively. Included in these amounts was amortization of debt fees of $0.5 million for all years presented.</w:t>
      </w:r>
    </w:p>
    <w:p>
      <w:pPr>
        <w:spacing w:after="0" w:line="169"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December 31, 2025 and December 31,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Letters of Credit</w:t>
      </w:r>
    </w:p>
    <w:p>
      <w:pPr>
        <w:spacing w:after="0" w:line="104"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$356.2 million and $328.4 million at December 31, 2025 and December 31, 2024, respectively.</w:t>
      </w:r>
    </w:p>
    <w:p>
      <w:pPr>
        <w:spacing w:after="0" w:line="277"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long-term liabilities consisted of the following at December 31, 2025 and December 31, 2024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Self-insurance liability</w:t>
            </w:r>
          </w:p>
        </w:tc>
        <w:tc>
          <w:tcPr>
            <w:tcW w:w="3440" w:type="dxa"/>
            <w:vAlign w:val="bottom"/>
            <w:gridSpan w:val="2"/>
            <w:shd w:val="clear" w:color="auto" w:fill="CFF0FC"/>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47,781</w:t>
            </w:r>
          </w:p>
        </w:tc>
        <w:tc>
          <w:tcPr>
            <w:tcW w:w="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58,878</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Reserve for uncertain tax positions</w:t>
            </w: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23,697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22,985</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 obligations</w:t>
            </w:r>
          </w:p>
        </w:tc>
        <w:tc>
          <w:tcPr>
            <w:tcW w:w="24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5,240</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6,441</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4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18,627</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8,182</w:t>
            </w:r>
          </w:p>
        </w:tc>
        <w:tc>
          <w:tcPr>
            <w:tcW w:w="100" w:type="dxa"/>
            <w:vAlign w:val="bottom"/>
          </w:tcPr>
          <w:p>
            <w:pPr>
              <w:spacing w:after="0"/>
              <w:rPr>
                <w:sz w:val="17"/>
                <w:szCs w:val="17"/>
                <w:color w:val="auto"/>
              </w:rPr>
            </w:pPr>
          </w:p>
        </w:tc>
      </w:tr>
      <w:tr>
        <w:trPr>
          <w:trHeight w:val="216"/>
        </w:trPr>
        <w:tc>
          <w:tcPr>
            <w:tcW w:w="52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long-term liabilities</w:t>
            </w:r>
          </w:p>
        </w:tc>
        <w:tc>
          <w:tcPr>
            <w:tcW w:w="3440" w:type="dxa"/>
            <w:vAlign w:val="bottom"/>
            <w:gridSpan w:val="2"/>
            <w:shd w:val="clear" w:color="auto" w:fill="CFF0FC"/>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95,345</w:t>
            </w:r>
          </w:p>
        </w:tc>
        <w:tc>
          <w:tcPr>
            <w:tcW w:w="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96,486</w:t>
            </w:r>
          </w:p>
        </w:tc>
        <w:tc>
          <w:tcPr>
            <w:tcW w:w="100" w:type="dxa"/>
            <w:vAlign w:val="bottom"/>
            <w:shd w:val="clear" w:color="auto" w:fill="CFF0FC"/>
          </w:tcPr>
          <w:p>
            <w:pPr>
              <w:spacing w:after="0"/>
              <w:rPr>
                <w:sz w:val="18"/>
                <w:szCs w:val="18"/>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Refer to “Note 13—</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Company’s reconciliation of the beginning and ending balances of uncertain tax positions.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In July 2025, the One Big Beautiful Bill Act (OBBBA) was enacted. Key income tax related provisions of the OBBBA include the repeal of mandatory capitalization of research and development expenditures under Internal Revenue Code (IRC) Section 174 (reinstating full expensing beginning in 2025) and extension of bonus depreciation. The Company recognized the income tax effects of the OBBBA in its 2025 financial statements, including a $29 million decrease to both income taxes payable and to current income tax expense, and a $29 million increase to deferred tax expense and a $29 million decrease to deferred tax assets as of December 31, 2025. The change in the tax law had no significant impact to the Company’s annual effective tax rate.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our income from operations before income taxes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4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 earnings</w:t>
            </w:r>
          </w:p>
        </w:tc>
        <w:tc>
          <w:tcPr>
            <w:tcW w:w="27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190,867</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256,210</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179,522</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Foreign earnings</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191,644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111,441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84,531</w:t>
            </w:r>
          </w:p>
        </w:tc>
      </w:tr>
      <w:tr>
        <w:trPr>
          <w:trHeight w:val="20"/>
        </w:trPr>
        <w:tc>
          <w:tcPr>
            <w:tcW w:w="4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40" w:type="dxa"/>
            <w:vAlign w:val="bottom"/>
            <w:shd w:val="clear" w:color="auto" w:fill="CFF0FC"/>
          </w:tcPr>
          <w:p>
            <w:pPr>
              <w:spacing w:after="0"/>
              <w:rPr>
                <w:sz w:val="18"/>
                <w:szCs w:val="18"/>
                <w:color w:val="auto"/>
              </w:rPr>
            </w:pPr>
          </w:p>
        </w:tc>
        <w:tc>
          <w:tcPr>
            <w:tcW w:w="27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382,511</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367,651</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264,053</w:t>
            </w: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income tax expense (benefit) attributable to income from operations for the years ended December 31, 2025, December 31, 2024, and December 31, 2023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Current</w:t>
            </w:r>
          </w:p>
        </w:tc>
        <w:tc>
          <w:tcPr>
            <w:tcW w:w="1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2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(5,845)</w:t>
            </w:r>
          </w:p>
        </w:tc>
        <w:tc>
          <w:tcPr>
            <w:tcW w:w="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37,713</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37,699</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w:t>
            </w:r>
          </w:p>
        </w:tc>
        <w:tc>
          <w:tcPr>
            <w:tcW w:w="1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13,441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13,340</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19,731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14,013</w:t>
            </w:r>
          </w:p>
        </w:tc>
        <w:tc>
          <w:tcPr>
            <w:tcW w:w="100" w:type="dxa"/>
            <w:vAlign w:val="bottom"/>
          </w:tcPr>
          <w:p>
            <w:pPr>
              <w:spacing w:after="0"/>
              <w:rPr>
                <w:sz w:val="17"/>
                <w:szCs w:val="17"/>
                <w:color w:val="auto"/>
              </w:rPr>
            </w:pPr>
          </w:p>
        </w:tc>
      </w:tr>
      <w:tr>
        <w:trPr>
          <w:trHeight w:val="196"/>
        </w:trPr>
        <w:tc>
          <w:tcPr>
            <w:tcW w:w="48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current income tax expense</w:t>
            </w:r>
          </w:p>
        </w:tc>
        <w:tc>
          <w:tcPr>
            <w:tcW w:w="18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29,335</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70,885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8"/>
                <w:szCs w:val="18"/>
                <w:b w:val="1"/>
                <w:bCs w:val="1"/>
                <w:color w:val="auto"/>
              </w:rPr>
              <w:t>Deferred</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Federal</w:t>
            </w:r>
          </w:p>
        </w:tc>
        <w:tc>
          <w:tcPr>
            <w:tcW w:w="1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36,923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(5,974)</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3,941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(590)</w:t>
            </w: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w:t>
            </w:r>
          </w:p>
        </w:tc>
        <w:tc>
          <w:tcPr>
            <w:tcW w:w="1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(2,350)</w:t>
            </w:r>
          </w:p>
        </w:tc>
      </w:tr>
      <w:tr>
        <w:trPr>
          <w:trHeight w:val="20"/>
        </w:trPr>
        <w:tc>
          <w:tcPr>
            <w:tcW w:w="484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40" w:type="dxa"/>
            <w:vAlign w:val="bottom"/>
          </w:tcPr>
          <w:p>
            <w:pPr>
              <w:ind w:left="180"/>
              <w:spacing w:after="0" w:line="196" w:lineRule="exact"/>
              <w:rPr>
                <w:sz w:val="20"/>
                <w:szCs w:val="20"/>
                <w:color w:val="auto"/>
              </w:rPr>
            </w:pPr>
            <w:r>
              <w:rPr>
                <w:rFonts w:ascii="Arial" w:cs="Arial" w:eastAsia="Arial" w:hAnsi="Arial"/>
                <w:sz w:val="18"/>
                <w:szCs w:val="18"/>
                <w:color w:val="auto"/>
              </w:rPr>
              <w:t>Total deferred tax expense (benefit)</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44,312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6,101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(8,914)</w:t>
            </w: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income tax expense</w:t>
            </w:r>
          </w:p>
        </w:tc>
        <w:tc>
          <w:tcPr>
            <w:tcW w:w="18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31,078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39,110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31,725</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w:t>
            </w:r>
          </w:p>
        </w:tc>
        <w:tc>
          <w:tcPr>
            <w:tcW w:w="1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16,323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17,382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12,750</w:t>
            </w:r>
          </w:p>
        </w:tc>
        <w:tc>
          <w:tcPr>
            <w:tcW w:w="100" w:type="dxa"/>
            <w:vAlign w:val="bottom"/>
            <w:shd w:val="clear" w:color="auto" w:fill="CFF0FC"/>
          </w:tcPr>
          <w:p>
            <w:pPr>
              <w:spacing w:after="0"/>
              <w:rPr>
                <w:sz w:val="17"/>
                <w:szCs w:val="17"/>
                <w:color w:val="auto"/>
              </w:rPr>
            </w:pPr>
          </w:p>
        </w:tc>
      </w:tr>
      <w:tr>
        <w:trPr>
          <w:trHeight w:val="202"/>
        </w:trPr>
        <w:tc>
          <w:tcPr>
            <w:tcW w:w="48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20,494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11,663</w:t>
            </w:r>
          </w:p>
        </w:tc>
        <w:tc>
          <w:tcPr>
            <w:tcW w:w="100" w:type="dxa"/>
            <w:vAlign w:val="bottom"/>
          </w:tcPr>
          <w:p>
            <w:pPr>
              <w:spacing w:after="0"/>
              <w:rPr>
                <w:sz w:val="17"/>
                <w:szCs w:val="17"/>
                <w:color w:val="auto"/>
              </w:rPr>
            </w:pPr>
          </w:p>
        </w:tc>
      </w:tr>
      <w:tr>
        <w:trPr>
          <w:trHeight w:val="216"/>
        </w:trPr>
        <w:tc>
          <w:tcPr>
            <w:tcW w:w="4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income tax expense</w:t>
            </w:r>
          </w:p>
        </w:tc>
        <w:tc>
          <w:tcPr>
            <w:tcW w:w="21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73,647</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76,986</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56,138</w:t>
            </w:r>
          </w:p>
        </w:tc>
        <w:tc>
          <w:tcPr>
            <w:tcW w:w="100" w:type="dxa"/>
            <w:vAlign w:val="bottom"/>
            <w:shd w:val="clear" w:color="auto" w:fill="CFF0FC"/>
          </w:tcPr>
          <w:p>
            <w:pPr>
              <w:spacing w:after="0"/>
              <w:rPr>
                <w:sz w:val="18"/>
                <w:szCs w:val="18"/>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-1344930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-1344930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-822325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-822325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Income tax expense (benefit) was different from the amount computed by applying the United States federal statutory rate to pre-tax income from continuing operations, presented after prospectively adopting ASU 2023-09, as a result of the following (in thousands):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7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382,511</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Tax at federal statutory tax rate</w:t>
            </w:r>
          </w:p>
        </w:tc>
        <w:tc>
          <w:tcPr>
            <w:tcW w:w="5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80,327</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State taxes, net of federal tax benefit </w:t>
            </w:r>
            <w:r>
              <w:rPr>
                <w:rFonts w:ascii="Arial" w:cs="Arial" w:eastAsia="Arial" w:hAnsi="Arial"/>
                <w:sz w:val="23"/>
                <w:szCs w:val="23"/>
                <w:color w:val="auto"/>
                <w:vertAlign w:val="superscript"/>
              </w:rPr>
              <w:t>(1)</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11,352</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Foreign tax effects:</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Saudi Arabia</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Withholding taxes</w:t>
            </w:r>
          </w:p>
        </w:tc>
        <w:tc>
          <w:tcPr>
            <w:tcW w:w="5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4,993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6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Noncontrolling interests</w:t>
            </w:r>
          </w:p>
        </w:tc>
        <w:tc>
          <w:tcPr>
            <w:tcW w:w="5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(13,965)</w:t>
            </w: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w:t>
            </w:r>
          </w:p>
        </w:tc>
      </w:tr>
      <w:tr>
        <w:trPr>
          <w:trHeight w:val="203"/>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5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(603)</w:t>
            </w: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w:t>
            </w:r>
          </w:p>
        </w:tc>
      </w:tr>
      <w:tr>
        <w:trPr>
          <w:trHeight w:val="203"/>
        </w:trPr>
        <w:tc>
          <w:tcPr>
            <w:tcW w:w="7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foreign jurisdictions</w:t>
            </w:r>
          </w:p>
        </w:tc>
        <w:tc>
          <w:tcPr>
            <w:tcW w:w="5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(6,579)</w:t>
            </w: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Effect of cross-border tax laws:</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Tax cost of foreign operations, net of credits</w:t>
            </w:r>
          </w:p>
        </w:tc>
        <w:tc>
          <w:tcPr>
            <w:tcW w:w="5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(3,742)</w:t>
            </w: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Foreign-derived intangible income</w:t>
            </w:r>
          </w:p>
        </w:tc>
        <w:tc>
          <w:tcPr>
            <w:tcW w:w="5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(2,107)</w:t>
            </w: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w:t>
            </w:r>
          </w:p>
        </w:tc>
      </w:tr>
      <w:tr>
        <w:trPr>
          <w:trHeight w:val="203"/>
        </w:trPr>
        <w:tc>
          <w:tcPr>
            <w:tcW w:w="7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Research and development credit</w:t>
            </w:r>
          </w:p>
        </w:tc>
        <w:tc>
          <w:tcPr>
            <w:tcW w:w="5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(5,727)</w:t>
            </w: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w:t>
            </w: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Other</w:t>
            </w:r>
          </w:p>
        </w:tc>
        <w:tc>
          <w:tcPr>
            <w:tcW w:w="5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(360)</w:t>
            </w: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allowances</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5,984</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Nontaxable or nondeductible items:</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Executive compensation</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5,051</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Equity compensation</w:t>
            </w:r>
          </w:p>
        </w:tc>
        <w:tc>
          <w:tcPr>
            <w:tcW w:w="5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(3,596)</w:t>
            </w: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w:t>
            </w:r>
          </w:p>
        </w:tc>
      </w:tr>
      <w:tr>
        <w:trPr>
          <w:trHeight w:val="203"/>
        </w:trPr>
        <w:tc>
          <w:tcPr>
            <w:tcW w:w="7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(209)</w:t>
            </w: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-0.1%</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Change in unrecognized tax benefits</w:t>
            </w:r>
          </w:p>
        </w:tc>
        <w:tc>
          <w:tcPr>
            <w:tcW w:w="5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1,820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w:t>
            </w: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adjustments</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946</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0.3%</w:t>
            </w:r>
          </w:p>
        </w:tc>
      </w:tr>
      <w:tr>
        <w:trPr>
          <w:trHeight w:val="20"/>
        </w:trPr>
        <w:tc>
          <w:tcPr>
            <w:tcW w:w="76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 income tax expense</w:t>
            </w: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73,647</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19.3%</w:t>
            </w:r>
          </w:p>
        </w:tc>
      </w:tr>
      <w:tr>
        <w:trPr>
          <w:trHeight w:val="20"/>
        </w:trPr>
        <w:tc>
          <w:tcPr>
            <w:tcW w:w="7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-162560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-162560</wp:posOffset>
            </wp:positionV>
            <wp:extent cx="1117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4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3" w:lineRule="exact"/>
        <w:rPr>
          <w:sz w:val="20"/>
          <w:szCs w:val="20"/>
          <w:color w:val="auto"/>
        </w:rPr>
      </w:pPr>
    </w:p>
    <w:p>
      <w:pPr>
        <w:ind w:left="520" w:right="320" w:hanging="512"/>
        <w:spacing w:after="0" w:line="285"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states and local jurisdictions that contribute to the majority (greater than 50%) of the tax effect in this category include California, Virginia, Maryland, Texas, and Florida.</w:t>
      </w:r>
    </w:p>
    <w:p>
      <w:pPr>
        <w:spacing w:after="0" w:line="148"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Income tax expense (benefit) was different from the amount computed by applying the United States federal statutory rate to pre-tax income from continuing operations, prior to adopting ASU 2023-09, as a result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367,651</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264,053</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Tax at federal statutory tax rate</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77,207</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55,451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 taxes, net of federal tax benefit</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11,852</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9,807</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5,773</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uncertain tax positions</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3,584</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Foreign tax rate differential</w:t>
            </w: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(6,078)</w:t>
            </w:r>
          </w:p>
        </w:tc>
        <w:tc>
          <w:tcPr>
            <w:tcW w:w="4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(6,258)</w:t>
            </w: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cost of foreign operations, net of credits</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1,842</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3,085</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(14,794)</w:t>
            </w:r>
          </w:p>
        </w:tc>
        <w:tc>
          <w:tcPr>
            <w:tcW w:w="4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(4,736)</w:t>
            </w: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(11,679)</w:t>
            </w: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(9,821)</w:t>
            </w: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Federal business credits</w:t>
            </w: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(2,932)</w:t>
            </w:r>
          </w:p>
        </w:tc>
        <w:tc>
          <w:tcPr>
            <w:tcW w:w="4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(2,731)</w:t>
            </w: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Executive compensation</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7,351</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1,636</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0.6%</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Equity compensation</w:t>
            </w: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(7,170)</w:t>
            </w:r>
          </w:p>
        </w:tc>
        <w:tc>
          <w:tcPr>
            <w:tcW w:w="4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(158)</w:t>
            </w: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net</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6,692</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0.2%</w:t>
            </w: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5740" w:type="dxa"/>
            <w:vAlign w:val="bottom"/>
          </w:tcPr>
          <w:p>
            <w:pPr>
              <w:ind w:left="160"/>
              <w:spacing w:after="0" w:line="196" w:lineRule="exact"/>
              <w:rPr>
                <w:sz w:val="20"/>
                <w:szCs w:val="20"/>
                <w:color w:val="auto"/>
              </w:rPr>
            </w:pPr>
            <w:r>
              <w:rPr>
                <w:rFonts w:ascii="Arial" w:cs="Arial" w:eastAsia="Arial" w:hAnsi="Arial"/>
                <w:sz w:val="18"/>
                <w:szCs w:val="18"/>
                <w:color w:val="auto"/>
              </w:rPr>
              <w:t>Total income tax expense</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76,986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20.9%</w:t>
            </w:r>
          </w:p>
        </w:tc>
        <w:tc>
          <w:tcPr>
            <w:tcW w:w="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56,138</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21.3%</w:t>
            </w: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-161925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-161925</wp:posOffset>
            </wp:positionV>
            <wp:extent cx="1111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-161925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-161925</wp:posOffset>
            </wp:positionV>
            <wp:extent cx="1117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effective tax rate in 2025 decreased to 19.3% from 20.9% in 2024. The change in the effective tax rate was due primarily to a change in the jurisdictional mix of earnings, decreases in the change of valuation allowance on NOLs and non-deductible executive compensation subject to Section 162(m), an increase in untaxed income attributable to noncontrolling interests, and an increase in business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credits, partially offset by decreases in foreign-derived intangible income (FDII) deduction and the windfall equity-based compensation deduction.</w:t>
      </w:r>
    </w:p>
    <w:p>
      <w:pPr>
        <w:spacing w:after="0" w:line="15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effective tax rate in 2024 decreased to 20.9% from 21.3% in 2023. The change in the effective tax rate was due primarily to tax benefits related to increases in the foreign-derived intangible income (FDII) deduction and increased equity-based compensation deductions, partially offset by an increase in valuation allowance on NOLs and non-deductible executive compensation subject to Section 162(m).</w:t>
      </w:r>
    </w:p>
    <w:p>
      <w:pPr>
        <w:spacing w:after="0" w:line="169"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components of deferred tax assets and liabilities consist of the following at December 31, 2025 and December 31, 2024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Project and non-project reserves</w:t>
            </w:r>
          </w:p>
        </w:tc>
        <w:tc>
          <w:tcPr>
            <w:tcW w:w="27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18,276</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23,184</w:t>
            </w: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 compensation and benefits</w:t>
            </w:r>
          </w:p>
        </w:tc>
        <w:tc>
          <w:tcPr>
            <w:tcW w:w="2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76,977</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76,944</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Revenue and cost recognition</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33,345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46,250</w:t>
            </w: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Insurance accruals</w:t>
            </w:r>
          </w:p>
        </w:tc>
        <w:tc>
          <w:tcPr>
            <w:tcW w:w="2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10,448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12,424</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Net operating losses</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17,640</w:t>
            </w: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2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34,777</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42,572</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Tax credit carryforwards</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43,067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35,845</w:t>
            </w:r>
          </w:p>
        </w:tc>
      </w:tr>
      <w:tr>
        <w:trPr>
          <w:trHeight w:val="203"/>
        </w:trPr>
        <w:tc>
          <w:tcPr>
            <w:tcW w:w="5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23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11,048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80" w:type="dxa"/>
            <w:vAlign w:val="bottom"/>
          </w:tcPr>
          <w:p>
            <w:pPr>
              <w:ind w:left="200"/>
              <w:spacing w:after="0" w:line="196" w:lineRule="exact"/>
              <w:rPr>
                <w:sz w:val="20"/>
                <w:szCs w:val="20"/>
                <w:color w:val="auto"/>
              </w:rPr>
            </w:pPr>
            <w:r>
              <w:rPr>
                <w:rFonts w:ascii="Arial" w:cs="Arial" w:eastAsia="Arial" w:hAnsi="Arial"/>
                <w:sz w:val="18"/>
                <w:szCs w:val="18"/>
                <w:color w:val="auto"/>
              </w:rPr>
              <w:t>Total deferred tax assets</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243,045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272,291</w:t>
            </w: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Valuation allowance</w:t>
            </w:r>
          </w:p>
        </w:tc>
        <w:tc>
          <w:tcPr>
            <w:tcW w:w="2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(50,558)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(45,318)</w:t>
            </w:r>
          </w:p>
        </w:tc>
      </w:tr>
      <w:tr>
        <w:trPr>
          <w:trHeight w:val="196"/>
        </w:trPr>
        <w:tc>
          <w:tcPr>
            <w:tcW w:w="53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deferred tax assets</w:t>
            </w:r>
          </w:p>
        </w:tc>
        <w:tc>
          <w:tcPr>
            <w:tcW w:w="23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192,487</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226,973</w:t>
            </w:r>
          </w:p>
        </w:tc>
        <w:tc>
          <w:tcPr>
            <w:tcW w:w="100" w:type="dxa"/>
            <w:vAlign w:val="bottom"/>
            <w:tcBorders>
              <w:top w:val="single" w:sz="8" w:color="CFF0FC"/>
            </w:tcBorders>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Deferred tax liabilities</w:t>
            </w:r>
          </w:p>
        </w:tc>
        <w:tc>
          <w:tcPr>
            <w:tcW w:w="2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(71,648)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(57,361)</w:t>
            </w: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w:t>
            </w:r>
          </w:p>
        </w:tc>
        <w:tc>
          <w:tcPr>
            <w:tcW w:w="2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(31,464)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(38,605)</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Profit remittance tax</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(6,842)</w:t>
            </w: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(5,533)</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(1,758)</w:t>
            </w:r>
          </w:p>
        </w:tc>
      </w:tr>
      <w:tr>
        <w:trPr>
          <w:trHeight w:val="20"/>
        </w:trPr>
        <w:tc>
          <w:tcPr>
            <w:tcW w:w="53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80" w:type="dxa"/>
            <w:vAlign w:val="bottom"/>
          </w:tcPr>
          <w:p>
            <w:pPr>
              <w:ind w:left="200"/>
              <w:spacing w:after="0" w:line="196" w:lineRule="exact"/>
              <w:rPr>
                <w:sz w:val="20"/>
                <w:szCs w:val="20"/>
                <w:color w:val="auto"/>
              </w:rPr>
            </w:pPr>
            <w:r>
              <w:rPr>
                <w:rFonts w:ascii="Arial" w:cs="Arial" w:eastAsia="Arial" w:hAnsi="Arial"/>
                <w:sz w:val="18"/>
                <w:szCs w:val="18"/>
                <w:color w:val="auto"/>
              </w:rPr>
              <w:t>Total deferred tax liabilities</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(116,455)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(104,566)</w:t>
            </w:r>
          </w:p>
        </w:tc>
      </w:tr>
      <w:tr>
        <w:trPr>
          <w:trHeight w:val="20"/>
        </w:trPr>
        <w:tc>
          <w:tcPr>
            <w:tcW w:w="5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deferred tax asset</w:t>
            </w:r>
          </w:p>
        </w:tc>
        <w:tc>
          <w:tcPr>
            <w:tcW w:w="23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76,032</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122,407</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-1370965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Company is not asserting that any of the earnings of the foreign subsidiaries will be permanently reinvested. Therefore, the Company has recorded a deferred tax liability for the undistributed earnings net of applicable foreign tax credits.</w:t>
      </w:r>
    </w:p>
    <w:p>
      <w:pPr>
        <w:spacing w:after="0" w:line="15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 Company assesses the realizability of its deferred tax assets each reporting period through an analysis of potential sources of taxable income, including prior year taxable income available to absorb carryback of tax losses, reversals of existing taxable temporary differences, tax planning strategies, and forecasts of taxable income. The Company considers all negative and positive evidence, including the weight of the evidence, to determine if a valuation allowance against deferred tax assets is required. A valuation allowance is recorded against deferred tax assets to reflect the amount of deferred tax assets that is determined to be more-likely-than-not to be realized.</w:t>
      </w:r>
    </w:p>
    <w:p>
      <w:pPr>
        <w:spacing w:after="0" w:line="176"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of December 31, 2025, and December 31, 2024, the Company’s valuation allowance against deferred tax assets was $50.6 million and $45.3 million, respectively. The Company has recorded a valuation allowance against certain tax attributes that the Company has determined are not more-likely-than-not to be realized, including certain foreign net operating loss carryforwards, foreign tax credit carryforwards, and capital loss carryforwards. From December 31, 2024 to December 31, 2025, the Company’s valuation allowance increased by $5.3 million. This increase relates to deferred tax assets recorded for net operating loss carryforwards and foreign tax credit carryforwards. The valuation allowance is recorded because the Company does not expect to utilize the carryforward amounts before they expire.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As of December 31, 2025, the Company has Net Operating Losses ("NOLs") of $2.0 million, $43.7 million, and $59.6 million for U.S. Federal, U.S. states and foreign jurisdictions, respectively. The utilization of the U.S. federal and U.S. state NOLs are subject to certain annual limitations. Of these NOL amounts, $2.0 million, $17.9 million and $25.1 million in U.S. Federal, U.S. states and foreign jurisdictions, respectively, do not expire. The remaining amounts of NOLs in U.S. states and in foreign jurisdictions will expire if not used between 2026 and 2046.</w:t>
      </w:r>
    </w:p>
    <w:p>
      <w:pPr>
        <w:spacing w:after="0" w:line="17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of December 31, 2025, the Company has foreign tax credit carryforwards of $39.0 million. The Company has provided a valuation allowance of $39.0 million as the Company considers it is not more likely than not that these credits will be realized. These foreign tax credits start expiring in the year 2029.</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Beginning of year</w:t>
            </w:r>
          </w:p>
        </w:tc>
        <w:tc>
          <w:tcPr>
            <w:tcW w:w="21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29,538</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25,497</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22,798</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Increases—current year tax positions</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3,220</w:t>
            </w: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Increases—prior year tax positions</w:t>
            </w:r>
          </w:p>
        </w:tc>
        <w:tc>
          <w:tcPr>
            <w:tcW w:w="1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2,436</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7,488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2,458</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Decreases—prior year tax positions</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(1,589)</w:t>
            </w: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Settlements</w:t>
            </w:r>
          </w:p>
        </w:tc>
        <w:tc>
          <w:tcPr>
            <w:tcW w:w="1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(1,334)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(1,026)</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(364)</w:t>
            </w:r>
          </w:p>
        </w:tc>
      </w:tr>
      <w:tr>
        <w:trPr>
          <w:trHeight w:val="20"/>
        </w:trPr>
        <w:tc>
          <w:tcPr>
            <w:tcW w:w="4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End of year</w:t>
            </w:r>
          </w:p>
        </w:tc>
        <w:tc>
          <w:tcPr>
            <w:tcW w:w="21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32,354</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29,538</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25,497</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At December 31, 2025, and December 31, 2024, there are $26.5 million and $28.6 million of unrecognized tax benefits that if recognized would affect the Company’s effective tax rate.</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recognizes interest and penalties related to unrecognized tax benefits as part of its income tax expense. During the years ended December 31, 2025, December 31, 2024, and December 31, 2023, the Company recognized approximately $0.7 million, $1.0 million, and $0.5 million in interest and penalties, respectively, in the consolidated statements of income. The total amount of interest and penalties accrued in the consolidated balance sheets was $6.3 million, $5.6 million, and $4.6 million as of December 31, 2025, December 31, 2024, and December 31, 2023, respectively.</w:t>
      </w:r>
    </w:p>
    <w:p>
      <w:pPr>
        <w:spacing w:after="0" w:line="17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conducts business globally and, as a result, the Company or one or more of its subsidiaries files income tax returns in the U.S. federal jurisdiction, various U.S. states, and foreign jurisdictions. The Company is subject to examination by tax authorities in several jurisdictions, including jurisdictions where the Company has significant activities, such as Canada, Saudi Arabia, the United Arab Emirates and the United States. As of December 31, 2025, the Company’s U.S. federal income tax returns for tax years 2022 and forward remain subject to examination. U.S. states and foreign income tax returns remain subject to examination based on varying local statutes of limitations.</w:t>
      </w:r>
    </w:p>
    <w:p>
      <w:pPr>
        <w:spacing w:after="0" w:line="17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significantly different, both favorably and unfavorably.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amounts of cash income taxes paid (net of refunds received) by the Company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92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PARSONS CORPORATION AND SUBSIDIARIES</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tcPr>
          <w:p>
            <w:pPr>
              <w:jc w:val="center"/>
              <w:ind w:left="1890"/>
              <w:spacing w:after="0" w:line="202"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9220" w:type="dxa"/>
            <w:vAlign w:val="bottom"/>
            <w:tcBorders>
              <w:bottom w:val="single" w:sz="8" w:color="auto"/>
            </w:tcBorders>
          </w:tcPr>
          <w:p>
            <w:pPr>
              <w:jc w:val="center"/>
              <w:ind w:left="1870"/>
              <w:spacing w:after="0"/>
              <w:rPr>
                <w:sz w:val="20"/>
                <w:szCs w:val="20"/>
                <w:color w:val="auto"/>
              </w:rPr>
            </w:pPr>
            <w:r>
              <w:rPr>
                <w:rFonts w:ascii="Arial" w:cs="Arial" w:eastAsia="Arial" w:hAnsi="Arial"/>
                <w:sz w:val="18"/>
                <w:szCs w:val="18"/>
                <w:b w:val="1"/>
                <w:bCs w:val="1"/>
                <w:color w:val="auto"/>
                <w:w w:val="99"/>
              </w:rPr>
              <w:t>December 31, 2025, December 31, 2024 and December 31, 2023</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453"/>
        </w:trPr>
        <w:tc>
          <w:tcPr>
            <w:tcW w:w="9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4"/>
                <w:szCs w:val="24"/>
                <w:color w:val="auto"/>
              </w:rPr>
            </w:pPr>
          </w:p>
        </w:tc>
      </w:tr>
      <w:tr>
        <w:trPr>
          <w:trHeight w:val="196"/>
        </w:trPr>
        <w:tc>
          <w:tcPr>
            <w:tcW w:w="9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(13)</w:t>
            </w:r>
          </w:p>
        </w:tc>
      </w:tr>
      <w:tr>
        <w:trPr>
          <w:trHeight w:val="202"/>
        </w:trPr>
        <w:tc>
          <w:tcPr>
            <w:tcW w:w="9220" w:type="dxa"/>
            <w:vAlign w:val="bottom"/>
          </w:tcPr>
          <w:p>
            <w:pPr>
              <w:spacing w:after="0" w:line="202" w:lineRule="exact"/>
              <w:rPr>
                <w:sz w:val="20"/>
                <w:szCs w:val="20"/>
                <w:color w:val="auto"/>
              </w:rPr>
            </w:pPr>
            <w:r>
              <w:rPr>
                <w:rFonts w:ascii="Arial" w:cs="Arial" w:eastAsia="Arial" w:hAnsi="Arial"/>
                <w:sz w:val="18"/>
                <w:szCs w:val="18"/>
                <w:color w:val="auto"/>
              </w:rPr>
              <w:t>State and local:</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California</w:t>
            </w: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1,730</w:t>
            </w:r>
          </w:p>
        </w:tc>
        <w:tc>
          <w:tcPr>
            <w:tcW w:w="120" w:type="dxa"/>
            <w:vAlign w:val="bottom"/>
            <w:shd w:val="clear" w:color="auto" w:fill="CFF0FC"/>
          </w:tcPr>
          <w:p>
            <w:pPr>
              <w:spacing w:after="0"/>
              <w:rPr>
                <w:sz w:val="17"/>
                <w:szCs w:val="17"/>
                <w:color w:val="auto"/>
              </w:rPr>
            </w:pPr>
          </w:p>
        </w:tc>
      </w:tr>
      <w:tr>
        <w:trPr>
          <w:trHeight w:val="203"/>
        </w:trPr>
        <w:tc>
          <w:tcPr>
            <w:tcW w:w="9220" w:type="dxa"/>
            <w:vAlign w:val="bottom"/>
          </w:tcPr>
          <w:p>
            <w:pPr>
              <w:ind w:left="260"/>
              <w:spacing w:after="0" w:line="202" w:lineRule="exact"/>
              <w:rPr>
                <w:sz w:val="20"/>
                <w:szCs w:val="20"/>
                <w:color w:val="auto"/>
              </w:rPr>
            </w:pPr>
            <w:r>
              <w:rPr>
                <w:rFonts w:ascii="Arial" w:cs="Arial" w:eastAsia="Arial" w:hAnsi="Arial"/>
                <w:sz w:val="18"/>
                <w:szCs w:val="18"/>
                <w:color w:val="auto"/>
              </w:rPr>
              <w:t>All other state and local</w:t>
            </w:r>
          </w:p>
        </w:tc>
        <w:tc>
          <w:tcPr>
            <w:tcW w:w="4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8,212</w:t>
            </w:r>
          </w:p>
        </w:tc>
        <w:tc>
          <w:tcPr>
            <w:tcW w:w="120" w:type="dxa"/>
            <w:vAlign w:val="bottom"/>
          </w:tcPr>
          <w:p>
            <w:pPr>
              <w:spacing w:after="0"/>
              <w:rPr>
                <w:sz w:val="17"/>
                <w:szCs w:val="17"/>
                <w:color w:val="auto"/>
              </w:rPr>
            </w:pPr>
          </w:p>
        </w:tc>
      </w:tr>
      <w:tr>
        <w:trPr>
          <w:trHeight w:val="203"/>
        </w:trPr>
        <w:tc>
          <w:tcPr>
            <w:tcW w:w="9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9220" w:type="dxa"/>
            <w:vAlign w:val="bottom"/>
          </w:tcPr>
          <w:p>
            <w:pPr>
              <w:ind w:left="260"/>
              <w:spacing w:after="0" w:line="202" w:lineRule="exact"/>
              <w:rPr>
                <w:sz w:val="20"/>
                <w:szCs w:val="20"/>
                <w:color w:val="auto"/>
              </w:rPr>
            </w:pPr>
            <w:r>
              <w:rPr>
                <w:rFonts w:ascii="Arial" w:cs="Arial" w:eastAsia="Arial" w:hAnsi="Arial"/>
                <w:sz w:val="18"/>
                <w:szCs w:val="18"/>
                <w:color w:val="auto"/>
              </w:rPr>
              <w:t>Saudi Arabia</w:t>
            </w:r>
          </w:p>
        </w:tc>
        <w:tc>
          <w:tcPr>
            <w:tcW w:w="4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17,018</w:t>
            </w:r>
          </w:p>
        </w:tc>
        <w:tc>
          <w:tcPr>
            <w:tcW w:w="12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All other foreign</w:t>
            </w:r>
          </w:p>
        </w:tc>
        <w:tc>
          <w:tcPr>
            <w:tcW w:w="4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3,847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spacing w:after="0" w:line="196" w:lineRule="exact"/>
              <w:rPr>
                <w:sz w:val="20"/>
                <w:szCs w:val="20"/>
                <w:color w:val="auto"/>
              </w:rPr>
            </w:pPr>
            <w:r>
              <w:rPr>
                <w:rFonts w:ascii="Arial" w:cs="Arial" w:eastAsia="Arial" w:hAnsi="Arial"/>
                <w:sz w:val="18"/>
                <w:szCs w:val="18"/>
                <w:color w:val="auto"/>
              </w:rPr>
              <w:t>Total income taxes paid, net of refunds received</w:t>
            </w: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30,794</w:t>
            </w:r>
          </w:p>
        </w:tc>
        <w:tc>
          <w:tcPr>
            <w:tcW w:w="12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amount of cash income taxes paid (net of refunds received) by the Company during the year ended December 31, 2024 and 2023 was $59.8 million and $74.1 million, respectively.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tax law from OBBBA led to the reduction of 2025 income taxes paid.</w:t>
      </w:r>
    </w:p>
    <w:p>
      <w:pPr>
        <w:spacing w:after="0" w:line="320"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In March 2025, the court granted Parsons’ motion for summary judgment. The Relator has appealed this decision. We anticipate that oral argument will be heard by the appellate court in 2026.</w:t>
      </w:r>
    </w:p>
    <w:p>
      <w:pPr>
        <w:spacing w:after="0" w:line="186"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 The appellate briefs have been filed with Parsons having until February 2026 to file their final brief. We anticipate oral argument will occur in 2026.</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2023 have been closed, and years thereafter remain open. All of Parsons operating systems have been deemed adequate by the U.S. federal government.</w:t>
      </w:r>
    </w:p>
    <w:p>
      <w:pPr>
        <w:spacing w:after="0" w:line="180"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Benefit Plans</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Company’s principal retirement benefit plan is the ESOP, a stock bonus plan, established in 1975 to cover eligible employees of the Company and certain affiliated companies. Contributions of treasury stock to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December 31, 2025, the total shares of the Company’s common stock outstanding were 106,968,082, of which 50,864,117 were held by the ESOP. As of December 31, 2024, the total shares of the Company’s common stock outstanding were 106,775,350 of which 54,117,903 were held by the ESOP.</w:t>
      </w:r>
    </w:p>
    <w:p>
      <w:pPr>
        <w:spacing w:after="0" w:line="185"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Total ESOP contribution expense was approximately $72.5 million, $59.8 million and $58.2 million for the years ended December 31, 2025, December 31, 2024 and December 31, 2023, respectively, and is recorded in “Direct costs of contracts” and “Selling, general and administrative expense” in the consolidated statements of income.</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Company also maintains a defined contribution plan (the “401(k) Plan”). Substantially all domestic employees are entitled to participate in the 401(k) Plan, subject to certain minimum requirements. The Company’s contributions to the 401(k) Plan for the years ended December 31, 2025,</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5" w:name="page146"/>
    <w:bookmarkEnd w:id="14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December 31, 2023 amounted to $45.8 million, $37.7 million, and $35.4 million,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Investments in and Advances to Joint Ventures</w:t>
      </w:r>
    </w:p>
    <w:p>
      <w:pPr>
        <w:spacing w:after="0" w:line="104"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5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Letters of credit outstanding described in ‘Note 11—</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that relate to project ventures are approximately $184.4 million and $176.7 million at December 31, 2025 and December 31, 2024, respectively.</w:t>
      </w:r>
    </w:p>
    <w:p>
      <w:pPr>
        <w:spacing w:after="0" w:line="15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as of and for the years ended December 31, 2025, December 31, 2024 and December 31,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77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203"/>
        </w:trPr>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assets</w:t>
            </w:r>
          </w:p>
        </w:tc>
        <w:tc>
          <w:tcPr>
            <w:tcW w:w="10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542,877</w:t>
            </w:r>
          </w:p>
        </w:tc>
        <w:tc>
          <w:tcPr>
            <w:tcW w:w="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519,450</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7,961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9,841</w:t>
            </w:r>
          </w:p>
        </w:tc>
        <w:tc>
          <w:tcPr>
            <w:tcW w:w="100" w:type="dxa"/>
            <w:vAlign w:val="bottom"/>
          </w:tcPr>
          <w:p>
            <w:pPr>
              <w:spacing w:after="0"/>
              <w:rPr>
                <w:sz w:val="17"/>
                <w:szCs w:val="17"/>
                <w:color w:val="auto"/>
              </w:rPr>
            </w:pPr>
          </w:p>
        </w:tc>
      </w:tr>
      <w:tr>
        <w:trPr>
          <w:trHeight w:val="196"/>
        </w:trPr>
        <w:tc>
          <w:tcPr>
            <w:tcW w:w="47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550,838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529,291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301,891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296,774</w:t>
            </w:r>
          </w:p>
        </w:tc>
        <w:tc>
          <w:tcPr>
            <w:tcW w:w="100" w:type="dxa"/>
            <w:vAlign w:val="bottom"/>
          </w:tcPr>
          <w:p>
            <w:pPr>
              <w:spacing w:after="0"/>
              <w:rPr>
                <w:sz w:val="17"/>
                <w:szCs w:val="17"/>
                <w:color w:val="auto"/>
              </w:rPr>
            </w:pPr>
          </w:p>
        </w:tc>
      </w:tr>
      <w:tr>
        <w:trPr>
          <w:trHeight w:val="196"/>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Noncurrent Liabilities</w:t>
            </w:r>
          </w:p>
        </w:tc>
        <w:tc>
          <w:tcPr>
            <w:tcW w:w="10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3,417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305,308</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298,977</w:t>
            </w:r>
          </w:p>
        </w:tc>
        <w:tc>
          <w:tcPr>
            <w:tcW w:w="100" w:type="dxa"/>
            <w:vAlign w:val="bottom"/>
          </w:tcPr>
          <w:p>
            <w:pPr>
              <w:spacing w:after="0"/>
              <w:rPr>
                <w:sz w:val="17"/>
                <w:szCs w:val="17"/>
                <w:color w:val="auto"/>
              </w:rPr>
            </w:pPr>
          </w:p>
        </w:tc>
      </w:tr>
      <w:tr>
        <w:trPr>
          <w:trHeight w:val="236"/>
        </w:trPr>
        <w:tc>
          <w:tcPr>
            <w:tcW w:w="47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joint venture equity</w:t>
            </w:r>
          </w:p>
        </w:tc>
        <w:tc>
          <w:tcPr>
            <w:tcW w:w="10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245,530</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230,314</w:t>
            </w:r>
          </w:p>
        </w:tc>
        <w:tc>
          <w:tcPr>
            <w:tcW w:w="100" w:type="dxa"/>
            <w:vAlign w:val="bottom"/>
            <w:shd w:val="clear" w:color="auto" w:fill="CFF0FC"/>
          </w:tcPr>
          <w:p>
            <w:pPr>
              <w:spacing w:after="0"/>
              <w:rPr>
                <w:sz w:val="20"/>
                <w:szCs w:val="20"/>
                <w:color w:val="auto"/>
              </w:rPr>
            </w:pPr>
          </w:p>
        </w:tc>
      </w:tr>
      <w:tr>
        <w:trPr>
          <w:trHeight w:val="345"/>
        </w:trPr>
        <w:tc>
          <w:tcPr>
            <w:tcW w:w="470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380" w:type="dxa"/>
            <w:vAlign w:val="bottom"/>
            <w:tcBorders>
              <w:top w:val="single" w:sz="8" w:color="CFF0FC"/>
              <w:bottom w:val="single" w:sz="8" w:color="auto"/>
            </w:tcBorders>
          </w:tcPr>
          <w:p>
            <w:pPr>
              <w:spacing w:after="0"/>
              <w:rPr>
                <w:sz w:val="24"/>
                <w:szCs w:val="24"/>
                <w:color w:val="auto"/>
              </w:rPr>
            </w:pPr>
          </w:p>
        </w:tc>
        <w:tc>
          <w:tcPr>
            <w:tcW w:w="760" w:type="dxa"/>
            <w:vAlign w:val="bottom"/>
            <w:tcBorders>
              <w:top w:val="single" w:sz="8" w:color="CFF0FC"/>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CFF0FC"/>
            </w:tcBorders>
          </w:tcPr>
          <w:p>
            <w:pPr>
              <w:spacing w:after="0"/>
              <w:rPr>
                <w:sz w:val="24"/>
                <w:szCs w:val="24"/>
                <w:color w:val="auto"/>
              </w:rPr>
            </w:pPr>
          </w:p>
        </w:tc>
      </w:tr>
      <w:tr>
        <w:trPr>
          <w:trHeight w:val="196"/>
        </w:trPr>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819,562</w:t>
            </w:r>
          </w:p>
        </w:tc>
        <w:tc>
          <w:tcPr>
            <w:tcW w:w="74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788,702</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708,391</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10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683,298</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676,258</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613,186</w:t>
            </w:r>
          </w:p>
        </w:tc>
        <w:tc>
          <w:tcPr>
            <w:tcW w:w="100" w:type="dxa"/>
            <w:vAlign w:val="bottom"/>
          </w:tcPr>
          <w:p>
            <w:pPr>
              <w:spacing w:after="0"/>
              <w:rPr>
                <w:sz w:val="17"/>
                <w:szCs w:val="17"/>
                <w:color w:val="auto"/>
              </w:rPr>
            </w:pPr>
          </w:p>
        </w:tc>
      </w:tr>
      <w:tr>
        <w:trPr>
          <w:trHeight w:val="216"/>
        </w:trPr>
        <w:tc>
          <w:tcPr>
            <w:tcW w:w="47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136,264</w:t>
            </w:r>
          </w:p>
        </w:tc>
        <w:tc>
          <w:tcPr>
            <w:tcW w:w="74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112,444</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95,205</w:t>
            </w:r>
          </w:p>
        </w:tc>
        <w:tc>
          <w:tcPr>
            <w:tcW w:w="100" w:type="dxa"/>
            <w:vAlign w:val="bottom"/>
            <w:shd w:val="clear" w:color="auto" w:fill="CFF0FC"/>
          </w:tcPr>
          <w:p>
            <w:pPr>
              <w:spacing w:after="0"/>
              <w:rPr>
                <w:sz w:val="18"/>
                <w:szCs w:val="18"/>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47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67,725</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55,612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46,766</w:t>
            </w:r>
          </w:p>
        </w:tc>
        <w:tc>
          <w:tcPr>
            <w:tcW w:w="100" w:type="dxa"/>
            <w:vAlign w:val="bottom"/>
          </w:tcPr>
          <w:p>
            <w:pPr>
              <w:spacing w:after="0"/>
              <w:rPr>
                <w:sz w:val="19"/>
                <w:szCs w:val="19"/>
                <w:color w:val="auto"/>
              </w:rPr>
            </w:pPr>
          </w:p>
        </w:tc>
      </w:tr>
      <w:tr>
        <w:trPr>
          <w:trHeight w:val="845"/>
        </w:trPr>
        <w:tc>
          <w:tcPr>
            <w:tcW w:w="470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F-51</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-2407920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-2407920</wp:posOffset>
            </wp:positionV>
            <wp:extent cx="7747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-2133600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-2133600</wp:posOffset>
            </wp:positionV>
            <wp:extent cx="7747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-1859280</wp:posOffset>
            </wp:positionV>
            <wp:extent cx="685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-1842135</wp:posOffset>
            </wp:positionV>
            <wp:extent cx="685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-1842135</wp:posOffset>
            </wp:positionV>
            <wp:extent cx="7747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-1199515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-1182370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-1199515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-1182370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17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as of and for the years ended December 31, 2025, December 31, 2024 and December 31, 2023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1,549,367</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1,477,950</w:t>
            </w:r>
          </w:p>
        </w:tc>
        <w:tc>
          <w:tcPr>
            <w:tcW w:w="12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439,496</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431,476</w:t>
            </w:r>
          </w:p>
        </w:tc>
        <w:tc>
          <w:tcPr>
            <w:tcW w:w="120" w:type="dxa"/>
            <w:vAlign w:val="bottom"/>
          </w:tcPr>
          <w:p>
            <w:pPr>
              <w:spacing w:after="0"/>
              <w:rPr>
                <w:sz w:val="17"/>
                <w:szCs w:val="17"/>
                <w:color w:val="auto"/>
              </w:rPr>
            </w:pPr>
          </w:p>
        </w:tc>
      </w:tr>
      <w:tr>
        <w:trPr>
          <w:trHeight w:val="196"/>
        </w:trPr>
        <w:tc>
          <w:tcPr>
            <w:tcW w:w="57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1,988,863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1,909,426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1,046,970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947,072</w:t>
            </w:r>
          </w:p>
        </w:tc>
        <w:tc>
          <w:tcPr>
            <w:tcW w:w="120" w:type="dxa"/>
            <w:vAlign w:val="bottom"/>
          </w:tcPr>
          <w:p>
            <w:pPr>
              <w:spacing w:after="0"/>
              <w:rPr>
                <w:sz w:val="17"/>
                <w:szCs w:val="17"/>
                <w:color w:val="auto"/>
              </w:rPr>
            </w:pPr>
          </w:p>
        </w:tc>
      </w:tr>
      <w:tr>
        <w:trPr>
          <w:trHeight w:val="203"/>
        </w:trPr>
        <w:tc>
          <w:tcPr>
            <w:tcW w:w="5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469,833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469,808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1,516,803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1,416,880</w:t>
            </w:r>
          </w:p>
        </w:tc>
        <w:tc>
          <w:tcPr>
            <w:tcW w:w="120" w:type="dxa"/>
            <w:vAlign w:val="bottom"/>
          </w:tcPr>
          <w:p>
            <w:pPr>
              <w:spacing w:after="0"/>
              <w:rPr>
                <w:sz w:val="17"/>
                <w:szCs w:val="17"/>
                <w:color w:val="auto"/>
              </w:rPr>
            </w:pPr>
          </w:p>
        </w:tc>
      </w:tr>
      <w:tr>
        <w:trPr>
          <w:trHeight w:val="236"/>
        </w:trPr>
        <w:tc>
          <w:tcPr>
            <w:tcW w:w="57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joint venture equity</w:t>
            </w:r>
          </w:p>
        </w:tc>
        <w:tc>
          <w:tcPr>
            <w:tcW w:w="3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472,060</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492,546</w:t>
            </w:r>
          </w:p>
        </w:tc>
        <w:tc>
          <w:tcPr>
            <w:tcW w:w="120" w:type="dxa"/>
            <w:vAlign w:val="bottom"/>
            <w:shd w:val="clear" w:color="auto" w:fill="CFF0FC"/>
          </w:tcPr>
          <w:p>
            <w:pPr>
              <w:spacing w:after="0"/>
              <w:rPr>
                <w:sz w:val="20"/>
                <w:szCs w:val="20"/>
                <w:color w:val="auto"/>
              </w:rPr>
            </w:pPr>
          </w:p>
        </w:tc>
      </w:tr>
      <w:tr>
        <w:trPr>
          <w:trHeight w:val="164"/>
        </w:trPr>
        <w:tc>
          <w:tcPr>
            <w:tcW w:w="578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Investments in and advances to unconsolidated joint</w:t>
            </w:r>
          </w:p>
        </w:tc>
        <w:tc>
          <w:tcPr>
            <w:tcW w:w="38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239"/>
        </w:trPr>
        <w:tc>
          <w:tcPr>
            <w:tcW w:w="5780" w:type="dxa"/>
            <w:vAlign w:val="bottom"/>
          </w:tcPr>
          <w:p>
            <w:pPr>
              <w:ind w:left="160"/>
              <w:spacing w:after="0"/>
              <w:rPr>
                <w:sz w:val="20"/>
                <w:szCs w:val="20"/>
                <w:color w:val="auto"/>
              </w:rPr>
            </w:pPr>
            <w:r>
              <w:rPr>
                <w:rFonts w:ascii="Arial" w:cs="Arial" w:eastAsia="Arial" w:hAnsi="Arial"/>
                <w:sz w:val="18"/>
                <w:szCs w:val="18"/>
                <w:color w:val="auto"/>
              </w:rPr>
              <w:t>ventures</w:t>
            </w:r>
          </w:p>
        </w:tc>
        <w:tc>
          <w:tcPr>
            <w:tcW w:w="38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148,640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138,759</w:t>
            </w:r>
          </w:p>
        </w:tc>
        <w:tc>
          <w:tcPr>
            <w:tcW w:w="120" w:type="dxa"/>
            <w:vAlign w:val="bottom"/>
          </w:tcPr>
          <w:p>
            <w:pPr>
              <w:spacing w:after="0"/>
              <w:rPr>
                <w:sz w:val="20"/>
                <w:szCs w:val="20"/>
                <w:color w:val="auto"/>
              </w:rPr>
            </w:pPr>
          </w:p>
        </w:tc>
      </w:tr>
      <w:tr>
        <w:trPr>
          <w:trHeight w:val="347"/>
        </w:trPr>
        <w:tc>
          <w:tcPr>
            <w:tcW w:w="5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2,140,784</w:t>
            </w:r>
          </w:p>
        </w:tc>
        <w:tc>
          <w:tcPr>
            <w:tcW w:w="400" w:type="dxa"/>
            <w:vAlign w:val="bottom"/>
            <w:shd w:val="clear" w:color="auto" w:fill="CFF0FC"/>
          </w:tcPr>
          <w:p>
            <w:pPr>
              <w:jc w:val="right"/>
              <w:ind w:right="215"/>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2,118,799</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2,313,420</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2,042,084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2,108,768</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2,310,114</w:t>
            </w:r>
          </w:p>
        </w:tc>
        <w:tc>
          <w:tcPr>
            <w:tcW w:w="12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98,700</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5"/>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10,031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3,306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19"/>
        </w:trPr>
        <w:tc>
          <w:tcPr>
            <w:tcW w:w="578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2,583</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(23,361)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(47,751)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-1633855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-1633855</wp:posOffset>
            </wp:positionV>
            <wp:extent cx="7747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-1368425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-1368425</wp:posOffset>
            </wp:positionV>
            <wp:extent cx="7747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-1094105</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-1076960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-1094105</wp:posOffset>
            </wp:positionV>
            <wp:extent cx="774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-1076960</wp:posOffset>
            </wp:positionV>
            <wp:extent cx="774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-176530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-159385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-176530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-159385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7"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The Company had net contributions to its unconsolidated joint ventures of $2.1 million, $38.8 million, and $65.2 million for the years ended December 31, 2025, December 31, 2024, and December 31, 2023, respectively.</w:t>
      </w:r>
    </w:p>
    <w:p>
      <w:pPr>
        <w:spacing w:after="0" w:line="154"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 Critical Infrastructure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9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735"/>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4"/>
                <w:szCs w:val="14"/>
                <w:color w:val="auto"/>
              </w:rPr>
            </w:pPr>
          </w:p>
        </w:tc>
        <w:tc>
          <w:tcPr>
            <w:tcW w:w="1360" w:type="dxa"/>
            <w:vAlign w:val="bottom"/>
          </w:tcPr>
          <w:p>
            <w:pPr>
              <w:jc w:val="right"/>
              <w:ind w:right="675"/>
              <w:spacing w:after="0"/>
              <w:rPr>
                <w:sz w:val="20"/>
                <w:szCs w:val="20"/>
                <w:color w:val="auto"/>
              </w:rPr>
            </w:pPr>
            <w:r>
              <w:rPr>
                <w:rFonts w:ascii="Arial" w:cs="Arial" w:eastAsia="Arial" w:hAnsi="Arial"/>
                <w:sz w:val="14"/>
                <w:szCs w:val="14"/>
                <w:b w:val="1"/>
                <w:bCs w:val="1"/>
                <w:color w:val="auto"/>
              </w:rPr>
              <w:t>2023</w:t>
            </w:r>
          </w:p>
        </w:tc>
      </w:tr>
      <w:tr>
        <w:trPr>
          <w:trHeight w:val="203"/>
        </w:trPr>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loss</w:t>
            </w:r>
          </w:p>
        </w:tc>
        <w:tc>
          <w:tcPr>
            <w:tcW w:w="2980" w:type="dxa"/>
            <w:vAlign w:val="bottom"/>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(29,140)</w:t>
            </w:r>
          </w:p>
        </w:tc>
        <w:tc>
          <w:tcPr>
            <w:tcW w:w="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(51,715)</w:t>
            </w:r>
          </w:p>
        </w:tc>
        <w:tc>
          <w:tcPr>
            <w:tcW w:w="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(83,398)</w:t>
            </w: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9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(21,734)</w:t>
            </w:r>
          </w:p>
        </w:tc>
        <w:tc>
          <w:tcPr>
            <w:tcW w:w="460" w:type="dxa"/>
            <w:vAlign w:val="bottom"/>
          </w:tcPr>
          <w:p>
            <w:pPr>
              <w:spacing w:after="0"/>
              <w:rPr>
                <w:sz w:val="17"/>
                <w:szCs w:val="17"/>
                <w:color w:val="auto"/>
              </w:rPr>
            </w:pP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(44,682)</w:t>
            </w:r>
          </w:p>
        </w:tc>
        <w:tc>
          <w:tcPr>
            <w:tcW w:w="4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(61,842)</w:t>
            </w:r>
          </w:p>
        </w:tc>
      </w:tr>
      <w:tr>
        <w:trPr>
          <w:trHeight w:val="203"/>
        </w:trPr>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 loss per share</w:t>
            </w:r>
          </w:p>
        </w:tc>
        <w:tc>
          <w:tcPr>
            <w:tcW w:w="2980" w:type="dxa"/>
            <w:vAlign w:val="bottom"/>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(0.20)</w:t>
            </w:r>
          </w:p>
        </w:tc>
        <w:tc>
          <w:tcPr>
            <w:tcW w:w="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(0.40)</w:t>
            </w:r>
          </w:p>
        </w:tc>
        <w:tc>
          <w:tcPr>
            <w:tcW w:w="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(0.54)</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jc w:val="both"/>
        <w:ind w:right="140" w:firstLine="509"/>
        <w:spacing w:after="0" w:line="275" w:lineRule="auto"/>
        <w:rPr>
          <w:sz w:val="20"/>
          <w:szCs w:val="20"/>
          <w:color w:val="auto"/>
        </w:rPr>
      </w:pPr>
      <w:r>
        <w:rPr>
          <w:rFonts w:ascii="Arial" w:cs="Arial" w:eastAsia="Arial" w:hAnsi="Arial"/>
          <w:sz w:val="17"/>
          <w:szCs w:val="17"/>
          <w:color w:val="auto"/>
        </w:rPr>
        <w:t>The Company often provides services to unconsolidated joint ventures and revenues include amounts related to recovering overhead costs for these services. For the years ended December 31, 2025, December 31, 2024 and December 31, 2023, revenues included $194.7 million, $182.6 million, and $213.8 million, respectively, related to services the Company provided to unconsolidated joint ventures.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For the years ended December 31, 2025, December 31, 2024 and December 31, 2023, the Company incurred approximately $137.5 million, $143.2 million, and $153.7 million, respectively, of reimbursable costs. Amounts included in the consolidated balance sheets related to services the Company provided to unconsolidated joint ventures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4000" w:type="dxa"/>
            <w:vAlign w:val="bottom"/>
            <w:gridSpan w:val="2"/>
            <w:shd w:val="clear" w:color="auto" w:fill="CFF0FC"/>
          </w:tcPr>
          <w:p>
            <w:pPr>
              <w:jc w:val="right"/>
              <w:ind w:right="928"/>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45,116</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38,443</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29,283</w:t>
            </w:r>
          </w:p>
        </w:tc>
        <w:tc>
          <w:tcPr>
            <w:tcW w:w="3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11,540</w:t>
            </w: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29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7,297</w:t>
            </w: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10,776</w:t>
            </w: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presented above for comparable periods have been updated to reflect all unconsolidated joint ventures.</w:t>
      </w:r>
    </w:p>
    <w:p>
      <w:pPr>
        <w:spacing w:after="0" w:line="144"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2025 and December 31, 2024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1020" w:right="360" w:hanging="503"/>
        <w:spacing w:after="0" w:line="270" w:lineRule="auto"/>
        <w:tabs>
          <w:tab w:leader="none" w:pos="102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182" w:lineRule="exact"/>
        <w:rPr>
          <w:sz w:val="20"/>
          <w:szCs w:val="20"/>
          <w:color w:val="auto"/>
        </w:rPr>
      </w:pPr>
    </w:p>
    <w:p>
      <w:pPr>
        <w:ind w:left="1500" w:right="800" w:hanging="985"/>
        <w:spacing w:after="0" w:line="271"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assets and liabilities;</w:t>
      </w:r>
    </w:p>
    <w:p>
      <w:pPr>
        <w:spacing w:after="0" w:line="59" w:lineRule="exact"/>
        <w:rPr>
          <w:sz w:val="20"/>
          <w:szCs w:val="20"/>
          <w:color w:val="auto"/>
        </w:rPr>
      </w:pPr>
    </w:p>
    <w:p>
      <w:pPr>
        <w:ind w:left="1500" w:right="200" w:hanging="985"/>
        <w:spacing w:after="0" w:line="271"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derivative instrument; and</w:t>
      </w:r>
    </w:p>
    <w:p>
      <w:pPr>
        <w:spacing w:after="0" w:line="59" w:lineRule="exact"/>
        <w:rPr>
          <w:sz w:val="20"/>
          <w:szCs w:val="20"/>
          <w:color w:val="auto"/>
        </w:rPr>
      </w:pPr>
    </w:p>
    <w:p>
      <w:pPr>
        <w:ind w:left="520"/>
        <w:spacing w:after="0"/>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determining the fair value of acquired intangible assets from our business acquisitions, the Company uses the multi-period excess earnings method to value customer relationships and backlog and values developed technologies using the relief-from royalty method. These valuation methods use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significant unobservable inputs classified within Level 3 of the fair value hierarchy. See "Note 2—</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p>
    <w:p>
      <w:pPr>
        <w:spacing w:after="0" w:line="15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We measure contingent consideration at fair value on a recurring basis using significant unobservable inputs classified within Level 3 of the fair value hierarchy. See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3—</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information.</w:t>
      </w:r>
    </w:p>
    <w:p>
      <w:pPr>
        <w:spacing w:after="0" w:line="15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With respect to equity-based compensation, for restricted stock units containing service conditions or service and performance conditions, the grant date fair value is based on the closing stock price of a share of the Company’s common stock on the NYSE on the grant date. For awards that include market conditions, the grant date fair value is determined using a Monte Carlo simulation.</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1 inputs for the Company's convertible notes and Level 2 inputs for the term loan, were as follows (in thousands):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6"/>
          </w:tcPr>
          <w:p>
            <w:pPr>
              <w:ind w:left="400"/>
              <w:spacing w:after="0"/>
              <w:rPr>
                <w:sz w:val="20"/>
                <w:szCs w:val="20"/>
                <w:color w:val="auto"/>
              </w:rPr>
            </w:pPr>
            <w:r>
              <w:rPr>
                <w:rFonts w:ascii="Arial" w:cs="Arial" w:eastAsia="Arial" w:hAnsi="Arial"/>
                <w:sz w:val="14"/>
                <w:szCs w:val="14"/>
                <w:b w:val="1"/>
                <w:bCs w:val="1"/>
                <w:color w:val="auto"/>
              </w:rPr>
              <w:t>December 31, 2024</w:t>
            </w:r>
          </w:p>
        </w:tc>
      </w:tr>
      <w:tr>
        <w:trPr>
          <w:trHeight w:val="171"/>
        </w:trPr>
        <w:tc>
          <w:tcPr>
            <w:tcW w:w="58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Convertible senior notes due 2025</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113,405</w:t>
            </w:r>
          </w:p>
        </w:tc>
        <w:tc>
          <w:tcPr>
            <w:tcW w:w="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233,206</w:t>
            </w:r>
          </w:p>
        </w:tc>
        <w:tc>
          <w:tcPr>
            <w:tcW w:w="12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senior notes due 2029</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825,680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939,280</w:t>
            </w:r>
          </w:p>
        </w:tc>
        <w:tc>
          <w:tcPr>
            <w:tcW w:w="12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Term loan due 2028</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03"/>
        </w:trPr>
        <w:tc>
          <w:tcPr>
            <w:tcW w:w="5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Delayed draw term loan due 2025</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1,250,000</w:t>
            </w:r>
          </w:p>
        </w:tc>
        <w:tc>
          <w:tcPr>
            <w:tcW w:w="4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1,275,680</w:t>
            </w:r>
          </w:p>
        </w:tc>
        <w:tc>
          <w:tcPr>
            <w:tcW w:w="46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1,263,405</w:t>
            </w:r>
          </w:p>
        </w:tc>
        <w:tc>
          <w:tcPr>
            <w:tcW w:w="4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1,522,486</w:t>
            </w:r>
          </w:p>
        </w:tc>
        <w:tc>
          <w:tcPr>
            <w:tcW w:w="12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-161925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-161925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17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 and shares underlying the warrants related to the convertible senior notes due 2025.</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9" w:name="page150"/>
    <w:bookmarkEnd w:id="14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1540" w:hanging="514"/>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following table reconciles the numerator and denominator used to compute basic and diluted EPS for the years ended December 31, 2025, December 31, 2024, and December 31, 2023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Numerator for Basic and Diluted EPS:</w:t>
            </w: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Parsons Corporation - basic</w:t>
            </w:r>
          </w:p>
        </w:tc>
        <w:tc>
          <w:tcPr>
            <w:tcW w:w="10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241,139</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235,053</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161,149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Convertible senior notes if-converted method interest adjustment</w:t>
            </w:r>
          </w:p>
        </w:tc>
        <w:tc>
          <w:tcPr>
            <w:tcW w:w="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 - diluted</w:t>
            </w:r>
          </w:p>
        </w:tc>
        <w:tc>
          <w:tcPr>
            <w:tcW w:w="10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241,274</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237,985</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163,440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590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 for Basic and Diluted EPS: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Basic weighted average number of shares outstanding</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106,828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106,274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stock-based awards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Dilutive effect of warrants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Dilutive effect of convertible senior notes</w:t>
            </w:r>
          </w:p>
        </w:tc>
        <w:tc>
          <w:tcPr>
            <w:tcW w:w="7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1,161</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3,628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109,693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112,174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00" w:type="dxa"/>
            <w:vAlign w:val="bottom"/>
          </w:tcPr>
          <w:p>
            <w:pPr>
              <w:spacing w:after="0"/>
              <w:rPr>
                <w:sz w:val="20"/>
                <w:szCs w:val="20"/>
                <w:color w:val="auto"/>
              </w:rPr>
            </w:pPr>
            <w:r>
              <w:rPr>
                <w:rFonts w:ascii="Arial" w:cs="Arial" w:eastAsia="Arial" w:hAnsi="Arial"/>
                <w:sz w:val="18"/>
                <w:szCs w:val="18"/>
                <w:color w:val="auto"/>
              </w:rPr>
              <w:t>Diluted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-1725295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-1725295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-1725295</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-1708150</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-756285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-756285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-756285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right="740" w:firstLine="509"/>
        <w:spacing w:after="0" w:line="303" w:lineRule="auto"/>
        <w:rPr>
          <w:sz w:val="20"/>
          <w:szCs w:val="20"/>
          <w:color w:val="auto"/>
        </w:rPr>
      </w:pPr>
      <w:r>
        <w:rPr>
          <w:rFonts w:ascii="Arial" w:cs="Arial" w:eastAsia="Arial" w:hAnsi="Arial"/>
          <w:sz w:val="18"/>
          <w:szCs w:val="18"/>
          <w:color w:val="auto"/>
        </w:rPr>
        <w:t>Anti-dilutive stock-based awards excluded from the calculation of earnings per share for the years ended December 31, 2025, December 31, 2024, and December 31, 2023 were 14,571, 4,562, and 5,423,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Any purchases made by the Company during Q1 of 2025 were deducted from the reset capacity.</w:t>
      </w:r>
    </w:p>
    <w:p>
      <w:pPr>
        <w:spacing w:after="0" w:line="176"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2025, the Company has $125.0 million remaining under the stock repurchase program.</w:t>
      </w:r>
    </w:p>
    <w:p>
      <w:pPr>
        <w:spacing w:after="0" w:line="10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opportunities, the availability and costs of financing, the market price of the Company's common stock, other uses of capital and other factors.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20" w:type="dxa"/>
            <w:vAlign w:val="bottom"/>
          </w:tcPr>
          <w:p>
            <w:pPr>
              <w:jc w:val="right"/>
              <w:ind w:right="795"/>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4"/>
                <w:szCs w:val="14"/>
                <w:color w:val="auto"/>
              </w:rPr>
            </w:pPr>
          </w:p>
        </w:tc>
        <w:tc>
          <w:tcPr>
            <w:tcW w:w="1460" w:type="dxa"/>
            <w:vAlign w:val="bottom"/>
          </w:tcPr>
          <w:p>
            <w:pPr>
              <w:jc w:val="right"/>
              <w:ind w:right="735"/>
              <w:spacing w:after="0"/>
              <w:rPr>
                <w:sz w:val="20"/>
                <w:szCs w:val="20"/>
                <w:color w:val="auto"/>
              </w:rPr>
            </w:pPr>
            <w:r>
              <w:rPr>
                <w:rFonts w:ascii="Arial" w:cs="Arial" w:eastAsia="Arial" w:hAnsi="Arial"/>
                <w:sz w:val="14"/>
                <w:szCs w:val="14"/>
                <w:b w:val="1"/>
                <w:bCs w:val="1"/>
                <w:color w:val="auto"/>
              </w:rPr>
              <w:t>2024</w:t>
            </w: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shares repurchased</w:t>
            </w:r>
          </w:p>
        </w:tc>
        <w:tc>
          <w:tcPr>
            <w:tcW w:w="29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1,822,368</w:t>
            </w:r>
          </w:p>
        </w:tc>
        <w:tc>
          <w:tcPr>
            <w:tcW w:w="5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287,005</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Total shares retired</w:t>
            </w:r>
          </w:p>
        </w:tc>
        <w:tc>
          <w:tcPr>
            <w:tcW w:w="2900" w:type="dxa"/>
            <w:vAlign w:val="bottom"/>
          </w:tcPr>
          <w:p>
            <w:pPr>
              <w:spacing w:after="0"/>
              <w:rPr>
                <w:sz w:val="17"/>
                <w:szCs w:val="17"/>
                <w:color w:val="auto"/>
              </w:rPr>
            </w:pPr>
          </w:p>
        </w:tc>
        <w:tc>
          <w:tcPr>
            <w:tcW w:w="15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1,822,368</w:t>
            </w:r>
          </w:p>
        </w:tc>
        <w:tc>
          <w:tcPr>
            <w:tcW w:w="540" w:type="dxa"/>
            <w:vAlign w:val="bottom"/>
          </w:tcPr>
          <w:p>
            <w:pPr>
              <w:spacing w:after="0"/>
              <w:rPr>
                <w:sz w:val="17"/>
                <w:szCs w:val="17"/>
                <w:color w:val="auto"/>
              </w:rPr>
            </w:pPr>
          </w:p>
        </w:tc>
        <w:tc>
          <w:tcPr>
            <w:tcW w:w="1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287,005</w:t>
            </w: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price paid per share</w:t>
            </w:r>
          </w:p>
        </w:tc>
        <w:tc>
          <w:tcPr>
            <w:tcW w:w="29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68.59</w:t>
            </w:r>
          </w:p>
        </w:tc>
        <w:tc>
          <w:tcPr>
            <w:tcW w:w="54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87.10</w:t>
            </w:r>
          </w:p>
        </w:tc>
      </w:tr>
    </w:tbl>
    <w:p>
      <w:pPr>
        <w:spacing w:after="0" w:line="200" w:lineRule="exact"/>
        <w:rPr>
          <w:sz w:val="20"/>
          <w:szCs w:val="20"/>
          <w:color w:val="auto"/>
        </w:rPr>
      </w:pPr>
    </w:p>
    <w:p>
      <w:pPr>
        <w:spacing w:after="0" w:line="308"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Segments Information</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 operations, missile defense, and military facility modernization, logistics support, hazardous material remediation and engineering services.</w:t>
      </w:r>
    </w:p>
    <w:p>
      <w:pPr>
        <w:spacing w:after="0" w:line="17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segment direct cost of contracts, segment Selling, General and Administrative expense and segment Adjusted EBITDA attributable to Parsons Corporation.</w:t>
      </w:r>
    </w:p>
    <w:p>
      <w:pPr>
        <w:spacing w:after="0" w:line="20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spacing w:after="0" w:line="23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1" w:name="page152"/>
    <w:bookmarkEnd w:id="15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following tables present segment information provided to the CODM, as of each fiscal year presented, along with a reconciliation of segment adjusted EBITDA attributable to Parsons Corporation to net income attributable to Parsons Corporation for the periods presented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December 31,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Federal</w:t>
            </w:r>
          </w:p>
        </w:tc>
        <w:tc>
          <w:tcPr>
            <w:tcW w:w="24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3,220,797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3,143,448</w:t>
            </w:r>
          </w:p>
        </w:tc>
        <w:tc>
          <w:tcPr>
            <w:tcW w:w="1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6,364,245</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(2,530,560)</w:t>
            </w: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(2,402,151)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(4,932,711)</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(179,032)</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(186,893)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(365,925)</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2,583</w:t>
            </w:r>
          </w:p>
        </w:tc>
        <w:tc>
          <w:tcPr>
            <w:tcW w:w="100" w:type="dxa"/>
            <w:vAlign w:val="bottom"/>
          </w:tcPr>
          <w:p>
            <w:pPr>
              <w:spacing w:after="0"/>
              <w:rPr>
                <w:sz w:val="17"/>
                <w:szCs w:val="17"/>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(234,196)</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(292,774)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(526,970)</w:t>
            </w:r>
          </w:p>
        </w:tc>
      </w:tr>
      <w:tr>
        <w:trPr>
          <w:trHeight w:val="20"/>
        </w:trPr>
        <w:tc>
          <w:tcPr>
            <w:tcW w:w="506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281,116</w:t>
            </w: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260,106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541,222</w:t>
            </w:r>
          </w:p>
        </w:tc>
        <w:tc>
          <w:tcPr>
            <w:tcW w:w="100" w:type="dxa"/>
            <w:vAlign w:val="bottom"/>
          </w:tcPr>
          <w:p>
            <w:pPr>
              <w:spacing w:after="0"/>
              <w:rPr>
                <w:sz w:val="17"/>
                <w:szCs w:val="17"/>
                <w:color w:val="auto"/>
              </w:rPr>
            </w:pPr>
          </w:p>
        </w:tc>
      </w:tr>
      <w:tr>
        <w:trPr>
          <w:trHeight w:val="177"/>
        </w:trPr>
        <w:tc>
          <w:tcPr>
            <w:tcW w:w="5760" w:type="dxa"/>
            <w:vAlign w:val="bottom"/>
            <w:gridSpan w:val="2"/>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68,084</w:t>
            </w:r>
          </w:p>
        </w:tc>
        <w:tc>
          <w:tcPr>
            <w:tcW w:w="100" w:type="dxa"/>
            <w:vAlign w:val="bottom"/>
          </w:tcPr>
          <w:p>
            <w:pPr>
              <w:spacing w:after="0"/>
              <w:rPr>
                <w:sz w:val="17"/>
                <w:szCs w:val="17"/>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(116,486)</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(44,424)</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(73,647)</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(40,225)</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(18,205)</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Restructuring expense (d)</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(2,653)</w:t>
            </w:r>
          </w:p>
        </w:tc>
      </w:tr>
      <w:tr>
        <w:trPr>
          <w:trHeight w:val="202"/>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(4,802)</w:t>
            </w:r>
          </w:p>
        </w:tc>
      </w:tr>
      <w:tr>
        <w:trPr>
          <w:trHeight w:val="196"/>
        </w:trPr>
        <w:tc>
          <w:tcPr>
            <w:tcW w:w="5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7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308,864</w:t>
            </w:r>
          </w:p>
        </w:tc>
        <w:tc>
          <w:tcPr>
            <w:tcW w:w="100" w:type="dxa"/>
            <w:vAlign w:val="bottom"/>
            <w:tcBorders>
              <w:top w:val="single" w:sz="8" w:color="CFF0FC"/>
            </w:tcBorders>
          </w:tcPr>
          <w:p>
            <w:pPr>
              <w:spacing w:after="0"/>
              <w:rPr>
                <w:sz w:val="17"/>
                <w:szCs w:val="17"/>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(67,725)</w:t>
            </w:r>
          </w:p>
        </w:tc>
      </w:tr>
      <w:tr>
        <w:trPr>
          <w:trHeight w:val="196"/>
        </w:trPr>
        <w:tc>
          <w:tcPr>
            <w:tcW w:w="5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7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241,139</w:t>
            </w:r>
          </w:p>
        </w:tc>
        <w:tc>
          <w:tcPr>
            <w:tcW w:w="100" w:type="dxa"/>
            <w:vAlign w:val="bottom"/>
            <w:tcBorders>
              <w:top w:val="single" w:sz="8" w:color="CFF0FC"/>
            </w:tcBorders>
          </w:tcPr>
          <w:p>
            <w:pPr>
              <w:spacing w:after="0"/>
              <w:rPr>
                <w:sz w:val="17"/>
                <w:szCs w:val="17"/>
                <w:color w:val="auto"/>
              </w:rPr>
            </w:pPr>
          </w:p>
        </w:tc>
      </w:tr>
      <w:tr>
        <w:trPr>
          <w:trHeight w:val="875"/>
        </w:trPr>
        <w:tc>
          <w:tcPr>
            <w:tcW w:w="506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F-57</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5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-2888615</wp:posOffset>
            </wp:positionV>
            <wp:extent cx="6858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-2888615</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-2888615</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2" w:name="page153"/>
    <w:bookmarkEnd w:id="15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December 31, 2024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Federal</w:t>
            </w:r>
          </w:p>
        </w:tc>
        <w:tc>
          <w:tcPr>
            <w:tcW w:w="24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4,007,114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2,743,462</w:t>
            </w:r>
          </w:p>
        </w:tc>
        <w:tc>
          <w:tcPr>
            <w:tcW w:w="1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6,750,576</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(3,187,829)</w:t>
            </w: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(2,156,325)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(5,344,154)</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(157,442)</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(146,744)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(304,186)</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3,254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(26,615)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(23,361)</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(249,759)</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(280,877)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(530,636)</w:t>
            </w:r>
          </w:p>
        </w:tc>
      </w:tr>
      <w:tr>
        <w:trPr>
          <w:trHeight w:val="20"/>
        </w:trPr>
        <w:tc>
          <w:tcPr>
            <w:tcW w:w="506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415,338</w:t>
            </w: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132,901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548,239</w:t>
            </w:r>
          </w:p>
        </w:tc>
        <w:tc>
          <w:tcPr>
            <w:tcW w:w="100" w:type="dxa"/>
            <w:vAlign w:val="bottom"/>
          </w:tcPr>
          <w:p>
            <w:pPr>
              <w:spacing w:after="0"/>
              <w:rPr>
                <w:sz w:val="17"/>
                <w:szCs w:val="17"/>
                <w:color w:val="auto"/>
              </w:rPr>
            </w:pPr>
          </w:p>
        </w:tc>
      </w:tr>
      <w:tr>
        <w:trPr>
          <w:trHeight w:val="177"/>
        </w:trPr>
        <w:tc>
          <w:tcPr>
            <w:tcW w:w="5760" w:type="dxa"/>
            <w:vAlign w:val="bottom"/>
            <w:gridSpan w:val="2"/>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56,714</w:t>
            </w:r>
          </w:p>
        </w:tc>
        <w:tc>
          <w:tcPr>
            <w:tcW w:w="100" w:type="dxa"/>
            <w:vAlign w:val="bottom"/>
          </w:tcPr>
          <w:p>
            <w:pPr>
              <w:spacing w:after="0"/>
              <w:rPr>
                <w:sz w:val="17"/>
                <w:szCs w:val="17"/>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(99,251)</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(40,154)</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(76,986)</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(61,492)</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(18,355)</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Transaction related costs (c)</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(17,138)</w:t>
            </w: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(912)</w:t>
            </w:r>
          </w:p>
        </w:tc>
      </w:tr>
      <w:tr>
        <w:trPr>
          <w:trHeight w:val="196"/>
        </w:trPr>
        <w:tc>
          <w:tcPr>
            <w:tcW w:w="5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7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290,665</w:t>
            </w:r>
          </w:p>
        </w:tc>
        <w:tc>
          <w:tcPr>
            <w:tcW w:w="100" w:type="dxa"/>
            <w:vAlign w:val="bottom"/>
            <w:tcBorders>
              <w:top w:val="single" w:sz="8" w:color="CFF0FC"/>
            </w:tcBorders>
          </w:tcPr>
          <w:p>
            <w:pPr>
              <w:spacing w:after="0"/>
              <w:rPr>
                <w:sz w:val="17"/>
                <w:szCs w:val="17"/>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(55,612)</w:t>
            </w:r>
          </w:p>
        </w:tc>
      </w:tr>
      <w:tr>
        <w:trPr>
          <w:trHeight w:val="196"/>
        </w:trPr>
        <w:tc>
          <w:tcPr>
            <w:tcW w:w="5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7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235,053</w:t>
            </w:r>
          </w:p>
        </w:tc>
        <w:tc>
          <w:tcPr>
            <w:tcW w:w="100" w:type="dxa"/>
            <w:vAlign w:val="bottom"/>
            <w:tcBorders>
              <w:top w:val="single" w:sz="8" w:color="CFF0FC"/>
            </w:tcBorders>
          </w:tcPr>
          <w:p>
            <w:pPr>
              <w:spacing w:after="0"/>
              <w:rPr>
                <w:sz w:val="17"/>
                <w:szCs w:val="17"/>
                <w:color w:val="auto"/>
              </w:rPr>
            </w:pPr>
          </w:p>
        </w:tc>
      </w:tr>
      <w:tr>
        <w:trPr>
          <w:trHeight w:val="875"/>
        </w:trPr>
        <w:tc>
          <w:tcPr>
            <w:tcW w:w="506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F-58</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5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-2887980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-2887980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December 31, 2023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Federal</w:t>
            </w:r>
          </w:p>
        </w:tc>
        <w:tc>
          <w:tcPr>
            <w:tcW w:w="24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3,020,701</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2,422,048</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5,442,749</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(2,375,350)</w:t>
            </w: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(1,861,385)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(4,236,735)</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(129,507)</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(129,747)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(259,254)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(51,941)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(47,751)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(230,784)</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(251,190)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(481,974)</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289,250</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127,785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417,035</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47,638</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(119,973)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(29,306)</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(56,138)</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(36,151)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(12,013)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(1,244)</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(1,933)</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207,915</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(46,766)</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161,149</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-1842770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-1842770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of selling, general and administrative expenses (“SG&amp;A”) is total SG&amp;A excluding allocations.</w:t>
      </w:r>
    </w:p>
    <w:p>
      <w:pPr>
        <w:spacing w:after="0" w:line="13" w:lineRule="exact"/>
        <w:rPr>
          <w:rFonts w:ascii="Arial" w:cs="Arial" w:eastAsia="Arial" w:hAnsi="Arial"/>
          <w:sz w:val="18"/>
          <w:szCs w:val="18"/>
          <w:color w:val="auto"/>
        </w:rPr>
      </w:pPr>
    </w:p>
    <w:p>
      <w:pPr>
        <w:ind w:left="520" w:right="440" w:hanging="512"/>
        <w:spacing w:after="0" w:line="234"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spacing w:after="0" w:line="2" w:lineRule="exact"/>
        <w:rPr>
          <w:rFonts w:ascii="Arial" w:cs="Arial" w:eastAsia="Arial" w:hAnsi="Arial"/>
          <w:sz w:val="18"/>
          <w:szCs w:val="18"/>
          <w:color w:val="auto"/>
        </w:rPr>
      </w:pPr>
    </w:p>
    <w:p>
      <w:pPr>
        <w:ind w:left="1260" w:hanging="503"/>
        <w:spacing w:after="0" w:line="234" w:lineRule="auto"/>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Corporate and shared segment SG&amp;A (excluding Adjusted EBITDA items)</w:t>
      </w:r>
    </w:p>
    <w:p>
      <w:pPr>
        <w:ind w:left="1260" w:hanging="503"/>
        <w:spacing w:after="0" w:line="234" w:lineRule="auto"/>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Noncontrolling interests attributable to operating income and other income/expense</w:t>
      </w:r>
    </w:p>
    <w:p>
      <w:pPr>
        <w:ind w:left="1260" w:hanging="503"/>
        <w:spacing w:after="0" w:line="234" w:lineRule="auto"/>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Bad debt expense</w:t>
      </w:r>
    </w:p>
    <w:p>
      <w:pPr>
        <w:ind w:left="1260" w:hanging="503"/>
        <w:spacing w:after="0" w:line="234" w:lineRule="auto"/>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Sublease income</w:t>
      </w:r>
    </w:p>
    <w:p>
      <w:pPr>
        <w:ind w:left="1260" w:hanging="503"/>
        <w:spacing w:after="0" w:line="234" w:lineRule="auto"/>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Foreign currency gain/loss, and</w:t>
      </w:r>
    </w:p>
    <w:p>
      <w:pPr>
        <w:ind w:left="1260" w:hanging="503"/>
        <w:spacing w:after="0" w:line="234" w:lineRule="auto"/>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Certain other income/expense items</w:t>
      </w:r>
    </w:p>
    <w:p>
      <w:pPr>
        <w:ind w:left="520" w:right="220" w:hanging="512"/>
        <w:spacing w:after="0" w:line="234"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ind w:left="520" w:right="240" w:hanging="512"/>
        <w:spacing w:after="0" w:line="250"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4" w:name="page155"/>
    <w:bookmarkEnd w:id="15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2025,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revenues and property and equipment, net by geographic area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North America</w:t>
            </w:r>
          </w:p>
        </w:tc>
        <w:tc>
          <w:tcPr>
            <w:tcW w:w="22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5,182,232</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5,677,933</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4,481,492</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Middle East</w:t>
            </w:r>
          </w:p>
        </w:tc>
        <w:tc>
          <w:tcPr>
            <w:tcW w:w="1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1,162,213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1,052,509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943,175</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Rest of World</w:t>
            </w:r>
          </w:p>
        </w:tc>
        <w:tc>
          <w:tcPr>
            <w:tcW w:w="1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19,800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20,134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18,082</w:t>
            </w:r>
          </w:p>
        </w:tc>
        <w:tc>
          <w:tcPr>
            <w:tcW w:w="100" w:type="dxa"/>
            <w:vAlign w:val="bottom"/>
          </w:tcPr>
          <w:p>
            <w:pPr>
              <w:spacing w:after="0"/>
              <w:rPr>
                <w:sz w:val="17"/>
                <w:szCs w:val="17"/>
                <w:color w:val="auto"/>
              </w:rPr>
            </w:pPr>
          </w:p>
        </w:tc>
      </w:tr>
      <w:tr>
        <w:trPr>
          <w:trHeight w:val="23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22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6,364,245</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6,750,576</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5,442,749</w:t>
            </w:r>
          </w:p>
        </w:tc>
        <w:tc>
          <w:tcPr>
            <w:tcW w:w="100" w:type="dxa"/>
            <w:vAlign w:val="bottom"/>
            <w:shd w:val="clear" w:color="auto" w:fill="CFF0FC"/>
          </w:tcPr>
          <w:p>
            <w:pPr>
              <w:spacing w:after="0"/>
              <w:rPr>
                <w:sz w:val="20"/>
                <w:szCs w:val="20"/>
                <w:color w:val="auto"/>
              </w:rPr>
            </w:pPr>
          </w:p>
        </w:tc>
      </w:tr>
      <w:tr>
        <w:trPr>
          <w:trHeight w:val="183"/>
        </w:trPr>
        <w:tc>
          <w:tcPr>
            <w:tcW w:w="46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Property and equipment, net</w:t>
            </w:r>
          </w:p>
        </w:tc>
        <w:tc>
          <w:tcPr>
            <w:tcW w:w="19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4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North America</w:t>
            </w:r>
          </w:p>
        </w:tc>
        <w:tc>
          <w:tcPr>
            <w:tcW w:w="22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137,894</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101,044</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91,766</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Middle East</w:t>
            </w:r>
          </w:p>
        </w:tc>
        <w:tc>
          <w:tcPr>
            <w:tcW w:w="1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13,167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7,191</w:t>
            </w:r>
          </w:p>
        </w:tc>
        <w:tc>
          <w:tcPr>
            <w:tcW w:w="100" w:type="dxa"/>
            <w:vAlign w:val="bottom"/>
          </w:tcPr>
          <w:p>
            <w:pPr>
              <w:spacing w:after="0"/>
              <w:rPr>
                <w:sz w:val="17"/>
                <w:szCs w:val="17"/>
                <w:color w:val="auto"/>
              </w:rPr>
            </w:pPr>
          </w:p>
        </w:tc>
      </w:tr>
      <w:tr>
        <w:trPr>
          <w:trHeight w:val="21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22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151,061</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111,575</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98,957</w:t>
            </w:r>
          </w:p>
        </w:tc>
        <w:tc>
          <w:tcPr>
            <w:tcW w:w="10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-574040</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-556895</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-574040</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-556895</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North America revenue includes $4.7 billion, $5.2 billion and $4.1 billion of United States revenue for the years ended December 31, 2025, December 31, 2024 and December 31, 2023, respectively. North America property and equipment, net includes $130.5 million, $94.0 million and $83.9 million of property and equipment, net in the United States at December 31, 2025, December 31, 2024 and December 31, 2023, respectively.</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340"/>
              <w:spacing w:after="0" w:line="202" w:lineRule="exact"/>
              <w:rPr>
                <w:sz w:val="20"/>
                <w:szCs w:val="20"/>
                <w:color w:val="auto"/>
              </w:rPr>
            </w:pPr>
            <w:r>
              <w:rPr>
                <w:rFonts w:ascii="Arial" w:cs="Arial" w:eastAsia="Arial" w:hAnsi="Arial"/>
                <w:sz w:val="18"/>
                <w:szCs w:val="18"/>
                <w:color w:val="auto"/>
              </w:rPr>
              <w:t>Defense &amp; Intelligence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220"/>
              <w:spacing w:after="0" w:line="202" w:lineRule="exact"/>
              <w:rPr>
                <w:sz w:val="20"/>
                <w:szCs w:val="20"/>
                <w:color w:val="auto"/>
              </w:rPr>
            </w:pPr>
            <w:r>
              <w:rPr>
                <w:rFonts w:ascii="Arial" w:cs="Arial" w:eastAsia="Arial" w:hAnsi="Arial"/>
                <w:sz w:val="18"/>
                <w:szCs w:val="18"/>
                <w:color w:val="auto"/>
                <w:w w:val="99"/>
              </w:rPr>
              <w:t>1,872,635</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ind w:left="220"/>
              <w:spacing w:after="0" w:line="202" w:lineRule="exact"/>
              <w:rPr>
                <w:sz w:val="20"/>
                <w:szCs w:val="20"/>
                <w:color w:val="auto"/>
              </w:rPr>
            </w:pPr>
            <w:r>
              <w:rPr>
                <w:rFonts w:ascii="Arial" w:cs="Arial" w:eastAsia="Arial" w:hAnsi="Arial"/>
                <w:sz w:val="18"/>
                <w:szCs w:val="18"/>
                <w:color w:val="auto"/>
                <w:w w:val="99"/>
              </w:rPr>
              <w:t>1,772,481</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1,539,968</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Engineered Systems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ind w:left="220"/>
              <w:spacing w:after="0" w:line="202" w:lineRule="exact"/>
              <w:rPr>
                <w:sz w:val="20"/>
                <w:szCs w:val="20"/>
                <w:color w:val="auto"/>
              </w:rPr>
            </w:pPr>
            <w:r>
              <w:rPr>
                <w:rFonts w:ascii="Arial" w:cs="Arial" w:eastAsia="Arial" w:hAnsi="Arial"/>
                <w:sz w:val="18"/>
                <w:szCs w:val="18"/>
                <w:color w:val="auto"/>
                <w:w w:val="99"/>
              </w:rPr>
              <w:t>1,348,162</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ind w:left="220"/>
              <w:spacing w:after="0" w:line="202" w:lineRule="exact"/>
              <w:rPr>
                <w:sz w:val="20"/>
                <w:szCs w:val="20"/>
                <w:color w:val="auto"/>
              </w:rPr>
            </w:pPr>
            <w:r>
              <w:rPr>
                <w:rFonts w:ascii="Arial" w:cs="Arial" w:eastAsia="Arial" w:hAnsi="Arial"/>
                <w:sz w:val="18"/>
                <w:szCs w:val="18"/>
                <w:color w:val="auto"/>
                <w:w w:val="99"/>
              </w:rPr>
              <w:t>2,234,633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1,480,733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180"/>
              <w:spacing w:after="0" w:line="196" w:lineRule="exact"/>
              <w:rPr>
                <w:sz w:val="20"/>
                <w:szCs w:val="20"/>
                <w:color w:val="auto"/>
              </w:rPr>
            </w:pPr>
            <w:r>
              <w:rPr>
                <w:rFonts w:ascii="Arial" w:cs="Arial" w:eastAsia="Arial" w:hAnsi="Arial"/>
                <w:sz w:val="18"/>
                <w:szCs w:val="18"/>
                <w:color w:val="auto"/>
              </w:rPr>
              <w:t>Federal Solutions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w w:val="99"/>
              </w:rPr>
              <w:t>3,220,797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w w:val="99"/>
              </w:rPr>
              <w:t>4,007,114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3,020,701</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Infrastructure – North America</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w w:val="99"/>
              </w:rPr>
              <w:t>1,973,356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w w:val="99"/>
              </w:rPr>
              <w:t>1,683,664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1,472,768</w:t>
            </w:r>
          </w:p>
        </w:tc>
        <w:tc>
          <w:tcPr>
            <w:tcW w:w="100" w:type="dxa"/>
            <w:vAlign w:val="bottom"/>
            <w:shd w:val="clear" w:color="auto" w:fill="CFF0FC"/>
          </w:tcPr>
          <w:p>
            <w:pPr>
              <w:spacing w:after="0"/>
              <w:rPr>
                <w:sz w:val="17"/>
                <w:szCs w:val="17"/>
                <w:color w:val="auto"/>
              </w:rPr>
            </w:pPr>
          </w:p>
        </w:tc>
      </w:tr>
      <w:tr>
        <w:trPr>
          <w:trHeight w:val="202"/>
        </w:trPr>
        <w:tc>
          <w:tcPr>
            <w:tcW w:w="6640" w:type="dxa"/>
            <w:vAlign w:val="bottom"/>
          </w:tcPr>
          <w:p>
            <w:pPr>
              <w:ind w:left="340"/>
              <w:spacing w:after="0" w:line="202" w:lineRule="exact"/>
              <w:rPr>
                <w:sz w:val="20"/>
                <w:szCs w:val="20"/>
                <w:color w:val="auto"/>
              </w:rPr>
            </w:pPr>
            <w:r>
              <w:rPr>
                <w:rFonts w:ascii="Arial" w:cs="Arial" w:eastAsia="Arial" w:hAnsi="Arial"/>
                <w:sz w:val="18"/>
                <w:szCs w:val="18"/>
                <w:color w:val="auto"/>
              </w:rPr>
              <w:t>Infrastructure – Europe, Middle East and Africa</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w w:val="99"/>
              </w:rPr>
              <w:t>1,170,092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w w:val="99"/>
              </w:rPr>
              <w:t>1,059,798</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949,280</w:t>
            </w:r>
          </w:p>
        </w:tc>
        <w:tc>
          <w:tcPr>
            <w:tcW w:w="100" w:type="dxa"/>
            <w:vAlign w:val="bottom"/>
          </w:tcPr>
          <w:p>
            <w:pPr>
              <w:spacing w:after="0"/>
              <w:rPr>
                <w:sz w:val="17"/>
                <w:szCs w:val="17"/>
                <w:color w:val="auto"/>
              </w:rPr>
            </w:pPr>
          </w:p>
        </w:tc>
      </w:tr>
      <w:tr>
        <w:trPr>
          <w:trHeight w:val="196"/>
        </w:trPr>
        <w:tc>
          <w:tcPr>
            <w:tcW w:w="66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Critical Infrastructure revenues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ind w:left="220"/>
              <w:spacing w:after="0" w:line="196" w:lineRule="exact"/>
              <w:rPr>
                <w:sz w:val="20"/>
                <w:szCs w:val="20"/>
                <w:color w:val="auto"/>
              </w:rPr>
            </w:pPr>
            <w:r>
              <w:rPr>
                <w:rFonts w:ascii="Arial" w:cs="Arial" w:eastAsia="Arial" w:hAnsi="Arial"/>
                <w:sz w:val="18"/>
                <w:szCs w:val="18"/>
                <w:color w:val="auto"/>
                <w:w w:val="99"/>
              </w:rPr>
              <w:t>3,143,448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ind w:left="220"/>
              <w:spacing w:after="0" w:line="196" w:lineRule="exact"/>
              <w:rPr>
                <w:sz w:val="20"/>
                <w:szCs w:val="20"/>
                <w:color w:val="auto"/>
              </w:rPr>
            </w:pPr>
            <w:r>
              <w:rPr>
                <w:rFonts w:ascii="Arial" w:cs="Arial" w:eastAsia="Arial" w:hAnsi="Arial"/>
                <w:sz w:val="18"/>
                <w:szCs w:val="18"/>
                <w:color w:val="auto"/>
                <w:w w:val="99"/>
              </w:rPr>
              <w:t>2,743,462</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2,422,048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ind w:left="220"/>
              <w:spacing w:after="0" w:line="196" w:lineRule="exact"/>
              <w:rPr>
                <w:sz w:val="20"/>
                <w:szCs w:val="20"/>
                <w:color w:val="auto"/>
              </w:rPr>
            </w:pPr>
            <w:r>
              <w:rPr>
                <w:rFonts w:ascii="Arial" w:cs="Arial" w:eastAsia="Arial" w:hAnsi="Arial"/>
                <w:sz w:val="18"/>
                <w:szCs w:val="18"/>
                <w:color w:val="auto"/>
                <w:w w:val="99"/>
              </w:rPr>
              <w:t>6,364,245</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ind w:left="220"/>
              <w:spacing w:after="0" w:line="196" w:lineRule="exact"/>
              <w:rPr>
                <w:sz w:val="20"/>
                <w:szCs w:val="20"/>
                <w:color w:val="auto"/>
              </w:rPr>
            </w:pPr>
            <w:r>
              <w:rPr>
                <w:rFonts w:ascii="Arial" w:cs="Arial" w:eastAsia="Arial" w:hAnsi="Arial"/>
                <w:sz w:val="18"/>
                <w:szCs w:val="18"/>
                <w:color w:val="auto"/>
                <w:w w:val="99"/>
              </w:rPr>
              <w:t>6,750,576</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5,442,749</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-702310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-702310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-161925</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-161925</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Effective October 1, 2023, the Company reorganized its Critical Infrastructure business units from Mobility Solutions and Connected Communities to Infrastructure – North America and Infrastructure – Europe, Middle East and Africa. The 2023 information in the table above has been reclassified to conform to the business unit changes.</w:t>
      </w:r>
    </w:p>
    <w:p>
      <w:pPr>
        <w:spacing w:after="0" w:line="277"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4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After the year ended December 31, 2025, the Company entered into a merger agreement to acquire a 100% ownership interest in Altamira Technologies Corporation ("ATC") for approximately $340 million. Headquartered in McLean, Virginia ATC specializes in missile warning, AI/ML-enabled analytics, space-based mission support, and SIGINT/cyber operations. At the time of the filing of this Form 10-K, the Company has just started the process of obtaining the relevant data to make the required acquisition related disclosures.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5" w:name="page156"/>
    <w:bookmarkEnd w:id="155"/>
    <w:p>
      <w:pPr>
        <w:ind w:left="356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and foreign</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3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Deductions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exchange impact</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 of period</w:t>
            </w:r>
          </w:p>
        </w:tc>
      </w:tr>
      <w:tr>
        <w:trPr>
          <w:trHeight w:val="196"/>
        </w:trPr>
        <w:tc>
          <w:tcPr>
            <w:tcW w:w="3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4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3,886</w:t>
            </w:r>
          </w:p>
        </w:tc>
        <w:tc>
          <w:tcPr>
            <w:tcW w:w="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3,886</w:t>
            </w:r>
          </w:p>
        </w:tc>
      </w:tr>
      <w:tr>
        <w:trPr>
          <w:trHeight w:val="203"/>
        </w:trPr>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45,318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6,850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(2,343)</w:t>
            </w:r>
          </w:p>
        </w:tc>
        <w:tc>
          <w:tcPr>
            <w:tcW w:w="4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733</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50,558</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3,952</w:t>
            </w: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(66)</w:t>
            </w:r>
          </w:p>
        </w:tc>
        <w:tc>
          <w:tcPr>
            <w:tcW w:w="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3,886</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34,779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(328)</w:t>
            </w:r>
          </w:p>
        </w:tc>
        <w:tc>
          <w:tcPr>
            <w:tcW w:w="48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(585)</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45,318</w:t>
            </w:r>
          </w:p>
        </w:tc>
      </w:tr>
      <w:tr>
        <w:trPr>
          <w:trHeight w:val="203"/>
        </w:trPr>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2023</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48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3,952</w:t>
            </w:r>
          </w:p>
        </w:tc>
      </w:tr>
      <w:tr>
        <w:trPr>
          <w:trHeight w:val="203"/>
        </w:trPr>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5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28,705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8,209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(2,437)</w:t>
            </w:r>
          </w:p>
        </w:tc>
        <w:tc>
          <w:tcPr>
            <w:tcW w:w="4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34,779</w:t>
            </w:r>
          </w:p>
        </w:tc>
      </w:tr>
      <w:tr>
        <w:trPr>
          <w:trHeight w:val="882"/>
        </w:trPr>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F-61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3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10.72</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TWELFTH AMENDMENT TO THE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PARSONS CORPORATION RETIREMENT SAVINGS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35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20"/>
          <w:szCs w:val="20"/>
          <w:color w:val="auto"/>
        </w:rPr>
        <w:t>The Parsons Corporation Retirement Savings Plan (2017 Amendment and Restatement), as previously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hereby amended as follows:</w:t>
      </w:r>
    </w:p>
    <w:p>
      <w:pPr>
        <w:spacing w:after="0" w:line="78" w:lineRule="exact"/>
        <w:rPr>
          <w:sz w:val="20"/>
          <w:szCs w:val="20"/>
          <w:color w:val="auto"/>
        </w:rPr>
      </w:pPr>
    </w:p>
    <w:p>
      <w:pPr>
        <w:ind w:left="760" w:right="140" w:hanging="378"/>
        <w:spacing w:after="0" w:line="250"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hereby amended to change the address of Parsons Corporation to 14291 Park Meadow Drive, Suite 100, Chantilly, VA 20151.</w:t>
      </w:r>
    </w:p>
    <w:p>
      <w:pPr>
        <w:spacing w:after="0" w:line="1" w:lineRule="exact"/>
        <w:rPr>
          <w:rFonts w:ascii="Times New Roman" w:cs="Times New Roman" w:eastAsia="Times New Roman" w:hAnsi="Times New Roman"/>
          <w:sz w:val="20"/>
          <w:szCs w:val="20"/>
          <w:color w:val="auto"/>
        </w:rPr>
      </w:pPr>
    </w:p>
    <w:p>
      <w:pPr>
        <w:ind w:left="760" w:right="20" w:hanging="378"/>
        <w:spacing w:after="0" w:line="239"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with contributions to the Plan to be made for the 2025 Plan Year, the Plan is amended to provide that Employer matching contributions are made and allocated after the end of each quarter during the Plan Year (March 31, June 30, September 30 and December 31) in which a Plan participant’s account was credited with the participant’s deferral contributions, rather than only at the end of the Plan Year.</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of the Plan, and all previous amendments thereto, shall remain in full force and effect.</w:t>
      </w: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Exhibit 10.72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21 day of January 2025.</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06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1026795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69"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10.73</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THIRTEENTH AMENDMENT TO THE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PARSONS CORPORATION RETIREMENT SAVINGS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35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20"/>
          <w:szCs w:val="20"/>
          <w:color w:val="auto"/>
        </w:rPr>
        <w:t>The Parsons Corporation Retirement Savings Plan (2017 Amendment and Restatement), as previously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hereby amended as follows:</w:t>
      </w:r>
    </w:p>
    <w:p>
      <w:pPr>
        <w:spacing w:after="0" w:line="78" w:lineRule="exact"/>
        <w:rPr>
          <w:sz w:val="20"/>
          <w:szCs w:val="20"/>
          <w:color w:val="auto"/>
        </w:rPr>
      </w:pPr>
    </w:p>
    <w:p>
      <w:pPr>
        <w:ind w:left="760" w:right="20" w:hanging="378"/>
        <w:spacing w:after="0" w:line="258" w:lineRule="auto"/>
        <w:tabs>
          <w:tab w:leader="none" w:pos="7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furtherance of the Twelfth Amendment to the Parsons Corporation Retirement Savings Plan (2017 Amendment and Restatement) approved by the Board of Directors on January 20, 2025, the Plan is amended to provide that Employer matching contributions are made on the last business day of the month following the end of each quarter during the Plan Year (March 31, June 30, September 30 and December 31) in which a Plan participant’s account was credited with the participant’s deferral contributions.</w:t>
      </w:r>
    </w:p>
    <w:p>
      <w:pPr>
        <w:ind w:left="760" w:hanging="378"/>
        <w:spacing w:after="0" w:line="239" w:lineRule="auto"/>
        <w:tabs>
          <w:tab w:leader="none" w:pos="7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will be an additional matching contribution on the last business day of the month following the end of the Plan year for the purpose of making any necessary adjustments for participants receiving quarterly matching contributions over the course of the Plan year that were, in the aggregate, less than the participant would have received if the calculations had been made annually. In such event, the affected participant will receive a contribution to address any such shortfall.</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of the Plan, and all previous amendments thereto, shall remain in full force and effect.</w:t>
      </w: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10.73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14th day of April 2025.</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06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1026795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69"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Exhibit 10.74</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FOURTEENTH AMENDMENT TO THE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PARSONS CORPORATION RETIREMENT SAVINGS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35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20"/>
          <w:szCs w:val="20"/>
          <w:color w:val="auto"/>
        </w:rPr>
        <w:t>The Parsons Corporation Retirement Savings Plan (2017 Amendment and Restatement), as previously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hereby amended as follows:</w:t>
      </w:r>
    </w:p>
    <w:p>
      <w:pPr>
        <w:spacing w:after="0" w:line="78" w:lineRule="exact"/>
        <w:rPr>
          <w:sz w:val="20"/>
          <w:szCs w:val="20"/>
          <w:color w:val="auto"/>
        </w:rPr>
      </w:pPr>
    </w:p>
    <w:p>
      <w:pPr>
        <w:ind w:left="580" w:right="280" w:hanging="378"/>
        <w:spacing w:after="0" w:line="247" w:lineRule="auto"/>
        <w:tabs>
          <w:tab w:leader="none" w:pos="5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amended effective July 1, 2025 to accept the following legal entities as participating employers in the Plan: BCC Engineering, Inc. and Cromulence LLC and provide eligibility for the employees of BCC Engineering,Inc and Cromulence LLC to participate in the Plan.</w:t>
      </w:r>
    </w:p>
    <w:p>
      <w:pPr>
        <w:ind w:left="580" w:hanging="378"/>
        <w:spacing w:after="0"/>
        <w:tabs>
          <w:tab w:leader="none" w:pos="5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amended effective July 1, 2025 the BCC Engineering Inc. Retirement Plan and Trust is merged into this Plan</w:t>
      </w:r>
    </w:p>
    <w:p>
      <w:pPr>
        <w:ind w:left="580" w:right="80" w:hanging="378"/>
        <w:spacing w:after="0" w:line="239" w:lineRule="auto"/>
        <w:tabs>
          <w:tab w:leader="none" w:pos="5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amended effective July 2, 2025 to provide eligibility for the employees of Silver Palm Technologies LLC to participate in the Plan.</w:t>
      </w:r>
    </w:p>
    <w:p>
      <w:pPr>
        <w:ind w:left="580" w:hanging="378"/>
        <w:spacing w:after="0" w:line="239" w:lineRule="auto"/>
        <w:tabs>
          <w:tab w:leader="none" w:pos="5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amended effective July 4, 2025 to provide eligibility for the employees of Blue Ridge Envisioneering, Inc. to participate in the Plan.</w:t>
      </w:r>
    </w:p>
    <w:p>
      <w:pPr>
        <w:ind w:left="580" w:hanging="378"/>
        <w:spacing w:after="0"/>
        <w:tabs>
          <w:tab w:leader="none" w:pos="5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of the Plan, and all previous amendments thereto, shall remain in full force and effect.</w:t>
      </w: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Exhibit 10.74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___ day of June 2025.</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06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1026795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69"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Exhibit 10.75</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FIFTEENTH AMENDMENT TO THE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PARSONS CORPORATION RETIREMENT SAVINGS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35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20"/>
          <w:szCs w:val="20"/>
          <w:color w:val="auto"/>
        </w:rPr>
        <w:t>The Parsons Corporation Retirement Savings Plan (2017 Amendment and Restatement), as previously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hereby amended as follows:</w:t>
      </w:r>
    </w:p>
    <w:p>
      <w:pPr>
        <w:spacing w:after="0" w:line="78" w:lineRule="exact"/>
        <w:rPr>
          <w:sz w:val="20"/>
          <w:szCs w:val="20"/>
          <w:color w:val="auto"/>
        </w:rPr>
      </w:pPr>
    </w:p>
    <w:p>
      <w:pPr>
        <w:ind w:left="580" w:right="80" w:hanging="378"/>
        <w:spacing w:after="0" w:line="250" w:lineRule="auto"/>
        <w:tabs>
          <w:tab w:leader="none" w:pos="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amended effective October 1, 2025 to merge the Blue Ridge Envisioneering 401(k) Plan, and the assets contained therein, into the Plan.</w:t>
      </w:r>
    </w:p>
    <w:p>
      <w:pPr>
        <w:spacing w:after="0" w:line="1" w:lineRule="exact"/>
        <w:rPr>
          <w:rFonts w:ascii="Times New Roman" w:cs="Times New Roman" w:eastAsia="Times New Roman" w:hAnsi="Times New Roman"/>
          <w:sz w:val="20"/>
          <w:szCs w:val="20"/>
          <w:color w:val="auto"/>
        </w:rPr>
      </w:pPr>
    </w:p>
    <w:p>
      <w:pPr>
        <w:ind w:left="580" w:right="740" w:hanging="378"/>
        <w:spacing w:after="0" w:line="239" w:lineRule="auto"/>
        <w:tabs>
          <w:tab w:leader="none" w:pos="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Plain is amended effective October 1, 2025 to merge the Cromulence LLC 401(k) and Profit Sharing Plan, and the assets contained therein, into the Plan.</w:t>
      </w:r>
    </w:p>
    <w:p>
      <w:pPr>
        <w:ind w:left="580" w:hanging="378"/>
        <w:spacing w:after="0"/>
        <w:tabs>
          <w:tab w:leader="none" w:pos="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of the Plan, and all previous amendments thereto, shall remain in full force and effect.</w:t>
      </w: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Exhibit 10.75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___ day of June 2025.</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06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1026795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69"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Exhibit 10.76</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SIXTEENTH AMENDMENT TO THE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PARSONS CORPORATION RETIREMENT SAVINGS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35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20"/>
          <w:szCs w:val="20"/>
          <w:color w:val="auto"/>
        </w:rPr>
        <w:t>The Parsons Corporation Retirement Savings Plan (2017 Amendment and Restatement), as previously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hereby amended as follows:</w:t>
      </w:r>
    </w:p>
    <w:p>
      <w:pPr>
        <w:spacing w:after="0" w:line="78" w:lineRule="exact"/>
        <w:rPr>
          <w:sz w:val="20"/>
          <w:szCs w:val="20"/>
          <w:color w:val="auto"/>
        </w:rPr>
      </w:pPr>
    </w:p>
    <w:p>
      <w:pPr>
        <w:ind w:left="580" w:right="20" w:hanging="378"/>
        <w:spacing w:after="0" w:line="247" w:lineRule="auto"/>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was amended effective October 1, 2025, to merge the Blue Ridge Envisioneering 401(k) Plan, and the assets contained therein, into the Plan. This amendment did not affect the Deemed Severance Distribution, which is a Protected Benefit under the Blue Ridge Envisioneering 401(k) Plan and, thus remains a Protected Benefit under the Plan.</w:t>
      </w:r>
    </w:p>
    <w:p>
      <w:pPr>
        <w:ind w:left="580" w:right="480" w:hanging="378"/>
        <w:spacing w:after="0" w:line="239" w:lineRule="auto"/>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amended effective October 1, 2025, to merge the Cromulence LLC 401(k) and Profit-Sharing Plan, and the assets contained therein, into the Plan. This amendment did not affect the Deemed Severance Distribution, which is a Protected Benefit under the Croumulence LLC 401(k) Plan, and, thus, remains a Protect Benefit under the Plan.</w:t>
      </w:r>
    </w:p>
    <w:p>
      <w:pPr>
        <w:spacing w:after="0" w:line="1" w:lineRule="exact"/>
        <w:rPr>
          <w:rFonts w:ascii="Times New Roman" w:cs="Times New Roman" w:eastAsia="Times New Roman" w:hAnsi="Times New Roman"/>
          <w:sz w:val="20"/>
          <w:szCs w:val="20"/>
          <w:color w:val="auto"/>
        </w:rPr>
      </w:pPr>
    </w:p>
    <w:p>
      <w:pPr>
        <w:ind w:left="580" w:right="220" w:hanging="378"/>
        <w:spacing w:after="0" w:line="239" w:lineRule="auto"/>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amended effective January 1, 2026, to merge the TRS Group, Inc. 401(k) Plan, and the assets contained therein, into the Plan. This amendment does not affect the Deemed Severance Distribution, which is a Protected Benefit under the TRS Group, Inc. 401(k) Plan, and, thus, remains a Protected Benefit under the Plan.</w:t>
      </w:r>
    </w:p>
    <w:p>
      <w:pPr>
        <w:spacing w:after="0" w:line="1" w:lineRule="exact"/>
        <w:rPr>
          <w:rFonts w:ascii="Times New Roman" w:cs="Times New Roman" w:eastAsia="Times New Roman" w:hAnsi="Times New Roman"/>
          <w:sz w:val="20"/>
          <w:szCs w:val="20"/>
          <w:color w:val="auto"/>
        </w:rPr>
      </w:pPr>
    </w:p>
    <w:p>
      <w:pPr>
        <w:ind w:left="580" w:hanging="378"/>
        <w:spacing w:after="0"/>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of the Plan, and all previous amendments thereto, shall remain in full force and effect.</w:t>
      </w: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October, 2026.</w:t>
      </w:r>
    </w:p>
    <w:p>
      <w:pPr>
        <w:spacing w:after="0" w:line="1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06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1026795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69"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20" w:type="dxa"/>
            <w:vAlign w:val="bottom"/>
            <w:gridSpan w:val="4"/>
          </w:tcPr>
          <w:p>
            <w:pPr>
              <w:ind w:left="262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393"/>
        </w:trPr>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4720" w:type="dxa"/>
            <w:vAlign w:val="bottom"/>
            <w:gridSpan w:val="3"/>
          </w:tcPr>
          <w:p>
            <w:pPr>
              <w:ind w:left="220"/>
              <w:spacing w:after="0"/>
              <w:rPr>
                <w:sz w:val="20"/>
                <w:szCs w:val="20"/>
                <w:color w:val="auto"/>
              </w:rPr>
            </w:pPr>
            <w:r>
              <w:rPr>
                <w:rFonts w:ascii="Arial" w:cs="Arial" w:eastAsia="Arial" w:hAnsi="Arial"/>
                <w:sz w:val="18"/>
                <w:szCs w:val="18"/>
                <w:b w:val="1"/>
                <w:bCs w:val="1"/>
                <w:color w:val="auto"/>
              </w:rPr>
              <w:t>Registered Jurisdiction</w:t>
            </w:r>
          </w:p>
        </w:tc>
      </w:tr>
      <w:tr>
        <w:trPr>
          <w:trHeight w:val="218"/>
        </w:trPr>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Altamira</w:t>
            </w:r>
          </w:p>
        </w:tc>
        <w:tc>
          <w:tcPr>
            <w:tcW w:w="5500" w:type="dxa"/>
            <w:vAlign w:val="bottom"/>
          </w:tcPr>
          <w:p>
            <w:pPr>
              <w:spacing w:after="0"/>
              <w:rPr>
                <w:sz w:val="20"/>
                <w:szCs w:val="20"/>
                <w:color w:val="auto"/>
              </w:rPr>
            </w:pPr>
            <w:r>
              <w:rPr>
                <w:rFonts w:ascii="Arial" w:cs="Arial" w:eastAsia="Arial" w:hAnsi="Arial"/>
                <w:sz w:val="18"/>
                <w:szCs w:val="18"/>
                <w:color w:val="auto"/>
              </w:rPr>
              <w:t>Intermediate Company I, Inc.</w:t>
            </w:r>
          </w:p>
        </w:tc>
        <w:tc>
          <w:tcPr>
            <w:tcW w:w="220" w:type="dxa"/>
            <w:vAlign w:val="bottom"/>
          </w:tcPr>
          <w:p>
            <w:pPr>
              <w:spacing w:after="0"/>
              <w:rPr>
                <w:sz w:val="18"/>
                <w:szCs w:val="18"/>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2500" w:type="dxa"/>
            <w:vAlign w:val="bottom"/>
          </w:tcPr>
          <w:p>
            <w:pPr>
              <w:spacing w:after="0"/>
              <w:rPr>
                <w:sz w:val="18"/>
                <w:szCs w:val="18"/>
                <w:color w:val="auto"/>
              </w:rPr>
            </w:pP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Altamira Intermediate Company II,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Altamira Technologies Corporation</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Amplus Corporation</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APG Technologies,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Applied Sciences Consulting,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Florida</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Asymmetric Technologies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Maryland</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BCC Engineering Acquisition Corporation</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BCC Engineering Holding Corporation</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BCC Engineering,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Florida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Black Signal Technologies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Blackhorse, A Parsons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Blue Ridge Envisioneering,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Bonifica S.P.A.</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Italy</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Braxton Science &amp; Technology Group,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Colorado</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Braxton Technologies,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Colorado</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Bright Star For Engineering Services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Iraq, Republic of</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Chesapeake Technology International, Corp.</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Maryland</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CMX TECHNOLOGIES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Command Engineering International Limited</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Ontario</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Cromulence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Florida</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De Leuw, Cather International Limited</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Delcan Corporation</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Illinois</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Delcan Technologies,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Georgia</w:t>
            </w:r>
          </w:p>
        </w:tc>
      </w:tr>
      <w:tr>
        <w:trPr>
          <w:trHeight w:val="203"/>
        </w:trPr>
        <w:tc>
          <w:tcPr>
            <w:tcW w:w="10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Diqqat Al Hilool for Engineering and Technical Services, Project Management</w:t>
            </w:r>
          </w:p>
        </w:tc>
        <w:tc>
          <w:tcPr>
            <w:tcW w:w="47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Iraq, Republic of</w:t>
            </w:r>
          </w:p>
        </w:tc>
      </w:tr>
      <w:tr>
        <w:trPr>
          <w:trHeight w:val="239"/>
        </w:trPr>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and Electronic Equipment Supply LLC</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47"/>
        </w:trPr>
        <w:tc>
          <w:tcPr>
            <w:tcW w:w="10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Echo Ridge,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Engineering Financing Services,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First Defense Services Pte. Ltd.</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Singapore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Fourth Dimension Engineering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Heath &amp; Lineback Engineers,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Georgia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Holding S.r.L.</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Italy</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 S. Engineers,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Texas</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INCADENCE STRATEGIC SOLUTIONS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Ingenicomm,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IPKeys Power Partners,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Lakes Engineering,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Florida</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Marigold Infrastructure Partners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Alberta</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NDP,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Colorado</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New Millenium Engineering,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Florida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 &amp; M Consulting Engineering, P.S.C.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Puerto Rico</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OGSystems,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Paragon Communications Solutions LLC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PARCAN,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Parsons 401Hot GP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Ontario</w:t>
            </w:r>
          </w:p>
        </w:tc>
      </w:tr>
      <w:tr>
        <w:trPr>
          <w:trHeight w:val="229"/>
        </w:trPr>
        <w:tc>
          <w:tcPr>
            <w:tcW w:w="10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Parsons 401Hot Limited Partnership</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Ontario</w:t>
            </w:r>
          </w:p>
        </w:tc>
      </w:tr>
      <w:tr>
        <w:trPr>
          <w:trHeight w:val="239"/>
        </w:trPr>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Parsons Architectural Services Inc.</w:t>
            </w: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Alberta</w:t>
            </w:r>
          </w:p>
        </w:tc>
      </w:tr>
      <w:tr>
        <w:trPr>
          <w:trHeight w:val="1421"/>
        </w:trPr>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Exhibit 21.1</w:t>
            </w:r>
          </w:p>
        </w:tc>
        <w:tc>
          <w:tcPr>
            <w:tcW w:w="5180" w:type="dxa"/>
            <w:vAlign w:val="bottom"/>
          </w:tcPr>
          <w:p>
            <w:pPr>
              <w:spacing w:after="0"/>
              <w:rPr>
                <w:sz w:val="20"/>
                <w:szCs w:val="20"/>
                <w:color w:val="auto"/>
              </w:rPr>
            </w:pPr>
          </w:p>
        </w:tc>
      </w:tr>
      <w:tr>
        <w:trPr>
          <w:trHeight w:val="639"/>
        </w:trPr>
        <w:tc>
          <w:tcPr>
            <w:tcW w:w="6060" w:type="dxa"/>
            <w:vAlign w:val="bottom"/>
          </w:tcPr>
          <w:p>
            <w:pPr>
              <w:ind w:left="100"/>
              <w:spacing w:after="0"/>
              <w:rPr>
                <w:sz w:val="20"/>
                <w:szCs w:val="20"/>
                <w:color w:val="auto"/>
              </w:rPr>
            </w:pPr>
            <w:r>
              <w:rPr>
                <w:rFonts w:ascii="Arial" w:cs="Arial" w:eastAsia="Arial" w:hAnsi="Arial"/>
                <w:sz w:val="18"/>
                <w:szCs w:val="18"/>
                <w:color w:val="auto"/>
              </w:rPr>
              <w:t>Parsons Architectural Services of Illinois Inc.</w:t>
            </w:r>
          </w:p>
        </w:tc>
        <w:tc>
          <w:tcPr>
            <w:tcW w:w="5180" w:type="dxa"/>
            <w:vAlign w:val="bottom"/>
          </w:tcPr>
          <w:p>
            <w:pPr>
              <w:ind w:left="680"/>
              <w:spacing w:after="0"/>
              <w:rPr>
                <w:sz w:val="20"/>
                <w:szCs w:val="20"/>
                <w:color w:val="auto"/>
              </w:rPr>
            </w:pPr>
            <w:r>
              <w:rPr>
                <w:rFonts w:ascii="Arial" w:cs="Arial" w:eastAsia="Arial" w:hAnsi="Arial"/>
                <w:sz w:val="18"/>
                <w:szCs w:val="18"/>
                <w:color w:val="auto"/>
              </w:rPr>
              <w:t>Illinois</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Architecture of Florida Inc.</w:t>
            </w:r>
          </w:p>
        </w:tc>
        <w:tc>
          <w:tcPr>
            <w:tcW w:w="5180" w:type="dxa"/>
            <w:vAlign w:val="bottom"/>
          </w:tcPr>
          <w:p>
            <w:pPr>
              <w:ind w:left="680"/>
              <w:spacing w:after="0"/>
              <w:rPr>
                <w:sz w:val="20"/>
                <w:szCs w:val="20"/>
                <w:color w:val="auto"/>
              </w:rPr>
            </w:pPr>
            <w:r>
              <w:rPr>
                <w:rFonts w:ascii="Arial" w:cs="Arial" w:eastAsia="Arial" w:hAnsi="Arial"/>
                <w:sz w:val="18"/>
                <w:szCs w:val="18"/>
                <w:color w:val="auto"/>
              </w:rPr>
              <w:t>Florida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Architecture of New Jersey P.C.</w:t>
            </w:r>
          </w:p>
        </w:tc>
        <w:tc>
          <w:tcPr>
            <w:tcW w:w="5180" w:type="dxa"/>
            <w:vAlign w:val="bottom"/>
          </w:tcPr>
          <w:p>
            <w:pPr>
              <w:ind w:left="680"/>
              <w:spacing w:after="0"/>
              <w:rPr>
                <w:sz w:val="20"/>
                <w:szCs w:val="20"/>
                <w:color w:val="auto"/>
              </w:rPr>
            </w:pPr>
            <w:r>
              <w:rPr>
                <w:rFonts w:ascii="Arial" w:cs="Arial" w:eastAsia="Arial" w:hAnsi="Arial"/>
                <w:sz w:val="18"/>
                <w:szCs w:val="18"/>
                <w:color w:val="auto"/>
              </w:rPr>
              <w:t>New Jersey</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Canada Holdings, LLC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Construction Craft Services Inc.</w:t>
            </w:r>
          </w:p>
        </w:tc>
        <w:tc>
          <w:tcPr>
            <w:tcW w:w="5180" w:type="dxa"/>
            <w:vAlign w:val="bottom"/>
          </w:tcPr>
          <w:p>
            <w:pPr>
              <w:ind w:left="680"/>
              <w:spacing w:after="0"/>
              <w:rPr>
                <w:sz w:val="20"/>
                <w:szCs w:val="20"/>
                <w:color w:val="auto"/>
              </w:rPr>
            </w:pPr>
            <w:r>
              <w:rPr>
                <w:rFonts w:ascii="Arial" w:cs="Arial" w:eastAsia="Arial" w:hAnsi="Arial"/>
                <w:sz w:val="18"/>
                <w:szCs w:val="18"/>
                <w:color w:val="auto"/>
              </w:rPr>
              <w:t>Texas</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Construction Group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Constructors &amp; Fabricators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Constructors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Corporation</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Delcan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Engineering Inc. of Michigan</w:t>
            </w:r>
          </w:p>
        </w:tc>
        <w:tc>
          <w:tcPr>
            <w:tcW w:w="5180" w:type="dxa"/>
            <w:vAlign w:val="bottom"/>
          </w:tcPr>
          <w:p>
            <w:pPr>
              <w:ind w:left="680"/>
              <w:spacing w:after="0"/>
              <w:rPr>
                <w:sz w:val="20"/>
                <w:szCs w:val="20"/>
                <w:color w:val="auto"/>
              </w:rPr>
            </w:pPr>
            <w:r>
              <w:rPr>
                <w:rFonts w:ascii="Arial" w:cs="Arial" w:eastAsia="Arial" w:hAnsi="Arial"/>
                <w:sz w:val="18"/>
                <w:szCs w:val="18"/>
                <w:color w:val="auto"/>
              </w:rPr>
              <w:t>Michigan</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Engineering Limited</w:t>
            </w:r>
          </w:p>
        </w:tc>
        <w:tc>
          <w:tcPr>
            <w:tcW w:w="5180" w:type="dxa"/>
            <w:vAlign w:val="bottom"/>
          </w:tcPr>
          <w:p>
            <w:pPr>
              <w:ind w:left="680"/>
              <w:spacing w:after="0"/>
              <w:rPr>
                <w:sz w:val="20"/>
                <w:szCs w:val="20"/>
                <w:color w:val="auto"/>
              </w:rPr>
            </w:pPr>
            <w:r>
              <w:rPr>
                <w:rFonts w:ascii="Arial" w:cs="Arial" w:eastAsia="Arial" w:hAnsi="Arial"/>
                <w:sz w:val="18"/>
                <w:szCs w:val="18"/>
                <w:color w:val="auto"/>
              </w:rPr>
              <w:t>Cork</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Engineering of New York, Inc.</w:t>
            </w:r>
          </w:p>
        </w:tc>
        <w:tc>
          <w:tcPr>
            <w:tcW w:w="5180" w:type="dxa"/>
            <w:vAlign w:val="bottom"/>
          </w:tcPr>
          <w:p>
            <w:pPr>
              <w:ind w:left="680"/>
              <w:spacing w:after="0"/>
              <w:rPr>
                <w:sz w:val="20"/>
                <w:szCs w:val="20"/>
                <w:color w:val="auto"/>
              </w:rPr>
            </w:pPr>
            <w:r>
              <w:rPr>
                <w:rFonts w:ascii="Arial" w:cs="Arial" w:eastAsia="Arial" w:hAnsi="Arial"/>
                <w:sz w:val="18"/>
                <w:szCs w:val="18"/>
                <w:color w:val="auto"/>
              </w:rPr>
              <w:t>New York</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Engineering Science International,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Engineering Science, Inc.</w:t>
            </w:r>
          </w:p>
        </w:tc>
        <w:tc>
          <w:tcPr>
            <w:tcW w:w="5180" w:type="dxa"/>
            <w:vAlign w:val="bottom"/>
          </w:tcPr>
          <w:p>
            <w:pPr>
              <w:ind w:left="680"/>
              <w:spacing w:after="0"/>
              <w:rPr>
                <w:sz w:val="20"/>
                <w:szCs w:val="20"/>
                <w:color w:val="auto"/>
              </w:rPr>
            </w:pPr>
            <w:r>
              <w:rPr>
                <w:rFonts w:ascii="Arial" w:cs="Arial" w:eastAsia="Arial" w:hAnsi="Arial"/>
                <w:sz w:val="18"/>
                <w:szCs w:val="18"/>
                <w:color w:val="auto"/>
              </w:rPr>
              <w:t>California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Engineering Services L.L.C.</w:t>
            </w:r>
          </w:p>
        </w:tc>
        <w:tc>
          <w:tcPr>
            <w:tcW w:w="5180" w:type="dxa"/>
            <w:vAlign w:val="bottom"/>
          </w:tcPr>
          <w:p>
            <w:pPr>
              <w:ind w:left="680"/>
              <w:spacing w:after="0"/>
              <w:rPr>
                <w:sz w:val="20"/>
                <w:szCs w:val="20"/>
                <w:color w:val="auto"/>
              </w:rPr>
            </w:pPr>
            <w:r>
              <w:rPr>
                <w:rFonts w:ascii="Arial" w:cs="Arial" w:eastAsia="Arial" w:hAnsi="Arial"/>
                <w:sz w:val="18"/>
                <w:szCs w:val="18"/>
                <w:color w:val="auto"/>
              </w:rPr>
              <w:t>Dubai</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Enterprises,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Environment &amp; Infrastructure Group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Europe Holdings B.V.</w:t>
            </w:r>
          </w:p>
        </w:tc>
        <w:tc>
          <w:tcPr>
            <w:tcW w:w="5180" w:type="dxa"/>
            <w:vAlign w:val="bottom"/>
          </w:tcPr>
          <w:p>
            <w:pPr>
              <w:ind w:left="680"/>
              <w:spacing w:after="0"/>
              <w:rPr>
                <w:sz w:val="20"/>
                <w:szCs w:val="20"/>
                <w:color w:val="auto"/>
              </w:rPr>
            </w:pPr>
            <w:r>
              <w:rPr>
                <w:rFonts w:ascii="Arial" w:cs="Arial" w:eastAsia="Arial" w:hAnsi="Arial"/>
                <w:sz w:val="18"/>
                <w:szCs w:val="18"/>
                <w:color w:val="auto"/>
              </w:rPr>
              <w:t>Netherlands</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Federal Construction Inc.</w:t>
            </w:r>
          </w:p>
        </w:tc>
        <w:tc>
          <w:tcPr>
            <w:tcW w:w="5180" w:type="dxa"/>
            <w:vAlign w:val="bottom"/>
          </w:tcPr>
          <w:p>
            <w:pPr>
              <w:ind w:left="680"/>
              <w:spacing w:after="0"/>
              <w:rPr>
                <w:sz w:val="20"/>
                <w:szCs w:val="20"/>
                <w:color w:val="auto"/>
              </w:rPr>
            </w:pPr>
            <w:r>
              <w:rPr>
                <w:rFonts w:ascii="Arial" w:cs="Arial" w:eastAsia="Arial" w:hAnsi="Arial"/>
                <w:sz w:val="18"/>
                <w:szCs w:val="18"/>
                <w:color w:val="auto"/>
              </w:rPr>
              <w:t>California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Global Services, Ltd.</w:t>
            </w:r>
          </w:p>
        </w:tc>
        <w:tc>
          <w:tcPr>
            <w:tcW w:w="5180" w:type="dxa"/>
            <w:vAlign w:val="bottom"/>
          </w:tcPr>
          <w:p>
            <w:pPr>
              <w:ind w:left="680"/>
              <w:spacing w:after="0"/>
              <w:rPr>
                <w:sz w:val="20"/>
                <w:szCs w:val="20"/>
                <w:color w:val="auto"/>
              </w:rPr>
            </w:pPr>
            <w:r>
              <w:rPr>
                <w:rFonts w:ascii="Arial" w:cs="Arial" w:eastAsia="Arial" w:hAnsi="Arial"/>
                <w:sz w:val="18"/>
                <w:szCs w:val="18"/>
                <w:color w:val="auto"/>
              </w:rPr>
              <w:t>Cayman Islands (B.W.I.)</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Government Services Inc.</w:t>
            </w:r>
          </w:p>
        </w:tc>
        <w:tc>
          <w:tcPr>
            <w:tcW w:w="5180" w:type="dxa"/>
            <w:vAlign w:val="bottom"/>
          </w:tcPr>
          <w:p>
            <w:pPr>
              <w:ind w:left="680"/>
              <w:spacing w:after="0"/>
              <w:rPr>
                <w:sz w:val="20"/>
                <w:szCs w:val="20"/>
                <w:color w:val="auto"/>
              </w:rPr>
            </w:pPr>
            <w:r>
              <w:rPr>
                <w:rFonts w:ascii="Arial" w:cs="Arial" w:eastAsia="Arial" w:hAnsi="Arial"/>
                <w:sz w:val="18"/>
                <w:szCs w:val="18"/>
                <w:color w:val="auto"/>
              </w:rPr>
              <w:t>Nevada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Government Services International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Government Support Services Inc.</w:t>
            </w:r>
          </w:p>
        </w:tc>
        <w:tc>
          <w:tcPr>
            <w:tcW w:w="5180" w:type="dxa"/>
            <w:vAlign w:val="bottom"/>
          </w:tcPr>
          <w:p>
            <w:pPr>
              <w:ind w:left="680"/>
              <w:spacing w:after="0"/>
              <w:rPr>
                <w:sz w:val="20"/>
                <w:szCs w:val="20"/>
                <w:color w:val="auto"/>
              </w:rPr>
            </w:pPr>
            <w:r>
              <w:rPr>
                <w:rFonts w:ascii="Arial" w:cs="Arial" w:eastAsia="Arial" w:hAnsi="Arial"/>
                <w:sz w:val="18"/>
                <w:szCs w:val="18"/>
                <w:color w:val="auto"/>
              </w:rPr>
              <w:t>Texas</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Group France SAS</w:t>
            </w:r>
          </w:p>
        </w:tc>
        <w:tc>
          <w:tcPr>
            <w:tcW w:w="5180" w:type="dxa"/>
            <w:vAlign w:val="bottom"/>
          </w:tcPr>
          <w:p>
            <w:pPr>
              <w:ind w:left="680"/>
              <w:spacing w:after="0"/>
              <w:rPr>
                <w:sz w:val="20"/>
                <w:szCs w:val="20"/>
                <w:color w:val="auto"/>
              </w:rPr>
            </w:pPr>
            <w:r>
              <w:rPr>
                <w:rFonts w:ascii="Arial" w:cs="Arial" w:eastAsia="Arial" w:hAnsi="Arial"/>
                <w:sz w:val="18"/>
                <w:szCs w:val="18"/>
                <w:color w:val="auto"/>
              </w:rPr>
              <w:t>France</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Group International Limited</w:t>
            </w:r>
          </w:p>
        </w:tc>
        <w:tc>
          <w:tcPr>
            <w:tcW w:w="5180" w:type="dxa"/>
            <w:vAlign w:val="bottom"/>
          </w:tcPr>
          <w:p>
            <w:pPr>
              <w:ind w:left="680"/>
              <w:spacing w:after="0"/>
              <w:rPr>
                <w:sz w:val="20"/>
                <w:szCs w:val="20"/>
                <w:color w:val="auto"/>
              </w:rPr>
            </w:pPr>
            <w:r>
              <w:rPr>
                <w:rFonts w:ascii="Arial" w:cs="Arial" w:eastAsia="Arial" w:hAnsi="Arial"/>
                <w:sz w:val="18"/>
                <w:szCs w:val="18"/>
                <w:color w:val="auto"/>
              </w:rPr>
              <w:t>United Kingdom</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Inc.</w:t>
            </w:r>
          </w:p>
        </w:tc>
        <w:tc>
          <w:tcPr>
            <w:tcW w:w="5180" w:type="dxa"/>
            <w:vAlign w:val="bottom"/>
          </w:tcPr>
          <w:p>
            <w:pPr>
              <w:ind w:left="680"/>
              <w:spacing w:after="0"/>
              <w:rPr>
                <w:sz w:val="20"/>
                <w:szCs w:val="20"/>
                <w:color w:val="auto"/>
              </w:rPr>
            </w:pPr>
            <w:r>
              <w:rPr>
                <w:rFonts w:ascii="Arial" w:cs="Arial" w:eastAsia="Arial" w:hAnsi="Arial"/>
                <w:sz w:val="18"/>
                <w:szCs w:val="18"/>
                <w:color w:val="auto"/>
              </w:rPr>
              <w:t>Federally Chartered</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Infrastructure &amp; Technology Group Inc. of Ohio</w:t>
            </w:r>
          </w:p>
        </w:tc>
        <w:tc>
          <w:tcPr>
            <w:tcW w:w="5180" w:type="dxa"/>
            <w:vAlign w:val="bottom"/>
          </w:tcPr>
          <w:p>
            <w:pPr>
              <w:ind w:left="68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Infrastructure &amp; Technology Group of Illinois P.C.</w:t>
            </w:r>
          </w:p>
        </w:tc>
        <w:tc>
          <w:tcPr>
            <w:tcW w:w="5180" w:type="dxa"/>
            <w:vAlign w:val="bottom"/>
          </w:tcPr>
          <w:p>
            <w:pPr>
              <w:ind w:left="680"/>
              <w:spacing w:after="0"/>
              <w:rPr>
                <w:sz w:val="20"/>
                <w:szCs w:val="20"/>
                <w:color w:val="auto"/>
              </w:rPr>
            </w:pPr>
            <w:r>
              <w:rPr>
                <w:rFonts w:ascii="Arial" w:cs="Arial" w:eastAsia="Arial" w:hAnsi="Arial"/>
                <w:sz w:val="18"/>
                <w:szCs w:val="18"/>
                <w:color w:val="auto"/>
              </w:rPr>
              <w:t>Illinois</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Infrastructure &amp; Technology Group of Michigan Inc.</w:t>
            </w:r>
          </w:p>
        </w:tc>
        <w:tc>
          <w:tcPr>
            <w:tcW w:w="5180" w:type="dxa"/>
            <w:vAlign w:val="bottom"/>
          </w:tcPr>
          <w:p>
            <w:pPr>
              <w:ind w:left="680"/>
              <w:spacing w:after="0"/>
              <w:rPr>
                <w:sz w:val="20"/>
                <w:szCs w:val="20"/>
                <w:color w:val="auto"/>
              </w:rPr>
            </w:pPr>
            <w:r>
              <w:rPr>
                <w:rFonts w:ascii="Arial" w:cs="Arial" w:eastAsia="Arial" w:hAnsi="Arial"/>
                <w:sz w:val="18"/>
                <w:szCs w:val="18"/>
                <w:color w:val="auto"/>
              </w:rPr>
              <w:t>Nevada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Infrastructure &amp; Technology Group of New York Inc.</w:t>
            </w:r>
          </w:p>
        </w:tc>
        <w:tc>
          <w:tcPr>
            <w:tcW w:w="5180" w:type="dxa"/>
            <w:vAlign w:val="bottom"/>
          </w:tcPr>
          <w:p>
            <w:pPr>
              <w:ind w:left="680"/>
              <w:spacing w:after="0"/>
              <w:rPr>
                <w:sz w:val="20"/>
                <w:szCs w:val="20"/>
                <w:color w:val="auto"/>
              </w:rPr>
            </w:pPr>
            <w:r>
              <w:rPr>
                <w:rFonts w:ascii="Arial" w:cs="Arial" w:eastAsia="Arial" w:hAnsi="Arial"/>
                <w:sz w:val="18"/>
                <w:szCs w:val="18"/>
                <w:color w:val="auto"/>
              </w:rPr>
              <w:t>New York</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Inspection &amp; Maintenance Corporation</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International &amp; Company LLC</w:t>
            </w:r>
          </w:p>
        </w:tc>
        <w:tc>
          <w:tcPr>
            <w:tcW w:w="5180" w:type="dxa"/>
            <w:vAlign w:val="bottom"/>
          </w:tcPr>
          <w:p>
            <w:pPr>
              <w:ind w:left="680"/>
              <w:spacing w:after="0"/>
              <w:rPr>
                <w:sz w:val="20"/>
                <w:szCs w:val="20"/>
                <w:color w:val="auto"/>
              </w:rPr>
            </w:pPr>
            <w:r>
              <w:rPr>
                <w:rFonts w:ascii="Arial" w:cs="Arial" w:eastAsia="Arial" w:hAnsi="Arial"/>
                <w:sz w:val="18"/>
                <w:szCs w:val="18"/>
                <w:color w:val="auto"/>
              </w:rPr>
              <w:t>Sultanate of Oman</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International Limited</w:t>
            </w:r>
          </w:p>
        </w:tc>
        <w:tc>
          <w:tcPr>
            <w:tcW w:w="5180" w:type="dxa"/>
            <w:vAlign w:val="bottom"/>
          </w:tcPr>
          <w:p>
            <w:pPr>
              <w:ind w:left="680"/>
              <w:spacing w:after="0"/>
              <w:rPr>
                <w:sz w:val="20"/>
                <w:szCs w:val="20"/>
                <w:color w:val="auto"/>
              </w:rPr>
            </w:pPr>
            <w:r>
              <w:rPr>
                <w:rFonts w:ascii="Arial" w:cs="Arial" w:eastAsia="Arial" w:hAnsi="Arial"/>
                <w:sz w:val="18"/>
                <w:szCs w:val="18"/>
                <w:color w:val="auto"/>
              </w:rPr>
              <w:t>Nevada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International Limited</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39"/>
        </w:trPr>
        <w:tc>
          <w:tcPr>
            <w:tcW w:w="6060" w:type="dxa"/>
            <w:vAlign w:val="bottom"/>
          </w:tcPr>
          <w:p>
            <w:pPr>
              <w:ind w:left="100"/>
              <w:spacing w:after="0"/>
              <w:rPr>
                <w:sz w:val="20"/>
                <w:szCs w:val="20"/>
                <w:color w:val="auto"/>
              </w:rPr>
            </w:pPr>
            <w:r>
              <w:rPr>
                <w:rFonts w:ascii="Arial" w:cs="Arial" w:eastAsia="Arial" w:hAnsi="Arial"/>
                <w:sz w:val="18"/>
                <w:szCs w:val="18"/>
                <w:color w:val="auto"/>
              </w:rPr>
              <w:t>Parsons International Limited (L.L.C.), a Limited Liability Company</w:t>
            </w:r>
          </w:p>
        </w:tc>
        <w:tc>
          <w:tcPr>
            <w:tcW w:w="5180" w:type="dxa"/>
            <w:vAlign w:val="bottom"/>
          </w:tcPr>
          <w:p>
            <w:pPr>
              <w:ind w:left="680"/>
              <w:spacing w:after="0"/>
              <w:rPr>
                <w:sz w:val="20"/>
                <w:szCs w:val="20"/>
                <w:color w:val="auto"/>
              </w:rPr>
            </w:pPr>
            <w:r>
              <w:rPr>
                <w:rFonts w:ascii="Arial" w:cs="Arial" w:eastAsia="Arial" w:hAnsi="Arial"/>
                <w:sz w:val="18"/>
                <w:szCs w:val="18"/>
                <w:color w:val="auto"/>
              </w:rPr>
              <w:t>Egypt, Arab Republic of</w:t>
            </w:r>
          </w:p>
        </w:tc>
      </w:tr>
      <w:tr>
        <w:trPr>
          <w:trHeight w:val="450"/>
        </w:trPr>
        <w:tc>
          <w:tcPr>
            <w:tcW w:w="6060" w:type="dxa"/>
            <w:vAlign w:val="bottom"/>
          </w:tcPr>
          <w:p>
            <w:pPr>
              <w:ind w:left="100"/>
              <w:spacing w:after="0"/>
              <w:rPr>
                <w:sz w:val="20"/>
                <w:szCs w:val="20"/>
                <w:color w:val="auto"/>
              </w:rPr>
            </w:pPr>
            <w:r>
              <w:rPr>
                <w:rFonts w:ascii="Arial" w:cs="Arial" w:eastAsia="Arial" w:hAnsi="Arial"/>
                <w:sz w:val="18"/>
                <w:szCs w:val="18"/>
                <w:color w:val="auto"/>
              </w:rPr>
              <w:t>Parsons Main of New York, Inc.</w:t>
            </w:r>
          </w:p>
        </w:tc>
        <w:tc>
          <w:tcPr>
            <w:tcW w:w="5180" w:type="dxa"/>
            <w:vAlign w:val="bottom"/>
          </w:tcPr>
          <w:p>
            <w:pPr>
              <w:ind w:left="680"/>
              <w:spacing w:after="0"/>
              <w:rPr>
                <w:sz w:val="20"/>
                <w:szCs w:val="20"/>
                <w:color w:val="auto"/>
              </w:rPr>
            </w:pPr>
            <w:r>
              <w:rPr>
                <w:rFonts w:ascii="Arial" w:cs="Arial" w:eastAsia="Arial" w:hAnsi="Arial"/>
                <w:sz w:val="18"/>
                <w:szCs w:val="18"/>
                <w:color w:val="auto"/>
              </w:rPr>
              <w:t>New York</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Middle East Corporation</w:t>
            </w:r>
          </w:p>
        </w:tc>
        <w:tc>
          <w:tcPr>
            <w:tcW w:w="5180" w:type="dxa"/>
            <w:vAlign w:val="bottom"/>
          </w:tcPr>
          <w:p>
            <w:pPr>
              <w:ind w:left="680"/>
              <w:spacing w:after="0"/>
              <w:rPr>
                <w:sz w:val="20"/>
                <w:szCs w:val="20"/>
                <w:color w:val="auto"/>
              </w:rPr>
            </w:pPr>
            <w:r>
              <w:rPr>
                <w:rFonts w:ascii="Arial" w:cs="Arial" w:eastAsia="Arial" w:hAnsi="Arial"/>
                <w:sz w:val="18"/>
                <w:szCs w:val="18"/>
                <w:color w:val="auto"/>
              </w:rPr>
              <w:t>Nevada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Middle East Ltd.</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MIP Inc.</w:t>
            </w:r>
          </w:p>
        </w:tc>
        <w:tc>
          <w:tcPr>
            <w:tcW w:w="5180" w:type="dxa"/>
            <w:vAlign w:val="bottom"/>
          </w:tcPr>
          <w:p>
            <w:pPr>
              <w:ind w:left="680"/>
              <w:spacing w:after="0"/>
              <w:rPr>
                <w:sz w:val="20"/>
                <w:szCs w:val="20"/>
                <w:color w:val="auto"/>
              </w:rPr>
            </w:pPr>
            <w:r>
              <w:rPr>
                <w:rFonts w:ascii="Arial" w:cs="Arial" w:eastAsia="Arial" w:hAnsi="Arial"/>
                <w:sz w:val="18"/>
                <w:szCs w:val="18"/>
                <w:color w:val="auto"/>
              </w:rPr>
              <w:t>Alberta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of North Carolina Inc.</w:t>
            </w:r>
          </w:p>
        </w:tc>
        <w:tc>
          <w:tcPr>
            <w:tcW w:w="5180" w:type="dxa"/>
            <w:vAlign w:val="bottom"/>
          </w:tcPr>
          <w:p>
            <w:pPr>
              <w:ind w:left="680"/>
              <w:spacing w:after="0"/>
              <w:rPr>
                <w:sz w:val="20"/>
                <w:szCs w:val="20"/>
                <w:color w:val="auto"/>
              </w:rPr>
            </w:pPr>
            <w:r>
              <w:rPr>
                <w:rFonts w:ascii="Arial" w:cs="Arial" w:eastAsia="Arial" w:hAnsi="Arial"/>
                <w:sz w:val="18"/>
                <w:szCs w:val="18"/>
                <w:color w:val="auto"/>
              </w:rPr>
              <w:t>North Carolina</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of Puerto Rico Professional Engineers, P.S.C.</w:t>
            </w:r>
          </w:p>
        </w:tc>
        <w:tc>
          <w:tcPr>
            <w:tcW w:w="5180" w:type="dxa"/>
            <w:vAlign w:val="bottom"/>
          </w:tcPr>
          <w:p>
            <w:pPr>
              <w:ind w:left="680"/>
              <w:spacing w:after="0"/>
              <w:rPr>
                <w:sz w:val="20"/>
                <w:szCs w:val="20"/>
                <w:color w:val="auto"/>
              </w:rPr>
            </w:pPr>
            <w:r>
              <w:rPr>
                <w:rFonts w:ascii="Arial" w:cs="Arial" w:eastAsia="Arial" w:hAnsi="Arial"/>
                <w:sz w:val="18"/>
                <w:szCs w:val="18"/>
                <w:color w:val="auto"/>
              </w:rPr>
              <w:t>Puerto Rico</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Overseas Company</w:t>
            </w:r>
          </w:p>
        </w:tc>
        <w:tc>
          <w:tcPr>
            <w:tcW w:w="5180" w:type="dxa"/>
            <w:vAlign w:val="bottom"/>
          </w:tcPr>
          <w:p>
            <w:pPr>
              <w:ind w:left="680"/>
              <w:spacing w:after="0"/>
              <w:rPr>
                <w:sz w:val="20"/>
                <w:szCs w:val="20"/>
                <w:color w:val="auto"/>
              </w:rPr>
            </w:pPr>
            <w:r>
              <w:rPr>
                <w:rFonts w:ascii="Arial" w:cs="Arial" w:eastAsia="Arial" w:hAnsi="Arial"/>
                <w:sz w:val="18"/>
                <w:szCs w:val="18"/>
                <w:color w:val="auto"/>
              </w:rPr>
              <w:t>Nevada</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Overseas Limited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PATCO Inc.</w:t>
            </w:r>
          </w:p>
        </w:tc>
        <w:tc>
          <w:tcPr>
            <w:tcW w:w="5180" w:type="dxa"/>
            <w:vAlign w:val="bottom"/>
          </w:tcPr>
          <w:p>
            <w:pPr>
              <w:ind w:left="68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tcPr>
          <w:p>
            <w:pPr>
              <w:ind w:left="100"/>
              <w:spacing w:after="0"/>
              <w:rPr>
                <w:sz w:val="20"/>
                <w:szCs w:val="20"/>
                <w:color w:val="auto"/>
              </w:rPr>
            </w:pPr>
            <w:r>
              <w:rPr>
                <w:rFonts w:ascii="Arial" w:cs="Arial" w:eastAsia="Arial" w:hAnsi="Arial"/>
                <w:sz w:val="18"/>
                <w:szCs w:val="18"/>
                <w:color w:val="auto"/>
              </w:rPr>
              <w:t>Parsons Professional Corporation</w:t>
            </w:r>
          </w:p>
        </w:tc>
        <w:tc>
          <w:tcPr>
            <w:tcW w:w="5180" w:type="dxa"/>
            <w:vAlign w:val="bottom"/>
          </w:tcPr>
          <w:p>
            <w:pPr>
              <w:ind w:left="680"/>
              <w:spacing w:after="0"/>
              <w:rPr>
                <w:sz w:val="20"/>
                <w:szCs w:val="20"/>
                <w:color w:val="auto"/>
              </w:rPr>
            </w:pPr>
            <w:r>
              <w:rPr>
                <w:rFonts w:ascii="Arial" w:cs="Arial" w:eastAsia="Arial" w:hAnsi="Arial"/>
                <w:sz w:val="18"/>
                <w:szCs w:val="18"/>
                <w:color w:val="auto"/>
              </w:rPr>
              <w:t>District of Columbia</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Parsons Professional Services Inc.</w:t>
            </w:r>
          </w:p>
        </w:tc>
        <w:tc>
          <w:tcPr>
            <w:tcW w:w="5180" w:type="dxa"/>
            <w:vAlign w:val="bottom"/>
          </w:tcPr>
          <w:p>
            <w:pPr>
              <w:ind w:left="680"/>
              <w:spacing w:after="0"/>
              <w:rPr>
                <w:sz w:val="20"/>
                <w:szCs w:val="20"/>
                <w:color w:val="auto"/>
              </w:rPr>
            </w:pPr>
            <w:r>
              <w:rPr>
                <w:rFonts w:ascii="Arial" w:cs="Arial" w:eastAsia="Arial" w:hAnsi="Arial"/>
                <w:sz w:val="18"/>
                <w:szCs w:val="18"/>
                <w:color w:val="auto"/>
              </w:rPr>
              <w:t>Ontario</w:t>
            </w:r>
          </w:p>
        </w:tc>
      </w:tr>
      <w:tr>
        <w:trPr>
          <w:trHeight w:val="239"/>
        </w:trPr>
        <w:tc>
          <w:tcPr>
            <w:tcW w:w="6060" w:type="dxa"/>
            <w:vAlign w:val="bottom"/>
          </w:tcPr>
          <w:p>
            <w:pPr>
              <w:ind w:left="100"/>
              <w:spacing w:after="0"/>
              <w:rPr>
                <w:sz w:val="20"/>
                <w:szCs w:val="20"/>
                <w:color w:val="auto"/>
              </w:rPr>
            </w:pPr>
            <w:r>
              <w:rPr>
                <w:rFonts w:ascii="Arial" w:cs="Arial" w:eastAsia="Arial" w:hAnsi="Arial"/>
                <w:sz w:val="18"/>
                <w:szCs w:val="18"/>
                <w:color w:val="auto"/>
              </w:rPr>
              <w:t>Parsons Project Services, Inc.</w:t>
            </w:r>
          </w:p>
        </w:tc>
        <w:tc>
          <w:tcPr>
            <w:tcW w:w="5180" w:type="dxa"/>
            <w:vAlign w:val="bottom"/>
          </w:tcPr>
          <w:p>
            <w:pPr>
              <w:ind w:left="680"/>
              <w:spacing w:after="0"/>
              <w:rPr>
                <w:sz w:val="20"/>
                <w:szCs w:val="20"/>
                <w:color w:val="auto"/>
              </w:rPr>
            </w:pPr>
            <w:r>
              <w:rPr>
                <w:rFonts w:ascii="Arial" w:cs="Arial" w:eastAsia="Arial" w:hAnsi="Arial"/>
                <w:sz w:val="18"/>
                <w:szCs w:val="18"/>
                <w:color w:val="auto"/>
              </w:rPr>
              <w:t>California</w:t>
            </w:r>
          </w:p>
        </w:tc>
      </w:tr>
      <w:tr>
        <w:trPr>
          <w:trHeight w:val="1421"/>
        </w:trPr>
        <w:tc>
          <w:tcPr>
            <w:tcW w:w="60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9"/>
        </w:trPr>
        <w:tc>
          <w:tcPr>
            <w:tcW w:w="6400" w:type="dxa"/>
            <w:vAlign w:val="bottom"/>
          </w:tcPr>
          <w:p>
            <w:pPr>
              <w:spacing w:after="0"/>
              <w:rPr>
                <w:sz w:val="20"/>
                <w:szCs w:val="20"/>
                <w:color w:val="auto"/>
              </w:rPr>
            </w:pPr>
            <w:r>
              <w:rPr>
                <w:rFonts w:ascii="Arial" w:cs="Arial" w:eastAsia="Arial" w:hAnsi="Arial"/>
                <w:sz w:val="18"/>
                <w:szCs w:val="18"/>
                <w:color w:val="auto"/>
              </w:rPr>
              <w:t>Exhibit 21.1</w:t>
            </w:r>
          </w:p>
        </w:tc>
        <w:tc>
          <w:tcPr>
            <w:tcW w:w="4840" w:type="dxa"/>
            <w:vAlign w:val="bottom"/>
          </w:tcPr>
          <w:p>
            <w:pPr>
              <w:spacing w:after="0"/>
              <w:rPr>
                <w:sz w:val="20"/>
                <w:szCs w:val="20"/>
                <w:color w:val="auto"/>
              </w:rPr>
            </w:pPr>
          </w:p>
        </w:tc>
      </w:tr>
      <w:tr>
        <w:trPr>
          <w:trHeight w:val="639"/>
        </w:trPr>
        <w:tc>
          <w:tcPr>
            <w:tcW w:w="6400" w:type="dxa"/>
            <w:vAlign w:val="bottom"/>
          </w:tcPr>
          <w:p>
            <w:pPr>
              <w:ind w:left="100"/>
              <w:spacing w:after="0"/>
              <w:rPr>
                <w:sz w:val="20"/>
                <w:szCs w:val="20"/>
                <w:color w:val="auto"/>
              </w:rPr>
            </w:pPr>
            <w:r>
              <w:rPr>
                <w:rFonts w:ascii="Arial" w:cs="Arial" w:eastAsia="Arial" w:hAnsi="Arial"/>
                <w:sz w:val="18"/>
                <w:szCs w:val="18"/>
                <w:color w:val="auto"/>
              </w:rPr>
              <w:t>Parsons RCI Inc.</w:t>
            </w:r>
          </w:p>
        </w:tc>
        <w:tc>
          <w:tcPr>
            <w:tcW w:w="4840" w:type="dxa"/>
            <w:vAlign w:val="bottom"/>
          </w:tcPr>
          <w:p>
            <w:pPr>
              <w:ind w:left="340"/>
              <w:spacing w:after="0"/>
              <w:rPr>
                <w:sz w:val="20"/>
                <w:szCs w:val="20"/>
                <w:color w:val="auto"/>
              </w:rPr>
            </w:pPr>
            <w:r>
              <w:rPr>
                <w:rFonts w:ascii="Arial" w:cs="Arial" w:eastAsia="Arial" w:hAnsi="Arial"/>
                <w:sz w:val="18"/>
                <w:szCs w:val="18"/>
                <w:color w:val="auto"/>
              </w:rPr>
              <w:t>Washington</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Regional Headquarters Company</w:t>
            </w:r>
          </w:p>
        </w:tc>
        <w:tc>
          <w:tcPr>
            <w:tcW w:w="4840" w:type="dxa"/>
            <w:vAlign w:val="bottom"/>
          </w:tcPr>
          <w:p>
            <w:pPr>
              <w:ind w:left="340"/>
              <w:spacing w:after="0"/>
              <w:rPr>
                <w:sz w:val="20"/>
                <w:szCs w:val="20"/>
                <w:color w:val="auto"/>
              </w:rPr>
            </w:pPr>
            <w:r>
              <w:rPr>
                <w:rFonts w:ascii="Arial" w:cs="Arial" w:eastAsia="Arial" w:hAnsi="Arial"/>
                <w:sz w:val="18"/>
                <w:szCs w:val="18"/>
                <w:color w:val="auto"/>
              </w:rPr>
              <w:t>Saudi Arabia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Parsons Savannah Construction Company</w:t>
            </w:r>
          </w:p>
        </w:tc>
        <w:tc>
          <w:tcPr>
            <w:tcW w:w="4840" w:type="dxa"/>
            <w:vAlign w:val="bottom"/>
          </w:tcPr>
          <w:p>
            <w:pPr>
              <w:ind w:left="340"/>
              <w:spacing w:after="0"/>
              <w:rPr>
                <w:sz w:val="20"/>
                <w:szCs w:val="20"/>
                <w:color w:val="auto"/>
              </w:rPr>
            </w:pPr>
            <w:r>
              <w:rPr>
                <w:rFonts w:ascii="Arial" w:cs="Arial" w:eastAsia="Arial" w:hAnsi="Arial"/>
                <w:sz w:val="18"/>
                <w:szCs w:val="18"/>
                <w:color w:val="auto"/>
              </w:rPr>
              <w:t>South Carolina</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Savannah Services Company</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Parsons Secure Solutions Inc.</w:t>
            </w:r>
          </w:p>
        </w:tc>
        <w:tc>
          <w:tcPr>
            <w:tcW w:w="4840" w:type="dxa"/>
            <w:vAlign w:val="bottom"/>
          </w:tcPr>
          <w:p>
            <w:pPr>
              <w:ind w:left="340"/>
              <w:spacing w:after="0"/>
              <w:rPr>
                <w:sz w:val="20"/>
                <w:szCs w:val="20"/>
                <w:color w:val="auto"/>
              </w:rPr>
            </w:pPr>
            <w:r>
              <w:rPr>
                <w:rFonts w:ascii="Arial" w:cs="Arial" w:eastAsia="Arial" w:hAnsi="Arial"/>
                <w:sz w:val="18"/>
                <w:szCs w:val="18"/>
                <w:color w:val="auto"/>
              </w:rPr>
              <w:t>Virginia</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Services Company</w:t>
            </w:r>
          </w:p>
        </w:tc>
        <w:tc>
          <w:tcPr>
            <w:tcW w:w="4840" w:type="dxa"/>
            <w:vAlign w:val="bottom"/>
          </w:tcPr>
          <w:p>
            <w:pPr>
              <w:ind w:left="340"/>
              <w:spacing w:after="0"/>
              <w:rPr>
                <w:sz w:val="20"/>
                <w:szCs w:val="20"/>
                <w:color w:val="auto"/>
              </w:rPr>
            </w:pPr>
            <w:r>
              <w:rPr>
                <w:rFonts w:ascii="Arial" w:cs="Arial" w:eastAsia="Arial" w:hAnsi="Arial"/>
                <w:sz w:val="18"/>
                <w:szCs w:val="18"/>
                <w:color w:val="auto"/>
              </w:rPr>
              <w:t>Texas</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SGTP GP Holdings Inc.</w:t>
            </w:r>
          </w:p>
        </w:tc>
        <w:tc>
          <w:tcPr>
            <w:tcW w:w="4840" w:type="dxa"/>
            <w:vAlign w:val="bottom"/>
          </w:tcPr>
          <w:p>
            <w:pPr>
              <w:ind w:left="340"/>
              <w:spacing w:after="0"/>
              <w:rPr>
                <w:sz w:val="20"/>
                <w:szCs w:val="20"/>
                <w:color w:val="auto"/>
              </w:rPr>
            </w:pPr>
            <w:r>
              <w:rPr>
                <w:rFonts w:ascii="Arial" w:cs="Arial" w:eastAsia="Arial" w:hAnsi="Arial"/>
                <w:sz w:val="18"/>
                <w:szCs w:val="18"/>
                <w:color w:val="auto"/>
              </w:rPr>
              <w:t>Federally Chartered</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Parsons Technical Services Inc.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Technical Services International Inc.</w:t>
            </w:r>
          </w:p>
        </w:tc>
        <w:tc>
          <w:tcPr>
            <w:tcW w:w="4840" w:type="dxa"/>
            <w:vAlign w:val="bottom"/>
          </w:tcPr>
          <w:p>
            <w:pPr>
              <w:ind w:left="340"/>
              <w:spacing w:after="0"/>
              <w:rPr>
                <w:sz w:val="20"/>
                <w:szCs w:val="20"/>
                <w:color w:val="auto"/>
              </w:rPr>
            </w:pPr>
            <w:r>
              <w:rPr>
                <w:rFonts w:ascii="Arial" w:cs="Arial" w:eastAsia="Arial" w:hAnsi="Arial"/>
                <w:sz w:val="18"/>
                <w:szCs w:val="18"/>
                <w:color w:val="auto"/>
              </w:rPr>
              <w:t>Texas</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Transportation Architectural Services LLC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Parsons Transportation Group Inc.</w:t>
            </w:r>
          </w:p>
        </w:tc>
        <w:tc>
          <w:tcPr>
            <w:tcW w:w="4840" w:type="dxa"/>
            <w:vAlign w:val="bottom"/>
          </w:tcPr>
          <w:p>
            <w:pPr>
              <w:ind w:left="340"/>
              <w:spacing w:after="0"/>
              <w:rPr>
                <w:sz w:val="20"/>
                <w:szCs w:val="20"/>
                <w:color w:val="auto"/>
              </w:rPr>
            </w:pPr>
            <w:r>
              <w:rPr>
                <w:rFonts w:ascii="Arial" w:cs="Arial" w:eastAsia="Arial" w:hAnsi="Arial"/>
                <w:sz w:val="18"/>
                <w:szCs w:val="18"/>
                <w:color w:val="auto"/>
              </w:rPr>
              <w:t>Illinois</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Transportation Group Inc. of Michigan</w:t>
            </w:r>
          </w:p>
        </w:tc>
        <w:tc>
          <w:tcPr>
            <w:tcW w:w="4840" w:type="dxa"/>
            <w:vAlign w:val="bottom"/>
          </w:tcPr>
          <w:p>
            <w:pPr>
              <w:ind w:left="340"/>
              <w:spacing w:after="0"/>
              <w:rPr>
                <w:sz w:val="20"/>
                <w:szCs w:val="20"/>
                <w:color w:val="auto"/>
              </w:rPr>
            </w:pPr>
            <w:r>
              <w:rPr>
                <w:rFonts w:ascii="Arial" w:cs="Arial" w:eastAsia="Arial" w:hAnsi="Arial"/>
                <w:sz w:val="18"/>
                <w:szCs w:val="18"/>
                <w:color w:val="auto"/>
              </w:rPr>
              <w:t>Michigan</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Parsons Transportation Group of New York, Inc.</w:t>
            </w:r>
          </w:p>
        </w:tc>
        <w:tc>
          <w:tcPr>
            <w:tcW w:w="4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Transportation Group, Professional Corporation</w:t>
            </w:r>
          </w:p>
        </w:tc>
        <w:tc>
          <w:tcPr>
            <w:tcW w:w="4840" w:type="dxa"/>
            <w:vAlign w:val="bottom"/>
          </w:tcPr>
          <w:p>
            <w:pPr>
              <w:ind w:left="340"/>
              <w:spacing w:after="0"/>
              <w:rPr>
                <w:sz w:val="20"/>
                <w:szCs w:val="20"/>
                <w:color w:val="auto"/>
              </w:rPr>
            </w:pPr>
            <w:r>
              <w:rPr>
                <w:rFonts w:ascii="Arial" w:cs="Arial" w:eastAsia="Arial" w:hAnsi="Arial"/>
                <w:sz w:val="18"/>
                <w:szCs w:val="18"/>
                <w:color w:val="auto"/>
              </w:rPr>
              <w:t>District of Columbia</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Parsons Water &amp; Infrastructure Inc.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Parsons-Versar LLC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Partnership for Temporary Housing LLC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Polaris Alpha Advanced Systems, Inc.</w:t>
            </w:r>
          </w:p>
        </w:tc>
        <w:tc>
          <w:tcPr>
            <w:tcW w:w="4840" w:type="dxa"/>
            <w:vAlign w:val="bottom"/>
          </w:tcPr>
          <w:p>
            <w:pPr>
              <w:ind w:left="340"/>
              <w:spacing w:after="0"/>
              <w:rPr>
                <w:sz w:val="20"/>
                <w:szCs w:val="20"/>
                <w:color w:val="auto"/>
              </w:rPr>
            </w:pPr>
            <w:r>
              <w:rPr>
                <w:rFonts w:ascii="Arial" w:cs="Arial" w:eastAsia="Arial" w:hAnsi="Arial"/>
                <w:sz w:val="18"/>
                <w:szCs w:val="18"/>
                <w:color w:val="auto"/>
              </w:rPr>
              <w:t>Virginia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Polaris Alpha Cyber and Sigint, LLC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Polaris Alpha Cyber Technologies, LLC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Polaris Alpha, LLC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Prime Solutions LLC</w:t>
            </w:r>
          </w:p>
        </w:tc>
        <w:tc>
          <w:tcPr>
            <w:tcW w:w="4840" w:type="dxa"/>
            <w:vAlign w:val="bottom"/>
          </w:tcPr>
          <w:p>
            <w:pPr>
              <w:ind w:left="340"/>
              <w:spacing w:after="0"/>
              <w:rPr>
                <w:sz w:val="20"/>
                <w:szCs w:val="20"/>
                <w:color w:val="auto"/>
              </w:rPr>
            </w:pPr>
            <w:r>
              <w:rPr>
                <w:rFonts w:ascii="Arial" w:cs="Arial" w:eastAsia="Arial" w:hAnsi="Arial"/>
                <w:sz w:val="18"/>
                <w:szCs w:val="18"/>
                <w:color w:val="auto"/>
              </w:rPr>
              <w:t>Maryland</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PTSI Managed Services Inc.</w:t>
            </w:r>
          </w:p>
        </w:tc>
        <w:tc>
          <w:tcPr>
            <w:tcW w:w="4840" w:type="dxa"/>
            <w:vAlign w:val="bottom"/>
          </w:tcPr>
          <w:p>
            <w:pPr>
              <w:ind w:left="340"/>
              <w:spacing w:after="0"/>
              <w:rPr>
                <w:sz w:val="20"/>
                <w:szCs w:val="20"/>
                <w:color w:val="auto"/>
              </w:rPr>
            </w:pPr>
            <w:r>
              <w:rPr>
                <w:rFonts w:ascii="Arial" w:cs="Arial" w:eastAsia="Arial" w:hAnsi="Arial"/>
                <w:sz w:val="18"/>
                <w:szCs w:val="18"/>
                <w:color w:val="auto"/>
              </w:rPr>
              <w:t>California</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QRC, LLC</w:t>
            </w:r>
          </w:p>
        </w:tc>
        <w:tc>
          <w:tcPr>
            <w:tcW w:w="4840" w:type="dxa"/>
            <w:vAlign w:val="bottom"/>
          </w:tcPr>
          <w:p>
            <w:pPr>
              <w:ind w:left="340"/>
              <w:spacing w:after="0"/>
              <w:rPr>
                <w:sz w:val="20"/>
                <w:szCs w:val="20"/>
                <w:color w:val="auto"/>
              </w:rPr>
            </w:pPr>
            <w:r>
              <w:rPr>
                <w:rFonts w:ascii="Arial" w:cs="Arial" w:eastAsia="Arial" w:hAnsi="Arial"/>
                <w:sz w:val="18"/>
                <w:szCs w:val="18"/>
                <w:color w:val="auto"/>
              </w:rPr>
              <w:t>Virginia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Rapid Imaging Technologies LLC</w:t>
            </w:r>
          </w:p>
        </w:tc>
        <w:tc>
          <w:tcPr>
            <w:tcW w:w="4840" w:type="dxa"/>
            <w:vAlign w:val="bottom"/>
          </w:tcPr>
          <w:p>
            <w:pPr>
              <w:ind w:left="340"/>
              <w:spacing w:after="0"/>
              <w:rPr>
                <w:sz w:val="20"/>
                <w:szCs w:val="20"/>
                <w:color w:val="auto"/>
              </w:rPr>
            </w:pPr>
            <w:r>
              <w:rPr>
                <w:rFonts w:ascii="Arial" w:cs="Arial" w:eastAsia="Arial" w:hAnsi="Arial"/>
                <w:sz w:val="18"/>
                <w:szCs w:val="18"/>
                <w:color w:val="auto"/>
              </w:rPr>
              <w:t>Maryland</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RMP Infrastructure Holdings Inc.</w:t>
            </w:r>
          </w:p>
        </w:tc>
        <w:tc>
          <w:tcPr>
            <w:tcW w:w="4840" w:type="dxa"/>
            <w:vAlign w:val="bottom"/>
          </w:tcPr>
          <w:p>
            <w:pPr>
              <w:ind w:left="340"/>
              <w:spacing w:after="0"/>
              <w:rPr>
                <w:sz w:val="20"/>
                <w:szCs w:val="20"/>
                <w:color w:val="auto"/>
              </w:rPr>
            </w:pPr>
            <w:r>
              <w:rPr>
                <w:rFonts w:ascii="Arial" w:cs="Arial" w:eastAsia="Arial" w:hAnsi="Arial"/>
                <w:sz w:val="18"/>
                <w:szCs w:val="18"/>
                <w:color w:val="auto"/>
              </w:rPr>
              <w:t>Federally Chartered</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S&amp;P Geology Services P.C.</w:t>
            </w:r>
          </w:p>
        </w:tc>
        <w:tc>
          <w:tcPr>
            <w:tcW w:w="4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Sage Management Enterprise, LLC</w:t>
            </w:r>
          </w:p>
        </w:tc>
        <w:tc>
          <w:tcPr>
            <w:tcW w:w="4840" w:type="dxa"/>
            <w:vAlign w:val="bottom"/>
          </w:tcPr>
          <w:p>
            <w:pPr>
              <w:ind w:left="340"/>
              <w:spacing w:after="0"/>
              <w:rPr>
                <w:sz w:val="20"/>
                <w:szCs w:val="20"/>
                <w:color w:val="auto"/>
              </w:rPr>
            </w:pPr>
            <w:r>
              <w:rPr>
                <w:rFonts w:ascii="Arial" w:cs="Arial" w:eastAsia="Arial" w:hAnsi="Arial"/>
                <w:sz w:val="18"/>
                <w:szCs w:val="18"/>
                <w:color w:val="auto"/>
              </w:rPr>
              <w:t>Maryland</w:t>
            </w: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Saudi Arabian Parsons for Engineering Consulting Company (Professional</w:t>
            </w:r>
          </w:p>
        </w:tc>
        <w:tc>
          <w:tcPr>
            <w:tcW w:w="4840" w:type="dxa"/>
            <w:vAlign w:val="bottom"/>
          </w:tcPr>
          <w:p>
            <w:pPr>
              <w:ind w:left="340"/>
              <w:spacing w:after="0" w:line="202" w:lineRule="exact"/>
              <w:rPr>
                <w:sz w:val="20"/>
                <w:szCs w:val="20"/>
                <w:color w:val="auto"/>
              </w:rPr>
            </w:pPr>
            <w:r>
              <w:rPr>
                <w:rFonts w:ascii="Arial" w:cs="Arial" w:eastAsia="Arial" w:hAnsi="Arial"/>
                <w:sz w:val="18"/>
                <w:szCs w:val="18"/>
                <w:color w:val="auto"/>
              </w:rPr>
              <w:t>Saudi Arabia</w:t>
            </w:r>
          </w:p>
        </w:tc>
      </w:tr>
      <w:tr>
        <w:trPr>
          <w:trHeight w:val="239"/>
        </w:trPr>
        <w:tc>
          <w:tcPr>
            <w:tcW w:w="6400" w:type="dxa"/>
            <w:vAlign w:val="bottom"/>
          </w:tcPr>
          <w:p>
            <w:pPr>
              <w:ind w:left="100"/>
              <w:spacing w:after="0"/>
              <w:rPr>
                <w:sz w:val="20"/>
                <w:szCs w:val="20"/>
                <w:color w:val="auto"/>
              </w:rPr>
            </w:pPr>
            <w:r>
              <w:rPr>
                <w:rFonts w:ascii="Arial" w:cs="Arial" w:eastAsia="Arial" w:hAnsi="Arial"/>
                <w:sz w:val="18"/>
                <w:szCs w:val="18"/>
                <w:color w:val="auto"/>
              </w:rPr>
              <w:t>Limited Liability Company)</w:t>
            </w:r>
          </w:p>
        </w:tc>
        <w:tc>
          <w:tcPr>
            <w:tcW w:w="4840" w:type="dxa"/>
            <w:vAlign w:val="bottom"/>
          </w:tcPr>
          <w:p>
            <w:pPr>
              <w:spacing w:after="0"/>
              <w:rPr>
                <w:sz w:val="20"/>
                <w:szCs w:val="20"/>
                <w:color w:val="auto"/>
              </w:rPr>
            </w:pPr>
          </w:p>
        </w:tc>
      </w:tr>
      <w:tr>
        <w:trPr>
          <w:trHeight w:val="247"/>
        </w:trPr>
        <w:tc>
          <w:tcPr>
            <w:tcW w:w="6400" w:type="dxa"/>
            <w:vAlign w:val="bottom"/>
          </w:tcPr>
          <w:p>
            <w:pPr>
              <w:ind w:left="100"/>
              <w:spacing w:after="0"/>
              <w:rPr>
                <w:sz w:val="20"/>
                <w:szCs w:val="20"/>
                <w:color w:val="auto"/>
              </w:rPr>
            </w:pPr>
            <w:r>
              <w:rPr>
                <w:rFonts w:ascii="Arial" w:cs="Arial" w:eastAsia="Arial" w:hAnsi="Arial"/>
                <w:sz w:val="18"/>
                <w:szCs w:val="18"/>
                <w:color w:val="auto"/>
              </w:rPr>
              <w:t>Saudi Arabian Parsons Limited</w:t>
            </w:r>
          </w:p>
        </w:tc>
        <w:tc>
          <w:tcPr>
            <w:tcW w:w="4840" w:type="dxa"/>
            <w:vAlign w:val="bottom"/>
          </w:tcPr>
          <w:p>
            <w:pPr>
              <w:ind w:left="340"/>
              <w:spacing w:after="0"/>
              <w:rPr>
                <w:sz w:val="20"/>
                <w:szCs w:val="20"/>
                <w:color w:val="auto"/>
              </w:rPr>
            </w:pPr>
            <w:r>
              <w:rPr>
                <w:rFonts w:ascii="Arial" w:cs="Arial" w:eastAsia="Arial" w:hAnsi="Arial"/>
                <w:sz w:val="18"/>
                <w:szCs w:val="18"/>
                <w:color w:val="auto"/>
              </w:rPr>
              <w:t>Saudi Arabia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Sealing Technologies, LLC</w:t>
            </w:r>
          </w:p>
        </w:tc>
        <w:tc>
          <w:tcPr>
            <w:tcW w:w="4840" w:type="dxa"/>
            <w:vAlign w:val="bottom"/>
          </w:tcPr>
          <w:p>
            <w:pPr>
              <w:ind w:left="340"/>
              <w:spacing w:after="0"/>
              <w:rPr>
                <w:sz w:val="20"/>
                <w:szCs w:val="20"/>
                <w:color w:val="auto"/>
              </w:rPr>
            </w:pPr>
            <w:r>
              <w:rPr>
                <w:rFonts w:ascii="Arial" w:cs="Arial" w:eastAsia="Arial" w:hAnsi="Arial"/>
                <w:sz w:val="18"/>
                <w:szCs w:val="18"/>
                <w:color w:val="auto"/>
              </w:rPr>
              <w:t>Maryland</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SGTP Highway Bypass GP Inc.</w:t>
            </w:r>
          </w:p>
        </w:tc>
        <w:tc>
          <w:tcPr>
            <w:tcW w:w="4840" w:type="dxa"/>
            <w:vAlign w:val="bottom"/>
          </w:tcPr>
          <w:p>
            <w:pPr>
              <w:ind w:left="340"/>
              <w:spacing w:after="0"/>
              <w:rPr>
                <w:sz w:val="20"/>
                <w:szCs w:val="20"/>
                <w:color w:val="auto"/>
              </w:rPr>
            </w:pPr>
            <w:r>
              <w:rPr>
                <w:rFonts w:ascii="Arial" w:cs="Arial" w:eastAsia="Arial" w:hAnsi="Arial"/>
                <w:sz w:val="18"/>
                <w:szCs w:val="18"/>
                <w:color w:val="auto"/>
              </w:rPr>
              <w:t>Saskatchewan</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SGTP Highway Bypass Limited Partnership</w:t>
            </w:r>
          </w:p>
        </w:tc>
        <w:tc>
          <w:tcPr>
            <w:tcW w:w="4840" w:type="dxa"/>
            <w:vAlign w:val="bottom"/>
          </w:tcPr>
          <w:p>
            <w:pPr>
              <w:ind w:left="340"/>
              <w:spacing w:after="0"/>
              <w:rPr>
                <w:sz w:val="20"/>
                <w:szCs w:val="20"/>
                <w:color w:val="auto"/>
              </w:rPr>
            </w:pPr>
            <w:r>
              <w:rPr>
                <w:rFonts w:ascii="Arial" w:cs="Arial" w:eastAsia="Arial" w:hAnsi="Arial"/>
                <w:sz w:val="18"/>
                <w:szCs w:val="18"/>
                <w:color w:val="auto"/>
              </w:rPr>
              <w:t>Saskatchewan</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Silver Palm Technologies, LLC</w:t>
            </w:r>
          </w:p>
        </w:tc>
        <w:tc>
          <w:tcPr>
            <w:tcW w:w="4840" w:type="dxa"/>
            <w:vAlign w:val="bottom"/>
          </w:tcPr>
          <w:p>
            <w:pPr>
              <w:ind w:left="340"/>
              <w:spacing w:after="0"/>
              <w:rPr>
                <w:sz w:val="20"/>
                <w:szCs w:val="20"/>
                <w:color w:val="auto"/>
              </w:rPr>
            </w:pPr>
            <w:r>
              <w:rPr>
                <w:rFonts w:ascii="Arial" w:cs="Arial" w:eastAsia="Arial" w:hAnsi="Arial"/>
                <w:sz w:val="18"/>
                <w:szCs w:val="18"/>
                <w:color w:val="auto"/>
              </w:rPr>
              <w:t>Maryland</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Solidyn Solutions, LLC</w:t>
            </w:r>
          </w:p>
        </w:tc>
        <w:tc>
          <w:tcPr>
            <w:tcW w:w="4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Space Ground System Solutions, Inc.</w:t>
            </w:r>
          </w:p>
        </w:tc>
        <w:tc>
          <w:tcPr>
            <w:tcW w:w="4840" w:type="dxa"/>
            <w:vAlign w:val="bottom"/>
          </w:tcPr>
          <w:p>
            <w:pPr>
              <w:ind w:left="340"/>
              <w:spacing w:after="0"/>
              <w:rPr>
                <w:sz w:val="20"/>
                <w:szCs w:val="20"/>
                <w:color w:val="auto"/>
              </w:rPr>
            </w:pPr>
            <w:r>
              <w:rPr>
                <w:rFonts w:ascii="Arial" w:cs="Arial" w:eastAsia="Arial" w:hAnsi="Arial"/>
                <w:sz w:val="18"/>
                <w:szCs w:val="18"/>
                <w:color w:val="auto"/>
              </w:rPr>
              <w:t>Florida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SPW 2020 LLC</w:t>
            </w:r>
          </w:p>
        </w:tc>
        <w:tc>
          <w:tcPr>
            <w:tcW w:w="4840" w:type="dxa"/>
            <w:vAlign w:val="bottom"/>
          </w:tcPr>
          <w:p>
            <w:pPr>
              <w:ind w:left="340"/>
              <w:spacing w:after="0"/>
              <w:rPr>
                <w:sz w:val="20"/>
                <w:szCs w:val="20"/>
                <w:color w:val="auto"/>
              </w:rPr>
            </w:pPr>
            <w:r>
              <w:rPr>
                <w:rFonts w:ascii="Arial" w:cs="Arial" w:eastAsia="Arial" w:hAnsi="Arial"/>
                <w:sz w:val="18"/>
                <w:szCs w:val="18"/>
                <w:color w:val="auto"/>
              </w:rPr>
              <w:t>Virginia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Steinman Boynton Gronquist &amp; Birdsall</w:t>
            </w:r>
          </w:p>
        </w:tc>
        <w:tc>
          <w:tcPr>
            <w:tcW w:w="4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Steinman Inc.</w:t>
            </w:r>
          </w:p>
        </w:tc>
        <w:tc>
          <w:tcPr>
            <w:tcW w:w="4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T.J. Cross Engineers, Inc.</w:t>
            </w:r>
          </w:p>
        </w:tc>
        <w:tc>
          <w:tcPr>
            <w:tcW w:w="4840" w:type="dxa"/>
            <w:vAlign w:val="bottom"/>
          </w:tcPr>
          <w:p>
            <w:pPr>
              <w:ind w:left="340"/>
              <w:spacing w:after="0"/>
              <w:rPr>
                <w:sz w:val="20"/>
                <w:szCs w:val="20"/>
                <w:color w:val="auto"/>
              </w:rPr>
            </w:pPr>
            <w:r>
              <w:rPr>
                <w:rFonts w:ascii="Arial" w:cs="Arial" w:eastAsia="Arial" w:hAnsi="Arial"/>
                <w:sz w:val="18"/>
                <w:szCs w:val="18"/>
                <w:color w:val="auto"/>
              </w:rPr>
              <w:t>California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Tailored Engineering Deployments, LLC</w:t>
            </w:r>
          </w:p>
        </w:tc>
        <w:tc>
          <w:tcPr>
            <w:tcW w:w="4840" w:type="dxa"/>
            <w:vAlign w:val="bottom"/>
          </w:tcPr>
          <w:p>
            <w:pPr>
              <w:ind w:left="340"/>
              <w:spacing w:after="0"/>
              <w:rPr>
                <w:sz w:val="20"/>
                <w:szCs w:val="20"/>
                <w:color w:val="auto"/>
              </w:rPr>
            </w:pPr>
            <w:r>
              <w:rPr>
                <w:rFonts w:ascii="Arial" w:cs="Arial" w:eastAsia="Arial" w:hAnsi="Arial"/>
                <w:sz w:val="18"/>
                <w:szCs w:val="18"/>
                <w:color w:val="auto"/>
              </w:rPr>
              <w:t>Maryland</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TCG International Group Ltd.</w:t>
            </w:r>
          </w:p>
        </w:tc>
        <w:tc>
          <w:tcPr>
            <w:tcW w:w="4840" w:type="dxa"/>
            <w:vAlign w:val="bottom"/>
          </w:tcPr>
          <w:p>
            <w:pPr>
              <w:ind w:left="340"/>
              <w:spacing w:after="0"/>
              <w:rPr>
                <w:sz w:val="20"/>
                <w:szCs w:val="20"/>
                <w:color w:val="auto"/>
              </w:rPr>
            </w:pPr>
            <w:r>
              <w:rPr>
                <w:rFonts w:ascii="Arial" w:cs="Arial" w:eastAsia="Arial" w:hAnsi="Arial"/>
                <w:sz w:val="18"/>
                <w:szCs w:val="18"/>
                <w:color w:val="auto"/>
              </w:rPr>
              <w:t>Virginia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The Ralph M. Parsons Company</w:t>
            </w:r>
          </w:p>
        </w:tc>
        <w:tc>
          <w:tcPr>
            <w:tcW w:w="4840" w:type="dxa"/>
            <w:vAlign w:val="bottom"/>
          </w:tcPr>
          <w:p>
            <w:pPr>
              <w:ind w:left="340"/>
              <w:spacing w:after="0"/>
              <w:rPr>
                <w:sz w:val="20"/>
                <w:szCs w:val="20"/>
                <w:color w:val="auto"/>
              </w:rPr>
            </w:pPr>
            <w:r>
              <w:rPr>
                <w:rFonts w:ascii="Arial" w:cs="Arial" w:eastAsia="Arial" w:hAnsi="Arial"/>
                <w:sz w:val="18"/>
                <w:szCs w:val="18"/>
                <w:color w:val="auto"/>
              </w:rPr>
              <w:t>Nevada</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Thermal Remediation Services Europe, B.V.</w:t>
            </w:r>
          </w:p>
        </w:tc>
        <w:tc>
          <w:tcPr>
            <w:tcW w:w="4840" w:type="dxa"/>
            <w:vAlign w:val="bottom"/>
          </w:tcPr>
          <w:p>
            <w:pPr>
              <w:ind w:left="340"/>
              <w:spacing w:after="0"/>
              <w:rPr>
                <w:sz w:val="20"/>
                <w:szCs w:val="20"/>
                <w:color w:val="auto"/>
              </w:rPr>
            </w:pPr>
            <w:r>
              <w:rPr>
                <w:rFonts w:ascii="Arial" w:cs="Arial" w:eastAsia="Arial" w:hAnsi="Arial"/>
                <w:sz w:val="18"/>
                <w:szCs w:val="18"/>
                <w:color w:val="auto"/>
              </w:rPr>
              <w:t>Netherlands</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Transport Atlanta Joint Venture, LlC</w:t>
            </w:r>
          </w:p>
        </w:tc>
        <w:tc>
          <w:tcPr>
            <w:tcW w:w="4840" w:type="dxa"/>
            <w:vAlign w:val="bottom"/>
          </w:tcPr>
          <w:p>
            <w:pPr>
              <w:ind w:left="340"/>
              <w:spacing w:after="0"/>
              <w:rPr>
                <w:sz w:val="20"/>
                <w:szCs w:val="20"/>
                <w:color w:val="auto"/>
              </w:rPr>
            </w:pPr>
            <w:r>
              <w:rPr>
                <w:rFonts w:ascii="Arial" w:cs="Arial" w:eastAsia="Arial" w:hAnsi="Arial"/>
                <w:sz w:val="18"/>
                <w:szCs w:val="18"/>
                <w:color w:val="auto"/>
              </w:rPr>
              <w:t>Georgia</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Transport Atlanta Joint Venture, LLC</w:t>
            </w:r>
          </w:p>
        </w:tc>
        <w:tc>
          <w:tcPr>
            <w:tcW w:w="4840" w:type="dxa"/>
            <w:vAlign w:val="bottom"/>
          </w:tcPr>
          <w:p>
            <w:pPr>
              <w:ind w:left="340"/>
              <w:spacing w:after="0"/>
              <w:rPr>
                <w:sz w:val="20"/>
                <w:szCs w:val="20"/>
                <w:color w:val="auto"/>
              </w:rPr>
            </w:pPr>
            <w:r>
              <w:rPr>
                <w:rFonts w:ascii="Arial" w:cs="Arial" w:eastAsia="Arial" w:hAnsi="Arial"/>
                <w:sz w:val="18"/>
                <w:szCs w:val="18"/>
                <w:color w:val="auto"/>
              </w:rPr>
              <w:t>Georgia</w:t>
            </w:r>
          </w:p>
        </w:tc>
      </w:tr>
      <w:tr>
        <w:trPr>
          <w:trHeight w:val="229"/>
        </w:trPr>
        <w:tc>
          <w:tcPr>
            <w:tcW w:w="6400" w:type="dxa"/>
            <w:vAlign w:val="bottom"/>
          </w:tcPr>
          <w:p>
            <w:pPr>
              <w:ind w:left="100"/>
              <w:spacing w:after="0"/>
              <w:rPr>
                <w:sz w:val="20"/>
                <w:szCs w:val="20"/>
                <w:color w:val="auto"/>
              </w:rPr>
            </w:pPr>
            <w:r>
              <w:rPr>
                <w:rFonts w:ascii="Arial" w:cs="Arial" w:eastAsia="Arial" w:hAnsi="Arial"/>
                <w:sz w:val="18"/>
                <w:szCs w:val="18"/>
                <w:color w:val="auto"/>
              </w:rPr>
              <w:t>TRS Group, Inc.</w:t>
            </w:r>
          </w:p>
        </w:tc>
        <w:tc>
          <w:tcPr>
            <w:tcW w:w="4840" w:type="dxa"/>
            <w:vAlign w:val="bottom"/>
          </w:tcPr>
          <w:p>
            <w:pPr>
              <w:ind w:left="340"/>
              <w:spacing w:after="0"/>
              <w:rPr>
                <w:sz w:val="20"/>
                <w:szCs w:val="20"/>
                <w:color w:val="auto"/>
              </w:rPr>
            </w:pPr>
            <w:r>
              <w:rPr>
                <w:rFonts w:ascii="Arial" w:cs="Arial" w:eastAsia="Arial" w:hAnsi="Arial"/>
                <w:sz w:val="18"/>
                <w:szCs w:val="18"/>
                <w:color w:val="auto"/>
              </w:rPr>
              <w:t>Washington</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TRS International B.V.</w:t>
            </w:r>
          </w:p>
        </w:tc>
        <w:tc>
          <w:tcPr>
            <w:tcW w:w="4840" w:type="dxa"/>
            <w:vAlign w:val="bottom"/>
          </w:tcPr>
          <w:p>
            <w:pPr>
              <w:ind w:left="340"/>
              <w:spacing w:after="0"/>
              <w:rPr>
                <w:sz w:val="20"/>
                <w:szCs w:val="20"/>
                <w:color w:val="auto"/>
              </w:rPr>
            </w:pPr>
            <w:r>
              <w:rPr>
                <w:rFonts w:ascii="Arial" w:cs="Arial" w:eastAsia="Arial" w:hAnsi="Arial"/>
                <w:sz w:val="18"/>
                <w:szCs w:val="18"/>
                <w:color w:val="auto"/>
              </w:rPr>
              <w:t>Netherlands</w:t>
            </w:r>
          </w:p>
        </w:tc>
      </w:tr>
      <w:tr>
        <w:trPr>
          <w:trHeight w:val="239"/>
        </w:trPr>
        <w:tc>
          <w:tcPr>
            <w:tcW w:w="6400" w:type="dxa"/>
            <w:vAlign w:val="bottom"/>
          </w:tcPr>
          <w:p>
            <w:pPr>
              <w:ind w:left="100"/>
              <w:spacing w:after="0"/>
              <w:rPr>
                <w:sz w:val="20"/>
                <w:szCs w:val="20"/>
                <w:color w:val="auto"/>
              </w:rPr>
            </w:pPr>
            <w:r>
              <w:rPr>
                <w:rFonts w:ascii="Arial" w:cs="Arial" w:eastAsia="Arial" w:hAnsi="Arial"/>
                <w:sz w:val="18"/>
                <w:szCs w:val="18"/>
                <w:color w:val="auto"/>
              </w:rPr>
              <w:t>TSM LLC</w:t>
            </w:r>
          </w:p>
        </w:tc>
        <w:tc>
          <w:tcPr>
            <w:tcW w:w="4840" w:type="dxa"/>
            <w:vAlign w:val="bottom"/>
          </w:tcPr>
          <w:p>
            <w:pPr>
              <w:ind w:left="340"/>
              <w:spacing w:after="0"/>
              <w:rPr>
                <w:sz w:val="20"/>
                <w:szCs w:val="20"/>
                <w:color w:val="auto"/>
              </w:rPr>
            </w:pPr>
            <w:r>
              <w:rPr>
                <w:rFonts w:ascii="Arial" w:cs="Arial" w:eastAsia="Arial" w:hAnsi="Arial"/>
                <w:sz w:val="18"/>
                <w:szCs w:val="18"/>
                <w:color w:val="auto"/>
              </w:rPr>
              <w:t>Tennessee</w:t>
            </w:r>
          </w:p>
        </w:tc>
      </w:tr>
      <w:tr>
        <w:trPr>
          <w:trHeight w:val="1421"/>
        </w:trPr>
        <w:tc>
          <w:tcPr>
            <w:tcW w:w="64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r>
              <w:rPr>
                <w:rFonts w:ascii="Arial" w:cs="Arial" w:eastAsia="Arial" w:hAnsi="Arial"/>
                <w:sz w:val="18"/>
                <w:szCs w:val="18"/>
                <w:color w:val="auto"/>
              </w:rPr>
              <w:t>Exhibit 21.1</w:t>
            </w:r>
          </w:p>
        </w:tc>
        <w:tc>
          <w:tcPr>
            <w:tcW w:w="5940" w:type="dxa"/>
            <w:vAlign w:val="bottom"/>
          </w:tcPr>
          <w:p>
            <w:pPr>
              <w:spacing w:after="0"/>
              <w:rPr>
                <w:sz w:val="20"/>
                <w:szCs w:val="20"/>
                <w:color w:val="auto"/>
              </w:rPr>
            </w:pPr>
          </w:p>
        </w:tc>
      </w:tr>
      <w:tr>
        <w:trPr>
          <w:trHeight w:val="639"/>
        </w:trPr>
        <w:tc>
          <w:tcPr>
            <w:tcW w:w="5300" w:type="dxa"/>
            <w:vAlign w:val="bottom"/>
          </w:tcPr>
          <w:p>
            <w:pPr>
              <w:ind w:left="100"/>
              <w:spacing w:after="0"/>
              <w:rPr>
                <w:sz w:val="20"/>
                <w:szCs w:val="20"/>
                <w:color w:val="auto"/>
              </w:rPr>
            </w:pPr>
            <w:r>
              <w:rPr>
                <w:rFonts w:ascii="Arial" w:cs="Arial" w:eastAsia="Arial" w:hAnsi="Arial"/>
                <w:sz w:val="18"/>
                <w:szCs w:val="18"/>
                <w:color w:val="auto"/>
              </w:rPr>
              <w:t>VAXCOM SERVICES LLC</w:t>
            </w:r>
          </w:p>
        </w:tc>
        <w:tc>
          <w:tcPr>
            <w:tcW w:w="59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5300" w:type="dxa"/>
            <w:vAlign w:val="bottom"/>
          </w:tcPr>
          <w:p>
            <w:pPr>
              <w:ind w:left="100"/>
              <w:spacing w:after="0"/>
              <w:rPr>
                <w:sz w:val="20"/>
                <w:szCs w:val="20"/>
                <w:color w:val="auto"/>
              </w:rPr>
            </w:pPr>
            <w:r>
              <w:rPr>
                <w:rFonts w:ascii="Arial" w:cs="Arial" w:eastAsia="Arial" w:hAnsi="Arial"/>
                <w:sz w:val="18"/>
                <w:szCs w:val="18"/>
                <w:color w:val="auto"/>
              </w:rPr>
              <w:t>Virginia Systems and Technology, Inc.</w:t>
            </w:r>
          </w:p>
        </w:tc>
        <w:tc>
          <w:tcPr>
            <w:tcW w:w="5940" w:type="dxa"/>
            <w:vAlign w:val="bottom"/>
          </w:tcPr>
          <w:p>
            <w:pPr>
              <w:ind w:left="1440"/>
              <w:spacing w:after="0"/>
              <w:rPr>
                <w:sz w:val="20"/>
                <w:szCs w:val="20"/>
                <w:color w:val="auto"/>
              </w:rPr>
            </w:pPr>
            <w:r>
              <w:rPr>
                <w:rFonts w:ascii="Arial" w:cs="Arial" w:eastAsia="Arial" w:hAnsi="Arial"/>
                <w:sz w:val="18"/>
                <w:szCs w:val="18"/>
                <w:color w:val="auto"/>
              </w:rPr>
              <w:t>Virginia</w:t>
            </w:r>
          </w:p>
        </w:tc>
      </w:tr>
      <w:tr>
        <w:trPr>
          <w:trHeight w:val="230"/>
        </w:trPr>
        <w:tc>
          <w:tcPr>
            <w:tcW w:w="5300" w:type="dxa"/>
            <w:vAlign w:val="bottom"/>
          </w:tcPr>
          <w:p>
            <w:pPr>
              <w:ind w:left="100"/>
              <w:spacing w:after="0"/>
              <w:rPr>
                <w:sz w:val="20"/>
                <w:szCs w:val="20"/>
                <w:color w:val="auto"/>
              </w:rPr>
            </w:pPr>
            <w:r>
              <w:rPr>
                <w:rFonts w:ascii="Arial" w:cs="Arial" w:eastAsia="Arial" w:hAnsi="Arial"/>
                <w:sz w:val="18"/>
                <w:szCs w:val="18"/>
                <w:color w:val="auto"/>
              </w:rPr>
              <w:t>West Corridor Developers General Partnership</w:t>
            </w:r>
          </w:p>
        </w:tc>
        <w:tc>
          <w:tcPr>
            <w:tcW w:w="5940" w:type="dxa"/>
            <w:vAlign w:val="bottom"/>
          </w:tcPr>
          <w:p>
            <w:pPr>
              <w:ind w:left="1440"/>
              <w:spacing w:after="0"/>
              <w:rPr>
                <w:sz w:val="20"/>
                <w:szCs w:val="20"/>
                <w:color w:val="auto"/>
              </w:rPr>
            </w:pPr>
            <w:r>
              <w:rPr>
                <w:rFonts w:ascii="Arial" w:cs="Arial" w:eastAsia="Arial" w:hAnsi="Arial"/>
                <w:sz w:val="18"/>
                <w:szCs w:val="18"/>
                <w:color w:val="auto"/>
              </w:rPr>
              <w:t>Alberta</w:t>
            </w:r>
          </w:p>
        </w:tc>
      </w:tr>
      <w:tr>
        <w:trPr>
          <w:trHeight w:val="229"/>
        </w:trPr>
        <w:tc>
          <w:tcPr>
            <w:tcW w:w="5300" w:type="dxa"/>
            <w:vAlign w:val="bottom"/>
          </w:tcPr>
          <w:p>
            <w:pPr>
              <w:ind w:left="100"/>
              <w:spacing w:after="0"/>
              <w:rPr>
                <w:sz w:val="20"/>
                <w:szCs w:val="20"/>
                <w:color w:val="auto"/>
              </w:rPr>
            </w:pPr>
            <w:r>
              <w:rPr>
                <w:rFonts w:ascii="Arial" w:cs="Arial" w:eastAsia="Arial" w:hAnsi="Arial"/>
                <w:sz w:val="18"/>
                <w:szCs w:val="18"/>
                <w:color w:val="auto"/>
              </w:rPr>
              <w:t>Williams Electric Co., Inc.</w:t>
            </w:r>
          </w:p>
        </w:tc>
        <w:tc>
          <w:tcPr>
            <w:tcW w:w="5940" w:type="dxa"/>
            <w:vAlign w:val="bottom"/>
          </w:tcPr>
          <w:p>
            <w:pPr>
              <w:ind w:left="1440"/>
              <w:spacing w:after="0"/>
              <w:rPr>
                <w:sz w:val="20"/>
                <w:szCs w:val="20"/>
                <w:color w:val="auto"/>
              </w:rPr>
            </w:pPr>
            <w:r>
              <w:rPr>
                <w:rFonts w:ascii="Arial" w:cs="Arial" w:eastAsia="Arial" w:hAnsi="Arial"/>
                <w:sz w:val="18"/>
                <w:szCs w:val="18"/>
                <w:color w:val="auto"/>
              </w:rPr>
              <w:t>Florida</w:t>
            </w:r>
          </w:p>
        </w:tc>
      </w:tr>
      <w:tr>
        <w:trPr>
          <w:trHeight w:val="230"/>
        </w:trPr>
        <w:tc>
          <w:tcPr>
            <w:tcW w:w="5300" w:type="dxa"/>
            <w:vAlign w:val="bottom"/>
          </w:tcPr>
          <w:p>
            <w:pPr>
              <w:ind w:left="100"/>
              <w:spacing w:after="0"/>
              <w:rPr>
                <w:sz w:val="20"/>
                <w:szCs w:val="20"/>
                <w:color w:val="auto"/>
              </w:rPr>
            </w:pPr>
            <w:r>
              <w:rPr>
                <w:rFonts w:ascii="Arial" w:cs="Arial" w:eastAsia="Arial" w:hAnsi="Arial"/>
                <w:sz w:val="18"/>
                <w:szCs w:val="18"/>
                <w:color w:val="auto"/>
              </w:rPr>
              <w:t>Xator AFG LLC</w:t>
            </w:r>
          </w:p>
        </w:tc>
        <w:tc>
          <w:tcPr>
            <w:tcW w:w="59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39"/>
        </w:trPr>
        <w:tc>
          <w:tcPr>
            <w:tcW w:w="5300" w:type="dxa"/>
            <w:vAlign w:val="bottom"/>
          </w:tcPr>
          <w:p>
            <w:pPr>
              <w:ind w:left="100"/>
              <w:spacing w:after="0"/>
              <w:rPr>
                <w:sz w:val="20"/>
                <w:szCs w:val="20"/>
                <w:color w:val="auto"/>
              </w:rPr>
            </w:pPr>
            <w:r>
              <w:rPr>
                <w:rFonts w:ascii="Arial" w:cs="Arial" w:eastAsia="Arial" w:hAnsi="Arial"/>
                <w:sz w:val="18"/>
                <w:szCs w:val="18"/>
                <w:color w:val="auto"/>
              </w:rPr>
              <w:t>Xator LLC</w:t>
            </w:r>
          </w:p>
        </w:tc>
        <w:tc>
          <w:tcPr>
            <w:tcW w:w="5940" w:type="dxa"/>
            <w:vAlign w:val="bottom"/>
          </w:tcPr>
          <w:p>
            <w:pPr>
              <w:ind w:left="1440"/>
              <w:spacing w:after="0"/>
              <w:rPr>
                <w:sz w:val="20"/>
                <w:szCs w:val="20"/>
                <w:color w:val="auto"/>
              </w:rPr>
            </w:pPr>
            <w:r>
              <w:rPr>
                <w:rFonts w:ascii="Arial" w:cs="Arial" w:eastAsia="Arial" w:hAnsi="Arial"/>
                <w:sz w:val="18"/>
                <w:szCs w:val="18"/>
                <w:color w:val="auto"/>
              </w:rPr>
              <w:t>Florida</w:t>
            </w:r>
          </w:p>
        </w:tc>
      </w:tr>
      <w:tr>
        <w:trPr>
          <w:trHeight w:val="1420"/>
        </w:trPr>
        <w:tc>
          <w:tcPr>
            <w:tcW w:w="530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0"/>
          <w:szCs w:val="20"/>
          <w:color w:val="auto"/>
        </w:rPr>
        <w:t>Exhibit 23.1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333-234626 and 333-231387) of Parsons Corporation of our report dated February 11, 2026 relating to the financial statements and financial statement schedule and the effectiveness of internal control over financial reporting, which appears in this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144"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5920" w:val="left"/>
          <w:tab w:leader="none" w:pos="8020" w:val="left"/>
        </w:tabs>
        <w:rPr>
          <w:sz w:val="20"/>
          <w:szCs w:val="20"/>
          <w:color w:val="auto"/>
        </w:rPr>
      </w:pPr>
      <w:r>
        <w:rPr>
          <w:rFonts w:ascii="Arial" w:cs="Arial" w:eastAsia="Arial" w:hAnsi="Arial"/>
          <w:sz w:val="18"/>
          <w:szCs w:val="18"/>
          <w:color w:val="auto"/>
        </w:rPr>
        <w:t>Date: February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8890</wp:posOffset>
            </wp:positionV>
            <wp:extent cx="31457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9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Carey A. Smith</w:t>
      </w:r>
    </w:p>
    <w:p>
      <w:pPr>
        <w:jc w:val="center"/>
        <w:ind w:left="6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5920" w:val="left"/>
          <w:tab w:leader="none" w:pos="7900" w:val="left"/>
        </w:tabs>
        <w:rPr>
          <w:sz w:val="20"/>
          <w:szCs w:val="20"/>
          <w:color w:val="auto"/>
        </w:rPr>
      </w:pPr>
      <w:r>
        <w:rPr>
          <w:rFonts w:ascii="Arial" w:cs="Arial" w:eastAsia="Arial" w:hAnsi="Arial"/>
          <w:sz w:val="18"/>
          <w:szCs w:val="18"/>
          <w:color w:val="auto"/>
        </w:rPr>
        <w:t>Date: February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8890</wp:posOffset>
            </wp:positionV>
            <wp:extent cx="31457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Matthew M. Ofilos</w:t>
      </w:r>
    </w:p>
    <w:p>
      <w:pPr>
        <w:jc w:val="center"/>
        <w:ind w:left="62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2025 as filed with the Securities and Exchange Commission on the date hereof (the “Report”), I, Carey A. Smith, Chief Executive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880" w:val="left"/>
        </w:tabs>
        <w:rPr>
          <w:sz w:val="20"/>
          <w:szCs w:val="20"/>
          <w:color w:val="auto"/>
        </w:rPr>
      </w:pPr>
      <w:r>
        <w:rPr>
          <w:rFonts w:ascii="Arial" w:cs="Arial" w:eastAsia="Arial" w:hAnsi="Arial"/>
          <w:sz w:val="18"/>
          <w:szCs w:val="18"/>
          <w:color w:val="auto"/>
        </w:rPr>
        <w:t>Date: February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9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Carey A. Smith</w:t>
      </w:r>
    </w:p>
    <w:p>
      <w:pPr>
        <w:jc w:val="center"/>
        <w:ind w:left="60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2025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February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Matthew M. Ofilos</w:t>
      </w:r>
    </w:p>
    <w:p>
      <w:pPr>
        <w:jc w:val="center"/>
        <w:ind w:left="60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5" w:name="page176"/>
    <w:bookmarkEnd w:id="1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684A48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579478FE"/>
    <w:multiLevelType w:val="hybridMultilevel"/>
    <w:lvl w:ilvl="0">
      <w:lvlJc w:val="left"/>
      <w:lvlText w:val="o"/>
      <w:numFmt w:val="bullet"/>
      <w:start w:val="1"/>
    </w:lvl>
  </w:abstractNum>
  <w:abstractNum w:abstractNumId="7">
    <w:nsid w:val="749ABB43"/>
    <w:multiLevelType w:val="hybridMultilevel"/>
    <w:lvl w:ilvl="0">
      <w:lvlJc w:val="left"/>
      <w:lvlText w:val="•"/>
      <w:numFmt w:val="bullet"/>
      <w:start w:val="1"/>
    </w:lvl>
    <w:lvl w:ilvl="1">
      <w:lvlJc w:val="left"/>
      <w:lvlText w:val="•"/>
      <w:numFmt w:val="bullet"/>
      <w:start w:val="1"/>
    </w:lvl>
  </w:abstractNum>
  <w:abstractNum w:abstractNumId="8">
    <w:nsid w:val="3DC240FB"/>
    <w:multiLevelType w:val="hybridMultilevel"/>
    <w:lvl w:ilvl="0">
      <w:lvlJc w:val="left"/>
      <w:lvlText w:val="•"/>
      <w:numFmt w:val="bullet"/>
      <w:start w:val="1"/>
    </w:lvl>
    <w:lvl w:ilvl="1">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lowerLetter"/>
      <w:start w:val="1"/>
    </w:lvl>
    <w:lvl w:ilvl="1">
      <w:lvlJc w:val="left"/>
      <w:lvlText w:val="(%2)"/>
      <w:numFmt w:val="decimal"/>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2"/>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3"/>
    </w:lvl>
  </w:abstractNum>
  <w:abstractNum w:abstractNumId="58">
    <w:nsid w:val="51D9C564"/>
    <w:multiLevelType w:val="hybridMultilevel"/>
    <w:lvl w:ilvl="0">
      <w:lvlJc w:val="left"/>
      <w:lvlText w:val="%1."/>
      <w:numFmt w:val="decimal"/>
      <w:start w:val="4"/>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5"/>
    </w:lvl>
  </w:abstractNum>
  <w:abstractNum w:abstractNumId="61">
    <w:nsid w:val="11447B73"/>
    <w:multiLevelType w:val="hybridMultilevel"/>
    <w:lvl w:ilvl="0">
      <w:lvlJc w:val="left"/>
      <w:lvlText w:val="%1."/>
      <w:numFmt w:val="decimal"/>
      <w:start w:val="6"/>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decimal"/>
      <w:start w:val="7"/>
    </w:lvl>
  </w:abstractNum>
  <w:abstractNum w:abstractNumId="64">
    <w:nsid w:val="8F2B15E"/>
    <w:multiLevelType w:val="hybridMultilevel"/>
    <w:lvl w:ilvl="0">
      <w:lvlJc w:val="left"/>
      <w:lvlText w:val="%1."/>
      <w:numFmt w:val="decimal"/>
      <w:start w:val="8"/>
    </w:lvl>
  </w:abstractNum>
  <w:abstractNum w:abstractNumId="65">
    <w:nsid w:val="1A32234B"/>
    <w:multiLevelType w:val="hybridMultilevel"/>
    <w:lvl w:ilvl="0">
      <w:lvlJc w:val="left"/>
      <w:lvlText w:val="%1."/>
      <w:numFmt w:val="decimal"/>
      <w:start w:val="9"/>
    </w:lvl>
  </w:abstractNum>
  <w:abstractNum w:abstractNumId="66">
    <w:nsid w:val="3B0FD379"/>
    <w:multiLevelType w:val="hybridMultilevel"/>
    <w:lvl w:ilvl="0">
      <w:lvlJc w:val="left"/>
      <w:lvlText w:val="%1."/>
      <w:numFmt w:val="decimal"/>
      <w:start w:val="10"/>
    </w:lvl>
  </w:abstractNum>
  <w:abstractNum w:abstractNumId="67">
    <w:nsid w:val="68EB2F63"/>
    <w:multiLevelType w:val="hybridMultilevel"/>
    <w:lvl w:ilvl="0">
      <w:lvlJc w:val="left"/>
      <w:lvlText w:val="%1."/>
      <w:numFmt w:val="decimal"/>
      <w:start w:val="1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12"/>
    </w:lvl>
  </w:abstractNum>
  <w:abstractNum w:abstractNumId="70">
    <w:nsid w:val="6A5EE64"/>
    <w:multiLevelType w:val="hybridMultilevel"/>
    <w:lvl w:ilvl="0">
      <w:lvlJc w:val="left"/>
      <w:lvlText w:val="%1."/>
      <w:numFmt w:val="decimal"/>
      <w:start w:val="13"/>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14"/>
    </w:lvl>
  </w:abstractNum>
  <w:abstractNum w:abstractNumId="73">
    <w:nsid w:val="1A27709E"/>
    <w:multiLevelType w:val="hybridMultilevel"/>
    <w:lvl w:ilvl="0">
      <w:lvlJc w:val="left"/>
      <w:lvlText w:val="%1."/>
      <w:numFmt w:val="decimal"/>
      <w:start w:val="15"/>
    </w:lvl>
  </w:abstractNum>
  <w:abstractNum w:abstractNumId="74">
    <w:nsid w:val="71EA1109"/>
    <w:multiLevelType w:val="hybridMultilevel"/>
    <w:lvl w:ilvl="0">
      <w:lvlJc w:val="left"/>
      <w:lvlText w:val="%1."/>
      <w:numFmt w:val="decimal"/>
      <w:start w:val="17"/>
    </w:lvl>
  </w:abstractNum>
  <w:abstractNum w:abstractNumId="75">
    <w:nsid w:val="100F59DC"/>
    <w:multiLevelType w:val="hybridMultilevel"/>
    <w:lvl w:ilvl="0">
      <w:lvlJc w:val="left"/>
      <w:lvlText w:val="%1."/>
      <w:numFmt w:val="decimal"/>
      <w:start w:val="18"/>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1."/>
      <w:numFmt w:val="decimal"/>
      <w:start w:val="19"/>
    </w:lvl>
  </w:abstractNum>
  <w:abstractNum w:abstractNumId="78">
    <w:nsid w:val="6F6DD9AC"/>
    <w:multiLevelType w:val="hybridMultilevel"/>
    <w:lvl w:ilvl="0">
      <w:lvlJc w:val="left"/>
      <w:lvlText w:val="%1."/>
      <w:numFmt w:val="decimal"/>
      <w:start w:val="1"/>
    </w:lvl>
    <w:lvl w:ilvl="1">
      <w:lvlJc w:val="left"/>
      <w:lvlText w:val="%2."/>
      <w:numFmt w:val="lowerLetter"/>
      <w:start w:val="1"/>
    </w:lvl>
  </w:abstractNum>
  <w:abstractNum w:abstractNumId="79">
    <w:nsid w:val="94211F2"/>
    <w:multiLevelType w:val="hybridMultilevel"/>
    <w:lvl w:ilvl="0">
      <w:lvlJc w:val="left"/>
      <w:lvlText w:val="%1."/>
      <w:numFmt w:val="lowerLetter"/>
      <w:start w:val="2"/>
    </w:lvl>
  </w:abstractNum>
  <w:abstractNum w:abstractNumId="80">
    <w:nsid w:val="885E1B"/>
    <w:multiLevelType w:val="hybridMultilevel"/>
    <w:lvl w:ilvl="0">
      <w:lvlJc w:val="left"/>
      <w:lvlText w:val="%1."/>
      <w:numFmt w:val="decimal"/>
      <w:start w:val="20"/>
    </w:lvl>
  </w:abstractNum>
  <w:abstractNum w:abstractNumId="81">
    <w:nsid w:val="76272110"/>
    <w:multiLevelType w:val="hybridMultilevel"/>
    <w:lvl w:ilvl="0">
      <w:lvlJc w:val="left"/>
      <w:lvlText w:val="(%1)"/>
      <w:numFmt w:val="lowerLetter"/>
      <w:start w:val="1"/>
    </w:lvl>
    <w:lvl w:ilvl="1">
      <w:lvlJc w:val="left"/>
      <w:lvlText w:val="%2."/>
      <w:numFmt w:val="lowerRoman"/>
      <w:start w:val="1"/>
    </w:lvl>
  </w:abstractNum>
  <w:abstractNum w:abstractNumId="82">
    <w:nsid w:val="4C04A8AF"/>
    <w:multiLevelType w:val="hybridMultilevel"/>
    <w:lvl w:ilvl="0">
      <w:lvlJc w:val="left"/>
      <w:lvlText w:val="%1."/>
      <w:numFmt w:val="decimal"/>
      <w:start w:val="21"/>
    </w:lvl>
  </w:abstractNum>
  <w:abstractNum w:abstractNumId="83">
    <w:nsid w:val="1716703B"/>
    <w:multiLevelType w:val="hybridMultilevel"/>
    <w:lvl w:ilvl="0">
      <w:lvlJc w:val="left"/>
      <w:lvlText w:val="%1."/>
      <w:numFmt w:val="decimal"/>
      <w:start w:val="1"/>
    </w:lvl>
    <w:lvl w:ilvl="1">
      <w:lvlJc w:val="left"/>
      <w:lvlText w:val="*"/>
      <w:numFmt w:val="bullet"/>
      <w:start w:val="1"/>
    </w:lvl>
  </w:abstractNum>
  <w:abstractNum w:abstractNumId="84">
    <w:nsid w:val="14E17E33"/>
    <w:multiLevelType w:val="hybridMultilevel"/>
    <w:lvl w:ilvl="0">
      <w:lvlJc w:val="left"/>
      <w:lvlText w:val="%1."/>
      <w:numFmt w:val="decimal"/>
      <w:start w:val="1"/>
    </w:lvl>
    <w:lvl w:ilvl="1">
      <w:lvlJc w:val="left"/>
      <w:lvlText w:val="*"/>
      <w:numFmt w:val="bullet"/>
      <w:start w:val="1"/>
    </w:lvl>
  </w:abstractNum>
  <w:abstractNum w:abstractNumId="85">
    <w:nsid w:val="3222E7CD"/>
    <w:multiLevelType w:val="hybridMultilevel"/>
    <w:lvl w:ilvl="0">
      <w:lvlJc w:val="left"/>
      <w:lvlText w:val="%1."/>
      <w:numFmt w:val="decimal"/>
      <w:start w:val="1"/>
    </w:lvl>
    <w:lvl w:ilvl="1">
      <w:lvlJc w:val="left"/>
      <w:lvlText w:val="*"/>
      <w:numFmt w:val="bullet"/>
      <w:start w:val="1"/>
    </w:lvl>
  </w:abstractNum>
  <w:abstractNum w:abstractNumId="86">
    <w:nsid w:val="74DE0EE3"/>
    <w:multiLevelType w:val="hybridMultilevel"/>
    <w:lvl w:ilvl="0">
      <w:lvlJc w:val="left"/>
      <w:lvlText w:val="%1."/>
      <w:numFmt w:val="decimal"/>
      <w:start w:val="1"/>
    </w:lvl>
    <w:lvl w:ilvl="1">
      <w:lvlJc w:val="left"/>
      <w:lvlText w:val="*"/>
      <w:numFmt w:val="bullet"/>
      <w:start w:val="1"/>
    </w:lvl>
  </w:abstractNum>
  <w:abstractNum w:abstractNumId="87">
    <w:nsid w:val="68EBC550"/>
    <w:multiLevelType w:val="hybridMultilevel"/>
    <w:lvl w:ilvl="0">
      <w:lvlJc w:val="left"/>
      <w:lvlText w:val="%1."/>
      <w:numFmt w:val="decimal"/>
      <w:start w:val="1"/>
    </w:lvl>
    <w:lvl w:ilvl="1">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7" Type="http://schemas.openxmlformats.org/officeDocument/2006/relationships/image" Target="media/image180.png"/><Relationship Id="rId219" Type="http://schemas.openxmlformats.org/officeDocument/2006/relationships/image" Target="media/image181.png"/><Relationship Id="rId221"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6" Type="http://schemas.openxmlformats.org/officeDocument/2006/relationships/image" Target="media/image185.png"/><Relationship Id="rId228" Type="http://schemas.openxmlformats.org/officeDocument/2006/relationships/image" Target="media/image186.png"/><Relationship Id="rId230" Type="http://schemas.openxmlformats.org/officeDocument/2006/relationships/image" Target="media/image187.png"/><Relationship Id="rId232"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2" Type="http://schemas.openxmlformats.org/officeDocument/2006/relationships/image" Target="media/image229.png"/><Relationship Id="rId293" Type="http://schemas.openxmlformats.org/officeDocument/2006/relationships/image" Target="media/image230.png"/><Relationship Id="rId294"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9" Type="http://schemas.openxmlformats.org/officeDocument/2006/relationships/image" Target="media/image234.png"/><Relationship Id="rId301" Type="http://schemas.openxmlformats.org/officeDocument/2006/relationships/image" Target="media/image235.png"/><Relationship Id="rId303" Type="http://schemas.openxmlformats.org/officeDocument/2006/relationships/image" Target="media/image236.png"/><Relationship Id="rId304" Type="http://schemas.openxmlformats.org/officeDocument/2006/relationships/image" Target="media/image237.png"/><Relationship Id="rId316" Type="http://schemas.openxmlformats.org/officeDocument/2006/relationships/image" Target="media/image238.png"/><Relationship Id="rId317" Type="http://schemas.openxmlformats.org/officeDocument/2006/relationships/image" Target="media/image239.png"/><Relationship Id="rId321" Type="http://schemas.openxmlformats.org/officeDocument/2006/relationships/image" Target="media/image240.png"/><Relationship Id="rId322" Type="http://schemas.openxmlformats.org/officeDocument/2006/relationships/image" Target="media/image241.png"/><Relationship Id="rId323" Type="http://schemas.openxmlformats.org/officeDocument/2006/relationships/image" Target="media/image242.png"/><Relationship Id="rId324" Type="http://schemas.openxmlformats.org/officeDocument/2006/relationships/image" Target="media/image243.png"/><Relationship Id="rId325" Type="http://schemas.openxmlformats.org/officeDocument/2006/relationships/image" Target="media/image244.png"/><Relationship Id="rId326" Type="http://schemas.openxmlformats.org/officeDocument/2006/relationships/image" Target="media/image245.png"/><Relationship Id="rId327" Type="http://schemas.openxmlformats.org/officeDocument/2006/relationships/image" Target="media/image246.png"/><Relationship Id="rId328" Type="http://schemas.openxmlformats.org/officeDocument/2006/relationships/image" Target="media/image247.png"/><Relationship Id="rId329" Type="http://schemas.openxmlformats.org/officeDocument/2006/relationships/image" Target="media/image248.png"/><Relationship Id="rId330" Type="http://schemas.openxmlformats.org/officeDocument/2006/relationships/image" Target="media/image249.png"/><Relationship Id="rId331" Type="http://schemas.openxmlformats.org/officeDocument/2006/relationships/image" Target="media/image250.png"/><Relationship Id="rId332" Type="http://schemas.openxmlformats.org/officeDocument/2006/relationships/image" Target="media/image251.png"/><Relationship Id="rId333" Type="http://schemas.openxmlformats.org/officeDocument/2006/relationships/image" Target="media/image252.png"/><Relationship Id="rId334" Type="http://schemas.openxmlformats.org/officeDocument/2006/relationships/image" Target="media/image253.png"/><Relationship Id="rId335" Type="http://schemas.openxmlformats.org/officeDocument/2006/relationships/image" Target="media/image254.png"/><Relationship Id="rId336" Type="http://schemas.openxmlformats.org/officeDocument/2006/relationships/image" Target="media/image255.png"/><Relationship Id="rId337" Type="http://schemas.openxmlformats.org/officeDocument/2006/relationships/image" Target="media/image256.png"/><Relationship Id="rId338" Type="http://schemas.openxmlformats.org/officeDocument/2006/relationships/image" Target="media/image257.png"/><Relationship Id="rId339" Type="http://schemas.openxmlformats.org/officeDocument/2006/relationships/image" Target="media/image258.png"/><Relationship Id="rId340" Type="http://schemas.openxmlformats.org/officeDocument/2006/relationships/image" Target="media/image259.png"/><Relationship Id="rId341" Type="http://schemas.openxmlformats.org/officeDocument/2006/relationships/image" Target="media/image260.png"/><Relationship Id="rId342" Type="http://schemas.openxmlformats.org/officeDocument/2006/relationships/image" Target="media/image261.png"/><Relationship Id="rId343" Type="http://schemas.openxmlformats.org/officeDocument/2006/relationships/image" Target="media/image262.png"/><Relationship Id="rId344" Type="http://schemas.openxmlformats.org/officeDocument/2006/relationships/image" Target="media/image263.png"/><Relationship Id="rId345" Type="http://schemas.openxmlformats.org/officeDocument/2006/relationships/image" Target="media/image264.png"/><Relationship Id="rId346" Type="http://schemas.openxmlformats.org/officeDocument/2006/relationships/image" Target="media/image265.png"/><Relationship Id="rId347" Type="http://schemas.openxmlformats.org/officeDocument/2006/relationships/image" Target="media/image266.png"/><Relationship Id="rId348" Type="http://schemas.openxmlformats.org/officeDocument/2006/relationships/image" Target="media/image267.png"/><Relationship Id="rId349" Type="http://schemas.openxmlformats.org/officeDocument/2006/relationships/image" Target="media/image268.png"/><Relationship Id="rId350" Type="http://schemas.openxmlformats.org/officeDocument/2006/relationships/image" Target="media/image269.png"/><Relationship Id="rId351" Type="http://schemas.openxmlformats.org/officeDocument/2006/relationships/image" Target="media/image270.png"/><Relationship Id="rId352" Type="http://schemas.openxmlformats.org/officeDocument/2006/relationships/image" Target="media/image271.png"/><Relationship Id="rId353" Type="http://schemas.openxmlformats.org/officeDocument/2006/relationships/image" Target="media/image272.png"/><Relationship Id="rId354" Type="http://schemas.openxmlformats.org/officeDocument/2006/relationships/image" Target="media/image273.png"/><Relationship Id="rId355" Type="http://schemas.openxmlformats.org/officeDocument/2006/relationships/image" Target="media/image274.png"/><Relationship Id="rId356" Type="http://schemas.openxmlformats.org/officeDocument/2006/relationships/image" Target="media/image275.png"/><Relationship Id="rId357" Type="http://schemas.openxmlformats.org/officeDocument/2006/relationships/image" Target="media/image276.png"/><Relationship Id="rId358" Type="http://schemas.openxmlformats.org/officeDocument/2006/relationships/image" Target="media/image277.png"/><Relationship Id="rId359" Type="http://schemas.openxmlformats.org/officeDocument/2006/relationships/image" Target="media/image278.png"/><Relationship Id="rId360" Type="http://schemas.openxmlformats.org/officeDocument/2006/relationships/image" Target="media/image279.png"/><Relationship Id="rId361" Type="http://schemas.openxmlformats.org/officeDocument/2006/relationships/image" Target="media/image280.png"/><Relationship Id="rId362" Type="http://schemas.openxmlformats.org/officeDocument/2006/relationships/image" Target="media/image281.png"/><Relationship Id="rId363" Type="http://schemas.openxmlformats.org/officeDocument/2006/relationships/image" Target="media/image282.png"/><Relationship Id="rId364" Type="http://schemas.openxmlformats.org/officeDocument/2006/relationships/image" Target="media/image283.png"/><Relationship Id="rId365" Type="http://schemas.openxmlformats.org/officeDocument/2006/relationships/image" Target="media/image284.png"/><Relationship Id="rId366" Type="http://schemas.openxmlformats.org/officeDocument/2006/relationships/image" Target="media/image285.png"/><Relationship Id="rId367" Type="http://schemas.openxmlformats.org/officeDocument/2006/relationships/image" Target="media/image286.png"/><Relationship Id="rId368" Type="http://schemas.openxmlformats.org/officeDocument/2006/relationships/image" Target="media/image287.png"/><Relationship Id="rId369" Type="http://schemas.openxmlformats.org/officeDocument/2006/relationships/image" Target="media/image288.png"/><Relationship Id="rId370" Type="http://schemas.openxmlformats.org/officeDocument/2006/relationships/image" Target="media/image289.png"/><Relationship Id="rId371" Type="http://schemas.openxmlformats.org/officeDocument/2006/relationships/image" Target="media/image290.png"/><Relationship Id="rId372" Type="http://schemas.openxmlformats.org/officeDocument/2006/relationships/image" Target="media/image291.png"/><Relationship Id="rId373" Type="http://schemas.openxmlformats.org/officeDocument/2006/relationships/image" Target="media/image292.png"/><Relationship Id="rId374" Type="http://schemas.openxmlformats.org/officeDocument/2006/relationships/image" Target="media/image293.png"/><Relationship Id="rId375" Type="http://schemas.openxmlformats.org/officeDocument/2006/relationships/image" Target="media/image294.png"/><Relationship Id="rId376" Type="http://schemas.openxmlformats.org/officeDocument/2006/relationships/image" Target="media/image295.png"/><Relationship Id="rId377" Type="http://schemas.openxmlformats.org/officeDocument/2006/relationships/image" Target="media/image296.png"/><Relationship Id="rId378" Type="http://schemas.openxmlformats.org/officeDocument/2006/relationships/image" Target="media/image297.png"/><Relationship Id="rId379" Type="http://schemas.openxmlformats.org/officeDocument/2006/relationships/image" Target="media/image298.png"/><Relationship Id="rId380" Type="http://schemas.openxmlformats.org/officeDocument/2006/relationships/image" Target="media/image299.png"/><Relationship Id="rId381" Type="http://schemas.openxmlformats.org/officeDocument/2006/relationships/image" Target="media/image300.png"/><Relationship Id="rId382" Type="http://schemas.openxmlformats.org/officeDocument/2006/relationships/image" Target="media/image301.png"/><Relationship Id="rId383" Type="http://schemas.openxmlformats.org/officeDocument/2006/relationships/image" Target="media/image302.png"/><Relationship Id="rId384" Type="http://schemas.openxmlformats.org/officeDocument/2006/relationships/image" Target="media/image303.png"/><Relationship Id="rId385" Type="http://schemas.openxmlformats.org/officeDocument/2006/relationships/image" Target="media/image304.png"/><Relationship Id="rId386" Type="http://schemas.openxmlformats.org/officeDocument/2006/relationships/image" Target="media/image305.png"/><Relationship Id="rId387" Type="http://schemas.openxmlformats.org/officeDocument/2006/relationships/image" Target="media/image306.png"/><Relationship Id="rId388" Type="http://schemas.openxmlformats.org/officeDocument/2006/relationships/image" Target="media/image307.png"/><Relationship Id="rId389" Type="http://schemas.openxmlformats.org/officeDocument/2006/relationships/image" Target="media/image308.png"/><Relationship Id="rId390" Type="http://schemas.openxmlformats.org/officeDocument/2006/relationships/image" Target="media/image309.png"/><Relationship Id="rId391" Type="http://schemas.openxmlformats.org/officeDocument/2006/relationships/image" Target="media/image310.png"/><Relationship Id="rId392" Type="http://schemas.openxmlformats.org/officeDocument/2006/relationships/image" Target="media/image311.png"/><Relationship Id="rId393" Type="http://schemas.openxmlformats.org/officeDocument/2006/relationships/image" Target="media/image312.png"/><Relationship Id="rId394" Type="http://schemas.openxmlformats.org/officeDocument/2006/relationships/image" Target="media/image313.png"/><Relationship Id="rId395" Type="http://schemas.openxmlformats.org/officeDocument/2006/relationships/image" Target="media/image314.png"/><Relationship Id="rId396" Type="http://schemas.openxmlformats.org/officeDocument/2006/relationships/image" Target="media/image315.png"/><Relationship Id="rId397" Type="http://schemas.openxmlformats.org/officeDocument/2006/relationships/image" Target="media/image316.png"/><Relationship Id="rId398" Type="http://schemas.openxmlformats.org/officeDocument/2006/relationships/image" Target="media/image317.png"/><Relationship Id="rId399" Type="http://schemas.openxmlformats.org/officeDocument/2006/relationships/image" Target="media/image318.png"/><Relationship Id="rId400" Type="http://schemas.openxmlformats.org/officeDocument/2006/relationships/image" Target="media/image319.png"/><Relationship Id="rId401" Type="http://schemas.openxmlformats.org/officeDocument/2006/relationships/image" Target="media/image320.png"/><Relationship Id="rId402" Type="http://schemas.openxmlformats.org/officeDocument/2006/relationships/image" Target="media/image321.png"/><Relationship Id="rId403" Type="http://schemas.openxmlformats.org/officeDocument/2006/relationships/image" Target="media/image322.png"/><Relationship Id="rId404" Type="http://schemas.openxmlformats.org/officeDocument/2006/relationships/image" Target="media/image323.png"/><Relationship Id="rId405" Type="http://schemas.openxmlformats.org/officeDocument/2006/relationships/image" Target="media/image324.png"/><Relationship Id="rId406" Type="http://schemas.openxmlformats.org/officeDocument/2006/relationships/image" Target="media/image325.png"/><Relationship Id="rId407" Type="http://schemas.openxmlformats.org/officeDocument/2006/relationships/image" Target="media/image326.png"/><Relationship Id="rId408" Type="http://schemas.openxmlformats.org/officeDocument/2006/relationships/image" Target="media/image327.png"/><Relationship Id="rId409" Type="http://schemas.openxmlformats.org/officeDocument/2006/relationships/image" Target="media/image328.png"/><Relationship Id="rId410" Type="http://schemas.openxmlformats.org/officeDocument/2006/relationships/image" Target="media/image329.png"/><Relationship Id="rId411" Type="http://schemas.openxmlformats.org/officeDocument/2006/relationships/image" Target="media/image330.png"/><Relationship Id="rId412" Type="http://schemas.openxmlformats.org/officeDocument/2006/relationships/image" Target="media/image331.png"/><Relationship Id="rId413" Type="http://schemas.openxmlformats.org/officeDocument/2006/relationships/image" Target="media/image332.png"/><Relationship Id="rId414" Type="http://schemas.openxmlformats.org/officeDocument/2006/relationships/image" Target="media/image333.png"/><Relationship Id="rId415" Type="http://schemas.openxmlformats.org/officeDocument/2006/relationships/image" Target="media/image334.png"/><Relationship Id="rId416" Type="http://schemas.openxmlformats.org/officeDocument/2006/relationships/image" Target="media/image335.png"/><Relationship Id="rId417" Type="http://schemas.openxmlformats.org/officeDocument/2006/relationships/image" Target="media/image336.png"/><Relationship Id="rId418" Type="http://schemas.openxmlformats.org/officeDocument/2006/relationships/image" Target="media/image337.png"/><Relationship Id="rId419" Type="http://schemas.openxmlformats.org/officeDocument/2006/relationships/image" Target="media/image338.png"/><Relationship Id="rId420" Type="http://schemas.openxmlformats.org/officeDocument/2006/relationships/image" Target="media/image339.png"/><Relationship Id="rId421" Type="http://schemas.openxmlformats.org/officeDocument/2006/relationships/image" Target="media/image340.png"/><Relationship Id="rId422" Type="http://schemas.openxmlformats.org/officeDocument/2006/relationships/image" Target="media/image341.png"/><Relationship Id="rId423" Type="http://schemas.openxmlformats.org/officeDocument/2006/relationships/image" Target="media/image342.png"/><Relationship Id="rId424" Type="http://schemas.openxmlformats.org/officeDocument/2006/relationships/image" Target="media/image343.png"/><Relationship Id="rId425" Type="http://schemas.openxmlformats.org/officeDocument/2006/relationships/image" Target="media/image344.png"/><Relationship Id="rId426" Type="http://schemas.openxmlformats.org/officeDocument/2006/relationships/image" Target="media/image345.png"/><Relationship Id="rId427" Type="http://schemas.openxmlformats.org/officeDocument/2006/relationships/image" Target="media/image346.png"/><Relationship Id="rId428" Type="http://schemas.openxmlformats.org/officeDocument/2006/relationships/image" Target="media/image347.png"/><Relationship Id="rId429" Type="http://schemas.openxmlformats.org/officeDocument/2006/relationships/image" Target="media/image348.png"/><Relationship Id="rId430" Type="http://schemas.openxmlformats.org/officeDocument/2006/relationships/image" Target="media/image349.png"/><Relationship Id="rId431" Type="http://schemas.openxmlformats.org/officeDocument/2006/relationships/image" Target="media/image350.png"/><Relationship Id="rId432" Type="http://schemas.openxmlformats.org/officeDocument/2006/relationships/image" Target="media/image351.png"/><Relationship Id="rId433" Type="http://schemas.openxmlformats.org/officeDocument/2006/relationships/image" Target="media/image352.png"/><Relationship Id="rId434" Type="http://schemas.openxmlformats.org/officeDocument/2006/relationships/image" Target="media/image353.png"/><Relationship Id="rId435" Type="http://schemas.openxmlformats.org/officeDocument/2006/relationships/image" Target="media/image354.png"/><Relationship Id="rId436" Type="http://schemas.openxmlformats.org/officeDocument/2006/relationships/image" Target="media/image355.png"/><Relationship Id="rId437" Type="http://schemas.openxmlformats.org/officeDocument/2006/relationships/image" Target="media/image356.png"/><Relationship Id="rId438" Type="http://schemas.openxmlformats.org/officeDocument/2006/relationships/image" Target="media/image357.png"/><Relationship Id="rId439" Type="http://schemas.openxmlformats.org/officeDocument/2006/relationships/image" Target="media/image358.png"/><Relationship Id="rId440" Type="http://schemas.openxmlformats.org/officeDocument/2006/relationships/image" Target="media/image359.png"/><Relationship Id="rId441" Type="http://schemas.openxmlformats.org/officeDocument/2006/relationships/image" Target="media/image360.png"/><Relationship Id="rId442" Type="http://schemas.openxmlformats.org/officeDocument/2006/relationships/image" Target="media/image361.png"/><Relationship Id="rId443" Type="http://schemas.openxmlformats.org/officeDocument/2006/relationships/image" Target="media/image362.png"/><Relationship Id="rId444" Type="http://schemas.openxmlformats.org/officeDocument/2006/relationships/image" Target="media/image363.png"/><Relationship Id="rId445" Type="http://schemas.openxmlformats.org/officeDocument/2006/relationships/image" Target="media/image364.png"/><Relationship Id="rId446" Type="http://schemas.openxmlformats.org/officeDocument/2006/relationships/image" Target="media/image365.png"/><Relationship Id="rId447" Type="http://schemas.openxmlformats.org/officeDocument/2006/relationships/image" Target="media/image366.png"/><Relationship Id="rId448" Type="http://schemas.openxmlformats.org/officeDocument/2006/relationships/image" Target="media/image367.png"/><Relationship Id="rId449" Type="http://schemas.openxmlformats.org/officeDocument/2006/relationships/image" Target="media/image368.png"/><Relationship Id="rId450" Type="http://schemas.openxmlformats.org/officeDocument/2006/relationships/image" Target="media/image369.png"/><Relationship Id="rId451" Type="http://schemas.openxmlformats.org/officeDocument/2006/relationships/image" Target="media/image370.png"/><Relationship Id="rId452" Type="http://schemas.openxmlformats.org/officeDocument/2006/relationships/image" Target="media/image371.png"/><Relationship Id="rId453" Type="http://schemas.openxmlformats.org/officeDocument/2006/relationships/image" Target="media/image372.png"/><Relationship Id="rId454" Type="http://schemas.openxmlformats.org/officeDocument/2006/relationships/image" Target="media/image373.png"/><Relationship Id="rId455" Type="http://schemas.openxmlformats.org/officeDocument/2006/relationships/image" Target="media/image374.png"/><Relationship Id="rId456" Type="http://schemas.openxmlformats.org/officeDocument/2006/relationships/image" Target="media/image375.png"/><Relationship Id="rId457" Type="http://schemas.openxmlformats.org/officeDocument/2006/relationships/image" Target="media/image376.png"/><Relationship Id="rId458" Type="http://schemas.openxmlformats.org/officeDocument/2006/relationships/image" Target="media/image377.png"/><Relationship Id="rId459" Type="http://schemas.openxmlformats.org/officeDocument/2006/relationships/image" Target="media/image378.png"/><Relationship Id="rId460" Type="http://schemas.openxmlformats.org/officeDocument/2006/relationships/image" Target="media/image379.png"/><Relationship Id="rId461" Type="http://schemas.openxmlformats.org/officeDocument/2006/relationships/image" Target="media/image380.png"/><Relationship Id="rId462" Type="http://schemas.openxmlformats.org/officeDocument/2006/relationships/image" Target="media/image381.png"/><Relationship Id="rId463" Type="http://schemas.openxmlformats.org/officeDocument/2006/relationships/image" Target="media/image382.png"/><Relationship Id="rId464" Type="http://schemas.openxmlformats.org/officeDocument/2006/relationships/image" Target="media/image383.png"/><Relationship Id="rId465" Type="http://schemas.openxmlformats.org/officeDocument/2006/relationships/image" Target="media/image384.png"/><Relationship Id="rId466" Type="http://schemas.openxmlformats.org/officeDocument/2006/relationships/image" Target="media/image385.png"/><Relationship Id="rId467" Type="http://schemas.openxmlformats.org/officeDocument/2006/relationships/image" Target="media/image386.png"/><Relationship Id="rId468" Type="http://schemas.openxmlformats.org/officeDocument/2006/relationships/image" Target="media/image387.png"/><Relationship Id="rId469" Type="http://schemas.openxmlformats.org/officeDocument/2006/relationships/image" Target="media/image388.png"/><Relationship Id="rId470" Type="http://schemas.openxmlformats.org/officeDocument/2006/relationships/image" Target="media/image389.png"/><Relationship Id="rId471" Type="http://schemas.openxmlformats.org/officeDocument/2006/relationships/image" Target="media/image390.png"/><Relationship Id="rId472" Type="http://schemas.openxmlformats.org/officeDocument/2006/relationships/image" Target="media/image391.png"/><Relationship Id="rId473" Type="http://schemas.openxmlformats.org/officeDocument/2006/relationships/image" Target="media/image392.png"/><Relationship Id="rId474" Type="http://schemas.openxmlformats.org/officeDocument/2006/relationships/image" Target="media/image393.png"/><Relationship Id="rId475" Type="http://schemas.openxmlformats.org/officeDocument/2006/relationships/image" Target="media/image394.png"/><Relationship Id="rId476" Type="http://schemas.openxmlformats.org/officeDocument/2006/relationships/image" Target="media/image395.png"/><Relationship Id="rId477" Type="http://schemas.openxmlformats.org/officeDocument/2006/relationships/image" Target="media/image396.png"/><Relationship Id="rId478" Type="http://schemas.openxmlformats.org/officeDocument/2006/relationships/image" Target="media/image397.png"/><Relationship Id="rId479" Type="http://schemas.openxmlformats.org/officeDocument/2006/relationships/image" Target="media/image398.png"/><Relationship Id="rId480" Type="http://schemas.openxmlformats.org/officeDocument/2006/relationships/image" Target="media/image399.png"/><Relationship Id="rId481" Type="http://schemas.openxmlformats.org/officeDocument/2006/relationships/image" Target="media/image400.png"/><Relationship Id="rId482" Type="http://schemas.openxmlformats.org/officeDocument/2006/relationships/image" Target="media/image401.png"/><Relationship Id="rId483" Type="http://schemas.openxmlformats.org/officeDocument/2006/relationships/image" Target="media/image402.png"/><Relationship Id="rId484" Type="http://schemas.openxmlformats.org/officeDocument/2006/relationships/image" Target="media/image403.png"/><Relationship Id="rId485" Type="http://schemas.openxmlformats.org/officeDocument/2006/relationships/image" Target="media/image404.png"/><Relationship Id="rId486" Type="http://schemas.openxmlformats.org/officeDocument/2006/relationships/image" Target="media/image405.png"/><Relationship Id="rId487" Type="http://schemas.openxmlformats.org/officeDocument/2006/relationships/image" Target="media/image406.png"/><Relationship Id="rId488" Type="http://schemas.openxmlformats.org/officeDocument/2006/relationships/image" Target="media/image407.png"/><Relationship Id="rId489" Type="http://schemas.openxmlformats.org/officeDocument/2006/relationships/image" Target="media/image408.png"/><Relationship Id="rId490" Type="http://schemas.openxmlformats.org/officeDocument/2006/relationships/image" Target="media/image409.png"/><Relationship Id="rId491" Type="http://schemas.openxmlformats.org/officeDocument/2006/relationships/image" Target="media/image410.png"/><Relationship Id="rId492" Type="http://schemas.openxmlformats.org/officeDocument/2006/relationships/image" Target="media/image411.png"/><Relationship Id="rId493" Type="http://schemas.openxmlformats.org/officeDocument/2006/relationships/image" Target="media/image412.png"/><Relationship Id="rId494" Type="http://schemas.openxmlformats.org/officeDocument/2006/relationships/image" Target="media/image413.png"/><Relationship Id="rId495" Type="http://schemas.openxmlformats.org/officeDocument/2006/relationships/image" Target="media/image414.png"/><Relationship Id="rId496" Type="http://schemas.openxmlformats.org/officeDocument/2006/relationships/image" Target="media/image415.png"/><Relationship Id="rId497" Type="http://schemas.openxmlformats.org/officeDocument/2006/relationships/image" Target="media/image416.png"/><Relationship Id="rId498" Type="http://schemas.openxmlformats.org/officeDocument/2006/relationships/image" Target="media/image417.png"/><Relationship Id="rId499" Type="http://schemas.openxmlformats.org/officeDocument/2006/relationships/image" Target="media/image418.png"/><Relationship Id="rId500" Type="http://schemas.openxmlformats.org/officeDocument/2006/relationships/image" Target="media/image419.png"/><Relationship Id="rId501" Type="http://schemas.openxmlformats.org/officeDocument/2006/relationships/image" Target="media/image420.png"/><Relationship Id="rId502" Type="http://schemas.openxmlformats.org/officeDocument/2006/relationships/image" Target="media/image421.png"/><Relationship Id="rId503" Type="http://schemas.openxmlformats.org/officeDocument/2006/relationships/image" Target="media/image422.png"/><Relationship Id="rId504" Type="http://schemas.openxmlformats.org/officeDocument/2006/relationships/image" Target="media/image423.png"/><Relationship Id="rId505" Type="http://schemas.openxmlformats.org/officeDocument/2006/relationships/image" Target="media/image424.png"/><Relationship Id="rId506" Type="http://schemas.openxmlformats.org/officeDocument/2006/relationships/image" Target="media/image425.png"/><Relationship Id="rId507" Type="http://schemas.openxmlformats.org/officeDocument/2006/relationships/image" Target="media/image426.png"/><Relationship Id="rId508" Type="http://schemas.openxmlformats.org/officeDocument/2006/relationships/image" Target="media/image427.png"/><Relationship Id="rId509" Type="http://schemas.openxmlformats.org/officeDocument/2006/relationships/image" Target="media/image428.png"/><Relationship Id="rId510" Type="http://schemas.openxmlformats.org/officeDocument/2006/relationships/image" Target="media/image429.png"/><Relationship Id="rId511" Type="http://schemas.openxmlformats.org/officeDocument/2006/relationships/image" Target="media/image430.png"/><Relationship Id="rId512" Type="http://schemas.openxmlformats.org/officeDocument/2006/relationships/image" Target="media/image431.png"/><Relationship Id="rId513" Type="http://schemas.openxmlformats.org/officeDocument/2006/relationships/image" Target="media/image432.png"/><Relationship Id="rId514" Type="http://schemas.openxmlformats.org/officeDocument/2006/relationships/image" Target="media/image433.png"/><Relationship Id="rId515" Type="http://schemas.openxmlformats.org/officeDocument/2006/relationships/image" Target="media/image434.png"/><Relationship Id="rId516" Type="http://schemas.openxmlformats.org/officeDocument/2006/relationships/image" Target="media/image435.png"/><Relationship Id="rId517" Type="http://schemas.openxmlformats.org/officeDocument/2006/relationships/image" Target="media/image436.png"/><Relationship Id="rId518" Type="http://schemas.openxmlformats.org/officeDocument/2006/relationships/image" Target="media/image437.png"/><Relationship Id="rId519" Type="http://schemas.openxmlformats.org/officeDocument/2006/relationships/image" Target="media/image438.png"/><Relationship Id="rId520" Type="http://schemas.openxmlformats.org/officeDocument/2006/relationships/image" Target="media/image439.png"/><Relationship Id="rId521" Type="http://schemas.openxmlformats.org/officeDocument/2006/relationships/image" Target="media/image440.png"/><Relationship Id="rId522" Type="http://schemas.openxmlformats.org/officeDocument/2006/relationships/image" Target="media/image441.png"/><Relationship Id="rId523" Type="http://schemas.openxmlformats.org/officeDocument/2006/relationships/image" Target="media/image442.png"/><Relationship Id="rId524" Type="http://schemas.openxmlformats.org/officeDocument/2006/relationships/image" Target="media/image443.png"/><Relationship Id="rId525" Type="http://schemas.openxmlformats.org/officeDocument/2006/relationships/image" Target="media/image444.png"/><Relationship Id="rId526" Type="http://schemas.openxmlformats.org/officeDocument/2006/relationships/image" Target="media/image445.png"/><Relationship Id="rId527" Type="http://schemas.openxmlformats.org/officeDocument/2006/relationships/image" Target="media/image446.png"/><Relationship Id="rId528" Type="http://schemas.openxmlformats.org/officeDocument/2006/relationships/image" Target="media/image447.png"/><Relationship Id="rId529" Type="http://schemas.openxmlformats.org/officeDocument/2006/relationships/image" Target="media/image448.png"/><Relationship Id="rId530" Type="http://schemas.openxmlformats.org/officeDocument/2006/relationships/image" Target="media/image449.png"/><Relationship Id="rId531" Type="http://schemas.openxmlformats.org/officeDocument/2006/relationships/image" Target="media/image450.png"/><Relationship Id="rId532" Type="http://schemas.openxmlformats.org/officeDocument/2006/relationships/image" Target="media/image451.png"/><Relationship Id="rId533" Type="http://schemas.openxmlformats.org/officeDocument/2006/relationships/image" Target="media/image452.png"/><Relationship Id="rId534" Type="http://schemas.openxmlformats.org/officeDocument/2006/relationships/image" Target="media/image453.png"/><Relationship Id="rId535" Type="http://schemas.openxmlformats.org/officeDocument/2006/relationships/image" Target="media/image454.png"/><Relationship Id="rId536" Type="http://schemas.openxmlformats.org/officeDocument/2006/relationships/image" Target="media/image455.png"/><Relationship Id="rId537" Type="http://schemas.openxmlformats.org/officeDocument/2006/relationships/image" Target="media/image456.png"/><Relationship Id="rId538" Type="http://schemas.openxmlformats.org/officeDocument/2006/relationships/image" Target="media/image457.png"/><Relationship Id="rId539" Type="http://schemas.openxmlformats.org/officeDocument/2006/relationships/image" Target="media/image458.png"/><Relationship Id="rId540" Type="http://schemas.openxmlformats.org/officeDocument/2006/relationships/image" Target="media/image459.png"/><Relationship Id="rId541" Type="http://schemas.openxmlformats.org/officeDocument/2006/relationships/image" Target="media/image460.png"/><Relationship Id="rId542" Type="http://schemas.openxmlformats.org/officeDocument/2006/relationships/image" Target="media/image461.png"/><Relationship Id="rId543" Type="http://schemas.openxmlformats.org/officeDocument/2006/relationships/image" Target="media/image462.png"/><Relationship Id="rId544" Type="http://schemas.openxmlformats.org/officeDocument/2006/relationships/image" Target="media/image463.png"/><Relationship Id="rId545" Type="http://schemas.openxmlformats.org/officeDocument/2006/relationships/image" Target="media/image464.png"/><Relationship Id="rId546" Type="http://schemas.openxmlformats.org/officeDocument/2006/relationships/image" Target="media/image465.png"/><Relationship Id="rId547" Type="http://schemas.openxmlformats.org/officeDocument/2006/relationships/image" Target="media/image466.png"/><Relationship Id="rId548" Type="http://schemas.openxmlformats.org/officeDocument/2006/relationships/image" Target="media/image467.png"/><Relationship Id="rId549" Type="http://schemas.openxmlformats.org/officeDocument/2006/relationships/image" Target="media/image468.png"/><Relationship Id="rId550" Type="http://schemas.openxmlformats.org/officeDocument/2006/relationships/image" Target="media/image469.png"/><Relationship Id="rId551" Type="http://schemas.openxmlformats.org/officeDocument/2006/relationships/image" Target="media/image470.png"/><Relationship Id="rId552" Type="http://schemas.openxmlformats.org/officeDocument/2006/relationships/image" Target="media/image471.png"/><Relationship Id="rId553" Type="http://schemas.openxmlformats.org/officeDocument/2006/relationships/image" Target="media/image472.png"/><Relationship Id="rId554" Type="http://schemas.openxmlformats.org/officeDocument/2006/relationships/image" Target="media/image473.png"/><Relationship Id="rId555" Type="http://schemas.openxmlformats.org/officeDocument/2006/relationships/image" Target="media/image474.png"/><Relationship Id="rId556" Type="http://schemas.openxmlformats.org/officeDocument/2006/relationships/image" Target="media/image475.png"/><Relationship Id="rId557" Type="http://schemas.openxmlformats.org/officeDocument/2006/relationships/image" Target="media/image476.png"/><Relationship Id="rId558" Type="http://schemas.openxmlformats.org/officeDocument/2006/relationships/image" Target="media/image477.png"/><Relationship Id="rId559" Type="http://schemas.openxmlformats.org/officeDocument/2006/relationships/image" Target="media/image478.png"/><Relationship Id="rId560" Type="http://schemas.openxmlformats.org/officeDocument/2006/relationships/image" Target="media/image479.png"/><Relationship Id="rId561" Type="http://schemas.openxmlformats.org/officeDocument/2006/relationships/image" Target="media/image480.png"/><Relationship Id="rId562" Type="http://schemas.openxmlformats.org/officeDocument/2006/relationships/image" Target="media/image481.png"/><Relationship Id="rId563" Type="http://schemas.openxmlformats.org/officeDocument/2006/relationships/image" Target="media/image482.png"/><Relationship Id="rId564" Type="http://schemas.openxmlformats.org/officeDocument/2006/relationships/image" Target="media/image483.png"/><Relationship Id="rId565" Type="http://schemas.openxmlformats.org/officeDocument/2006/relationships/image" Target="media/image484.png"/><Relationship Id="rId566" Type="http://schemas.openxmlformats.org/officeDocument/2006/relationships/image" Target="media/image485.png"/><Relationship Id="rId567" Type="http://schemas.openxmlformats.org/officeDocument/2006/relationships/image" Target="media/image486.png"/><Relationship Id="rId568" Type="http://schemas.openxmlformats.org/officeDocument/2006/relationships/image" Target="media/image487.png"/><Relationship Id="rId569" Type="http://schemas.openxmlformats.org/officeDocument/2006/relationships/image" Target="media/image488.png"/><Relationship Id="rId570" Type="http://schemas.openxmlformats.org/officeDocument/2006/relationships/image" Target="media/image489.png"/><Relationship Id="rId571" Type="http://schemas.openxmlformats.org/officeDocument/2006/relationships/image" Target="media/image490.png"/><Relationship Id="rId572" Type="http://schemas.openxmlformats.org/officeDocument/2006/relationships/image" Target="media/image491.png"/><Relationship Id="rId573" Type="http://schemas.openxmlformats.org/officeDocument/2006/relationships/image" Target="media/image492.png"/><Relationship Id="rId574" Type="http://schemas.openxmlformats.org/officeDocument/2006/relationships/image" Target="media/image493.png"/><Relationship Id="rId575" Type="http://schemas.openxmlformats.org/officeDocument/2006/relationships/image" Target="media/image494.png"/><Relationship Id="rId576" Type="http://schemas.openxmlformats.org/officeDocument/2006/relationships/image" Target="media/image495.png"/><Relationship Id="rId577" Type="http://schemas.openxmlformats.org/officeDocument/2006/relationships/image" Target="media/image496.png"/><Relationship Id="rId578" Type="http://schemas.openxmlformats.org/officeDocument/2006/relationships/image" Target="media/image497.png"/><Relationship Id="rId579" Type="http://schemas.openxmlformats.org/officeDocument/2006/relationships/image" Target="media/image498.png"/><Relationship Id="rId580" Type="http://schemas.openxmlformats.org/officeDocument/2006/relationships/image" Target="media/image499.png"/><Relationship Id="rId581" Type="http://schemas.openxmlformats.org/officeDocument/2006/relationships/image" Target="media/image500.png"/><Relationship Id="rId582" Type="http://schemas.openxmlformats.org/officeDocument/2006/relationships/image" Target="media/image501.png"/><Relationship Id="rId583" Type="http://schemas.openxmlformats.org/officeDocument/2006/relationships/image" Target="media/image502.png"/><Relationship Id="rId584" Type="http://schemas.openxmlformats.org/officeDocument/2006/relationships/image" Target="media/image503.png"/><Relationship Id="rId585" Type="http://schemas.openxmlformats.org/officeDocument/2006/relationships/image" Target="media/image504.png"/><Relationship Id="rId586" Type="http://schemas.openxmlformats.org/officeDocument/2006/relationships/image" Target="media/image505.png"/><Relationship Id="rId587" Type="http://schemas.openxmlformats.org/officeDocument/2006/relationships/image" Target="media/image506.png"/><Relationship Id="rId588" Type="http://schemas.openxmlformats.org/officeDocument/2006/relationships/image" Target="media/image507.png"/><Relationship Id="rId589" Type="http://schemas.openxmlformats.org/officeDocument/2006/relationships/image" Target="media/image508.png"/><Relationship Id="rId590" Type="http://schemas.openxmlformats.org/officeDocument/2006/relationships/image" Target="media/image509.png"/><Relationship Id="rId591" Type="http://schemas.openxmlformats.org/officeDocument/2006/relationships/image" Target="media/image510.png"/><Relationship Id="rId592" Type="http://schemas.openxmlformats.org/officeDocument/2006/relationships/image" Target="media/image511.png"/><Relationship Id="rId593" Type="http://schemas.openxmlformats.org/officeDocument/2006/relationships/image" Target="media/image512.png"/><Relationship Id="rId594" Type="http://schemas.openxmlformats.org/officeDocument/2006/relationships/image" Target="media/image513.png"/><Relationship Id="rId595" Type="http://schemas.openxmlformats.org/officeDocument/2006/relationships/image" Target="media/image514.png"/><Relationship Id="rId596" Type="http://schemas.openxmlformats.org/officeDocument/2006/relationships/image" Target="media/image515.png"/><Relationship Id="rId597" Type="http://schemas.openxmlformats.org/officeDocument/2006/relationships/image" Target="media/image516.png"/><Relationship Id="rId598" Type="http://schemas.openxmlformats.org/officeDocument/2006/relationships/image" Target="media/image517.png"/><Relationship Id="rId599" Type="http://schemas.openxmlformats.org/officeDocument/2006/relationships/image" Target="media/image518.png"/><Relationship Id="rId600" Type="http://schemas.openxmlformats.org/officeDocument/2006/relationships/image" Target="media/image519.png"/><Relationship Id="rId601" Type="http://schemas.openxmlformats.org/officeDocument/2006/relationships/image" Target="media/image520.png"/><Relationship Id="rId602" Type="http://schemas.openxmlformats.org/officeDocument/2006/relationships/image" Target="media/image521.png"/><Relationship Id="rId603" Type="http://schemas.openxmlformats.org/officeDocument/2006/relationships/image" Target="media/image522.png"/><Relationship Id="rId604" Type="http://schemas.openxmlformats.org/officeDocument/2006/relationships/image" Target="media/image523.png"/><Relationship Id="rId605" Type="http://schemas.openxmlformats.org/officeDocument/2006/relationships/image" Target="media/image524.png"/><Relationship Id="rId606" Type="http://schemas.openxmlformats.org/officeDocument/2006/relationships/image" Target="media/image525.png"/><Relationship Id="rId607" Type="http://schemas.openxmlformats.org/officeDocument/2006/relationships/image" Target="media/image526.png"/><Relationship Id="rId608" Type="http://schemas.openxmlformats.org/officeDocument/2006/relationships/image" Target="media/image527.png"/><Relationship Id="rId609" Type="http://schemas.openxmlformats.org/officeDocument/2006/relationships/image" Target="media/image528.png"/><Relationship Id="rId610" Type="http://schemas.openxmlformats.org/officeDocument/2006/relationships/image" Target="media/image529.png"/><Relationship Id="rId611" Type="http://schemas.openxmlformats.org/officeDocument/2006/relationships/image" Target="media/image530.png"/><Relationship Id="rId612" Type="http://schemas.openxmlformats.org/officeDocument/2006/relationships/image" Target="media/image531.png"/><Relationship Id="rId613" Type="http://schemas.openxmlformats.org/officeDocument/2006/relationships/image" Target="media/image532.png"/><Relationship Id="rId614" Type="http://schemas.openxmlformats.org/officeDocument/2006/relationships/image" Target="media/image533.png"/><Relationship Id="rId615" Type="http://schemas.openxmlformats.org/officeDocument/2006/relationships/image" Target="media/image534.png"/><Relationship Id="rId616" Type="http://schemas.openxmlformats.org/officeDocument/2006/relationships/image" Target="media/image535.png"/><Relationship Id="rId617" Type="http://schemas.openxmlformats.org/officeDocument/2006/relationships/image" Target="media/image536.png"/><Relationship Id="rId618" Type="http://schemas.openxmlformats.org/officeDocument/2006/relationships/image" Target="media/image537.png"/><Relationship Id="rId619" Type="http://schemas.openxmlformats.org/officeDocument/2006/relationships/image" Target="media/image538.png"/><Relationship Id="rId620" Type="http://schemas.openxmlformats.org/officeDocument/2006/relationships/image" Target="media/image539.png"/><Relationship Id="rId621" Type="http://schemas.openxmlformats.org/officeDocument/2006/relationships/image" Target="media/image540.png"/><Relationship Id="rId622" Type="http://schemas.openxmlformats.org/officeDocument/2006/relationships/image" Target="media/image541.png"/><Relationship Id="rId623" Type="http://schemas.openxmlformats.org/officeDocument/2006/relationships/image" Target="media/image542.png"/><Relationship Id="rId624" Type="http://schemas.openxmlformats.org/officeDocument/2006/relationships/image" Target="media/image543.png"/><Relationship Id="rId625" Type="http://schemas.openxmlformats.org/officeDocument/2006/relationships/image" Target="media/image544.png"/><Relationship Id="rId626" Type="http://schemas.openxmlformats.org/officeDocument/2006/relationships/image" Target="media/image545.png"/><Relationship Id="rId627" Type="http://schemas.openxmlformats.org/officeDocument/2006/relationships/image" Target="media/image546.png"/><Relationship Id="rId628" Type="http://schemas.openxmlformats.org/officeDocument/2006/relationships/image" Target="media/image547.png"/><Relationship Id="rId629" Type="http://schemas.openxmlformats.org/officeDocument/2006/relationships/image" Target="media/image548.png"/><Relationship Id="rId630" Type="http://schemas.openxmlformats.org/officeDocument/2006/relationships/image" Target="media/image549.png"/><Relationship Id="rId631" Type="http://schemas.openxmlformats.org/officeDocument/2006/relationships/image" Target="media/image550.png"/><Relationship Id="rId632" Type="http://schemas.openxmlformats.org/officeDocument/2006/relationships/image" Target="media/image551.png"/><Relationship Id="rId633" Type="http://schemas.openxmlformats.org/officeDocument/2006/relationships/image" Target="media/image552.png"/><Relationship Id="rId634" Type="http://schemas.openxmlformats.org/officeDocument/2006/relationships/image" Target="media/image553.png"/><Relationship Id="rId635" Type="http://schemas.openxmlformats.org/officeDocument/2006/relationships/image" Target="media/image554.png"/><Relationship Id="rId636" Type="http://schemas.openxmlformats.org/officeDocument/2006/relationships/image" Target="media/image555.png"/><Relationship Id="rId637" Type="http://schemas.openxmlformats.org/officeDocument/2006/relationships/image" Target="media/image556.png"/><Relationship Id="rId638" Type="http://schemas.openxmlformats.org/officeDocument/2006/relationships/image" Target="media/image557.png"/><Relationship Id="rId639" Type="http://schemas.openxmlformats.org/officeDocument/2006/relationships/image" Target="media/image558.png"/><Relationship Id="rId640" Type="http://schemas.openxmlformats.org/officeDocument/2006/relationships/image" Target="media/image559.png"/><Relationship Id="rId641" Type="http://schemas.openxmlformats.org/officeDocument/2006/relationships/image" Target="media/image560.png"/><Relationship Id="rId642" Type="http://schemas.openxmlformats.org/officeDocument/2006/relationships/image" Target="media/image561.png"/><Relationship Id="rId643" Type="http://schemas.openxmlformats.org/officeDocument/2006/relationships/image" Target="media/image562.png"/><Relationship Id="rId644" Type="http://schemas.openxmlformats.org/officeDocument/2006/relationships/image" Target="media/image563.png"/><Relationship Id="rId645" Type="http://schemas.openxmlformats.org/officeDocument/2006/relationships/image" Target="media/image564.png"/><Relationship Id="rId646" Type="http://schemas.openxmlformats.org/officeDocument/2006/relationships/image" Target="media/image565.png"/><Relationship Id="rId647" Type="http://schemas.openxmlformats.org/officeDocument/2006/relationships/image" Target="media/image566.png"/><Relationship Id="rId648" Type="http://schemas.openxmlformats.org/officeDocument/2006/relationships/image" Target="media/image567.png"/><Relationship Id="rId649" Type="http://schemas.openxmlformats.org/officeDocument/2006/relationships/image" Target="media/image568.png"/><Relationship Id="rId650" Type="http://schemas.openxmlformats.org/officeDocument/2006/relationships/image" Target="media/image569.png"/><Relationship Id="rId651" Type="http://schemas.openxmlformats.org/officeDocument/2006/relationships/image" Target="media/image570.png"/><Relationship Id="rId652" Type="http://schemas.openxmlformats.org/officeDocument/2006/relationships/image" Target="media/image571.png"/><Relationship Id="rId653" Type="http://schemas.openxmlformats.org/officeDocument/2006/relationships/image" Target="media/image572.png"/><Relationship Id="rId654" Type="http://schemas.openxmlformats.org/officeDocument/2006/relationships/image" Target="media/image573.png"/><Relationship Id="rId655" Type="http://schemas.openxmlformats.org/officeDocument/2006/relationships/image" Target="media/image574.png"/><Relationship Id="rId656" Type="http://schemas.openxmlformats.org/officeDocument/2006/relationships/image" Target="media/image575.png"/><Relationship Id="rId657" Type="http://schemas.openxmlformats.org/officeDocument/2006/relationships/image" Target="media/image576.png"/><Relationship Id="rId658" Type="http://schemas.openxmlformats.org/officeDocument/2006/relationships/image" Target="media/image577.png"/><Relationship Id="rId659" Type="http://schemas.openxmlformats.org/officeDocument/2006/relationships/image" Target="media/image578.png"/><Relationship Id="rId660" Type="http://schemas.openxmlformats.org/officeDocument/2006/relationships/image" Target="media/image579.png"/><Relationship Id="rId661" Type="http://schemas.openxmlformats.org/officeDocument/2006/relationships/image" Target="media/image580.png"/><Relationship Id="rId662" Type="http://schemas.openxmlformats.org/officeDocument/2006/relationships/image" Target="media/image581.png"/><Relationship Id="rId663" Type="http://schemas.openxmlformats.org/officeDocument/2006/relationships/image" Target="media/image582.png"/><Relationship Id="rId664" Type="http://schemas.openxmlformats.org/officeDocument/2006/relationships/image" Target="media/image583.png"/><Relationship Id="rId665" Type="http://schemas.openxmlformats.org/officeDocument/2006/relationships/image" Target="media/image584.png"/><Relationship Id="rId666" Type="http://schemas.openxmlformats.org/officeDocument/2006/relationships/image" Target="media/image585.png"/><Relationship Id="rId667" Type="http://schemas.openxmlformats.org/officeDocument/2006/relationships/image" Target="media/image586.png"/><Relationship Id="rId668" Type="http://schemas.openxmlformats.org/officeDocument/2006/relationships/image" Target="media/image587.png"/><Relationship Id="rId669" Type="http://schemas.openxmlformats.org/officeDocument/2006/relationships/image" Target="media/image588.png"/><Relationship Id="rId670" Type="http://schemas.openxmlformats.org/officeDocument/2006/relationships/image" Target="media/image589.png"/><Relationship Id="rId671" Type="http://schemas.openxmlformats.org/officeDocument/2006/relationships/image" Target="media/image590.png"/><Relationship Id="rId672" Type="http://schemas.openxmlformats.org/officeDocument/2006/relationships/image" Target="media/image591.png"/><Relationship Id="rId673" Type="http://schemas.openxmlformats.org/officeDocument/2006/relationships/image" Target="media/image592.png"/><Relationship Id="rId674" Type="http://schemas.openxmlformats.org/officeDocument/2006/relationships/image" Target="media/image593.png"/><Relationship Id="rId675" Type="http://schemas.openxmlformats.org/officeDocument/2006/relationships/image" Target="media/image594.png"/><Relationship Id="rId676" Type="http://schemas.openxmlformats.org/officeDocument/2006/relationships/image" Target="media/image595.png"/><Relationship Id="rId677" Type="http://schemas.openxmlformats.org/officeDocument/2006/relationships/image" Target="media/image596.png"/><Relationship Id="rId678" Type="http://schemas.openxmlformats.org/officeDocument/2006/relationships/image" Target="media/image597.png"/><Relationship Id="rId679" Type="http://schemas.openxmlformats.org/officeDocument/2006/relationships/image" Target="media/image598.png"/><Relationship Id="rId680" Type="http://schemas.openxmlformats.org/officeDocument/2006/relationships/image" Target="media/image599.png"/><Relationship Id="rId681" Type="http://schemas.openxmlformats.org/officeDocument/2006/relationships/image" Target="media/image600.png"/><Relationship Id="rId682" Type="http://schemas.openxmlformats.org/officeDocument/2006/relationships/image" Target="media/image601.png"/><Relationship Id="rId683" Type="http://schemas.openxmlformats.org/officeDocument/2006/relationships/image" Target="media/image602.png"/><Relationship Id="rId684" Type="http://schemas.openxmlformats.org/officeDocument/2006/relationships/image" Target="media/image603.png"/><Relationship Id="rId685" Type="http://schemas.openxmlformats.org/officeDocument/2006/relationships/image" Target="media/image604.png"/><Relationship Id="rId686" Type="http://schemas.openxmlformats.org/officeDocument/2006/relationships/image" Target="media/image605.png"/><Relationship Id="rId687" Type="http://schemas.openxmlformats.org/officeDocument/2006/relationships/image" Target="media/image606.png"/><Relationship Id="rId688" Type="http://schemas.openxmlformats.org/officeDocument/2006/relationships/image" Target="media/image607.png"/><Relationship Id="rId689" Type="http://schemas.openxmlformats.org/officeDocument/2006/relationships/image" Target="media/image608.png"/><Relationship Id="rId690" Type="http://schemas.openxmlformats.org/officeDocument/2006/relationships/image" Target="media/image609.png"/><Relationship Id="rId691" Type="http://schemas.openxmlformats.org/officeDocument/2006/relationships/image" Target="media/image610.png"/><Relationship Id="rId692" Type="http://schemas.openxmlformats.org/officeDocument/2006/relationships/image" Target="media/image611.png"/><Relationship Id="rId693" Type="http://schemas.openxmlformats.org/officeDocument/2006/relationships/image" Target="media/image612.png"/><Relationship Id="rId694" Type="http://schemas.openxmlformats.org/officeDocument/2006/relationships/image" Target="media/image613.png"/><Relationship Id="rId695" Type="http://schemas.openxmlformats.org/officeDocument/2006/relationships/image" Target="media/image614.png"/><Relationship Id="rId696" Type="http://schemas.openxmlformats.org/officeDocument/2006/relationships/image" Target="media/image615.png"/><Relationship Id="rId697" Type="http://schemas.openxmlformats.org/officeDocument/2006/relationships/image" Target="media/image616.png"/><Relationship Id="rId698" Type="http://schemas.openxmlformats.org/officeDocument/2006/relationships/image" Target="media/image617.png"/><Relationship Id="rId699" Type="http://schemas.openxmlformats.org/officeDocument/2006/relationships/image" Target="media/image618.png"/><Relationship Id="rId700" Type="http://schemas.openxmlformats.org/officeDocument/2006/relationships/image" Target="media/image619.png"/><Relationship Id="rId701" Type="http://schemas.openxmlformats.org/officeDocument/2006/relationships/image" Target="media/image620.png"/><Relationship Id="rId702" Type="http://schemas.openxmlformats.org/officeDocument/2006/relationships/image" Target="media/image621.png"/><Relationship Id="rId703" Type="http://schemas.openxmlformats.org/officeDocument/2006/relationships/image" Target="media/image622.png"/><Relationship Id="rId704" Type="http://schemas.openxmlformats.org/officeDocument/2006/relationships/image" Target="media/image623.png"/><Relationship Id="rId705" Type="http://schemas.openxmlformats.org/officeDocument/2006/relationships/image" Target="media/image624.png"/><Relationship Id="rId706" Type="http://schemas.openxmlformats.org/officeDocument/2006/relationships/image" Target="media/image625.png"/><Relationship Id="rId707" Type="http://schemas.openxmlformats.org/officeDocument/2006/relationships/image" Target="media/image626.png"/><Relationship Id="rId708" Type="http://schemas.openxmlformats.org/officeDocument/2006/relationships/image" Target="media/image627.png"/><Relationship Id="rId709" Type="http://schemas.openxmlformats.org/officeDocument/2006/relationships/image" Target="media/image628.png"/><Relationship Id="rId710" Type="http://schemas.openxmlformats.org/officeDocument/2006/relationships/image" Target="media/image629.png"/><Relationship Id="rId711" Type="http://schemas.openxmlformats.org/officeDocument/2006/relationships/image" Target="media/image630.png"/><Relationship Id="rId712" Type="http://schemas.openxmlformats.org/officeDocument/2006/relationships/image" Target="media/image631.png"/><Relationship Id="rId713" Type="http://schemas.openxmlformats.org/officeDocument/2006/relationships/image" Target="media/image632.png"/><Relationship Id="rId714" Type="http://schemas.openxmlformats.org/officeDocument/2006/relationships/image" Target="media/image633.png"/><Relationship Id="rId715" Type="http://schemas.openxmlformats.org/officeDocument/2006/relationships/image" Target="media/image634.png"/><Relationship Id="rId716" Type="http://schemas.openxmlformats.org/officeDocument/2006/relationships/image" Target="media/image635.png"/><Relationship Id="rId717" Type="http://schemas.openxmlformats.org/officeDocument/2006/relationships/image" Target="media/image636.png"/><Relationship Id="rId718" Type="http://schemas.openxmlformats.org/officeDocument/2006/relationships/image" Target="media/image637.png"/><Relationship Id="rId719" Type="http://schemas.openxmlformats.org/officeDocument/2006/relationships/image" Target="media/image638.png"/><Relationship Id="rId720" Type="http://schemas.openxmlformats.org/officeDocument/2006/relationships/image" Target="media/image639.png"/><Relationship Id="rId721" Type="http://schemas.openxmlformats.org/officeDocument/2006/relationships/image" Target="media/image640.png"/><Relationship Id="rId722" Type="http://schemas.openxmlformats.org/officeDocument/2006/relationships/image" Target="media/image641.png"/><Relationship Id="rId723" Type="http://schemas.openxmlformats.org/officeDocument/2006/relationships/image" Target="media/image642.png"/><Relationship Id="rId724" Type="http://schemas.openxmlformats.org/officeDocument/2006/relationships/image" Target="media/image643.png"/><Relationship Id="rId725" Type="http://schemas.openxmlformats.org/officeDocument/2006/relationships/image" Target="media/image644.png"/><Relationship Id="rId726" Type="http://schemas.openxmlformats.org/officeDocument/2006/relationships/image" Target="media/image645.png"/><Relationship Id="rId727" Type="http://schemas.openxmlformats.org/officeDocument/2006/relationships/image" Target="media/image646.png"/><Relationship Id="rId728" Type="http://schemas.openxmlformats.org/officeDocument/2006/relationships/image" Target="media/image647.png"/><Relationship Id="rId729" Type="http://schemas.openxmlformats.org/officeDocument/2006/relationships/image" Target="media/image648.png"/><Relationship Id="rId730" Type="http://schemas.openxmlformats.org/officeDocument/2006/relationships/image" Target="media/image649.png"/><Relationship Id="rId731" Type="http://schemas.openxmlformats.org/officeDocument/2006/relationships/image" Target="media/image650.png"/><Relationship Id="rId732" Type="http://schemas.openxmlformats.org/officeDocument/2006/relationships/image" Target="media/image651.png"/><Relationship Id="rId733" Type="http://schemas.openxmlformats.org/officeDocument/2006/relationships/image" Target="media/image652.png"/><Relationship Id="rId734" Type="http://schemas.openxmlformats.org/officeDocument/2006/relationships/image" Target="media/image653.png"/><Relationship Id="rId735" Type="http://schemas.openxmlformats.org/officeDocument/2006/relationships/image" Target="media/image654.png"/><Relationship Id="rId736" Type="http://schemas.openxmlformats.org/officeDocument/2006/relationships/image" Target="media/image655.png"/><Relationship Id="rId737" Type="http://schemas.openxmlformats.org/officeDocument/2006/relationships/image" Target="media/image656.png"/><Relationship Id="rId738" Type="http://schemas.openxmlformats.org/officeDocument/2006/relationships/image" Target="media/image657.png"/><Relationship Id="rId739" Type="http://schemas.openxmlformats.org/officeDocument/2006/relationships/image" Target="media/image658.png"/><Relationship Id="rId740" Type="http://schemas.openxmlformats.org/officeDocument/2006/relationships/image" Target="media/image659.png"/><Relationship Id="rId741" Type="http://schemas.openxmlformats.org/officeDocument/2006/relationships/image" Target="media/image660.png"/><Relationship Id="rId742" Type="http://schemas.openxmlformats.org/officeDocument/2006/relationships/image" Target="media/image661.png"/><Relationship Id="rId743" Type="http://schemas.openxmlformats.org/officeDocument/2006/relationships/image" Target="media/image662.png"/><Relationship Id="rId744" Type="http://schemas.openxmlformats.org/officeDocument/2006/relationships/image" Target="media/image663.png"/><Relationship Id="rId745" Type="http://schemas.openxmlformats.org/officeDocument/2006/relationships/image" Target="media/image664.png"/><Relationship Id="rId746" Type="http://schemas.openxmlformats.org/officeDocument/2006/relationships/image" Target="media/image665.png"/><Relationship Id="rId747" Type="http://schemas.openxmlformats.org/officeDocument/2006/relationships/image" Target="media/image666.png"/><Relationship Id="rId748" Type="http://schemas.openxmlformats.org/officeDocument/2006/relationships/image" Target="media/image667.png"/><Relationship Id="rId749" Type="http://schemas.openxmlformats.org/officeDocument/2006/relationships/image" Target="media/image668.png"/><Relationship Id="rId750" Type="http://schemas.openxmlformats.org/officeDocument/2006/relationships/image" Target="media/image669.png"/><Relationship Id="rId751" Type="http://schemas.openxmlformats.org/officeDocument/2006/relationships/image" Target="media/image670.png"/><Relationship Id="rId752" Type="http://schemas.openxmlformats.org/officeDocument/2006/relationships/image" Target="media/image671.png"/><Relationship Id="rId753" Type="http://schemas.openxmlformats.org/officeDocument/2006/relationships/image" Target="media/image672.png"/><Relationship Id="rId754" Type="http://schemas.openxmlformats.org/officeDocument/2006/relationships/image" Target="media/image673.png"/><Relationship Id="rId755" Type="http://schemas.openxmlformats.org/officeDocument/2006/relationships/image" Target="media/image674.png"/><Relationship Id="rId756" Type="http://schemas.openxmlformats.org/officeDocument/2006/relationships/image" Target="media/image675.png"/><Relationship Id="rId757" Type="http://schemas.openxmlformats.org/officeDocument/2006/relationships/image" Target="media/image676.png"/><Relationship Id="rId758" Type="http://schemas.openxmlformats.org/officeDocument/2006/relationships/image" Target="media/image677.png"/><Relationship Id="rId759" Type="http://schemas.openxmlformats.org/officeDocument/2006/relationships/image" Target="media/image678.png"/><Relationship Id="rId760" Type="http://schemas.openxmlformats.org/officeDocument/2006/relationships/image" Target="media/image679.png"/><Relationship Id="rId761" Type="http://schemas.openxmlformats.org/officeDocument/2006/relationships/image" Target="media/image680.png"/><Relationship Id="rId762" Type="http://schemas.openxmlformats.org/officeDocument/2006/relationships/image" Target="media/image681.png"/><Relationship Id="rId763" Type="http://schemas.openxmlformats.org/officeDocument/2006/relationships/image" Target="media/image682.png"/><Relationship Id="rId764" Type="http://schemas.openxmlformats.org/officeDocument/2006/relationships/image" Target="media/image683.png"/><Relationship Id="rId765" Type="http://schemas.openxmlformats.org/officeDocument/2006/relationships/image" Target="media/image684.png"/><Relationship Id="rId766" Type="http://schemas.openxmlformats.org/officeDocument/2006/relationships/image" Target="media/image685.png"/><Relationship Id="rId767" Type="http://schemas.openxmlformats.org/officeDocument/2006/relationships/image" Target="media/image686.png"/><Relationship Id="rId768" Type="http://schemas.openxmlformats.org/officeDocument/2006/relationships/image" Target="media/image687.png"/><Relationship Id="rId769" Type="http://schemas.openxmlformats.org/officeDocument/2006/relationships/image" Target="media/image688.png"/><Relationship Id="rId770" Type="http://schemas.openxmlformats.org/officeDocument/2006/relationships/image" Target="media/image689.png"/><Relationship Id="rId771" Type="http://schemas.openxmlformats.org/officeDocument/2006/relationships/image" Target="media/image690.png"/><Relationship Id="rId772" Type="http://schemas.openxmlformats.org/officeDocument/2006/relationships/image" Target="media/image691.png"/><Relationship Id="rId773" Type="http://schemas.openxmlformats.org/officeDocument/2006/relationships/image" Target="media/image692.png"/><Relationship Id="rId774" Type="http://schemas.openxmlformats.org/officeDocument/2006/relationships/image" Target="media/image693.png"/><Relationship Id="rId775" Type="http://schemas.openxmlformats.org/officeDocument/2006/relationships/image" Target="media/image694.png"/><Relationship Id="rId776" Type="http://schemas.openxmlformats.org/officeDocument/2006/relationships/image" Target="media/image695.png"/><Relationship Id="rId777" Type="http://schemas.openxmlformats.org/officeDocument/2006/relationships/image" Target="media/image696.png"/><Relationship Id="rId778" Type="http://schemas.openxmlformats.org/officeDocument/2006/relationships/image" Target="media/image697.png"/><Relationship Id="rId779" Type="http://schemas.openxmlformats.org/officeDocument/2006/relationships/image" Target="media/image698.png"/><Relationship Id="rId780" Type="http://schemas.openxmlformats.org/officeDocument/2006/relationships/image" Target="media/image699.png"/><Relationship Id="rId781" Type="http://schemas.openxmlformats.org/officeDocument/2006/relationships/image" Target="media/image700.png"/><Relationship Id="rId782" Type="http://schemas.openxmlformats.org/officeDocument/2006/relationships/image" Target="media/image701.png"/><Relationship Id="rId783" Type="http://schemas.openxmlformats.org/officeDocument/2006/relationships/image" Target="media/image702.png"/><Relationship Id="rId784" Type="http://schemas.openxmlformats.org/officeDocument/2006/relationships/image" Target="media/image703.png"/><Relationship Id="rId785" Type="http://schemas.openxmlformats.org/officeDocument/2006/relationships/image" Target="media/image704.png"/><Relationship Id="rId786" Type="http://schemas.openxmlformats.org/officeDocument/2006/relationships/image" Target="media/image705.png"/><Relationship Id="rId787" Type="http://schemas.openxmlformats.org/officeDocument/2006/relationships/image" Target="media/image706.png"/><Relationship Id="rId788" Type="http://schemas.openxmlformats.org/officeDocument/2006/relationships/image" Target="media/image707.png"/><Relationship Id="rId789" Type="http://schemas.openxmlformats.org/officeDocument/2006/relationships/image" Target="media/image708.png"/><Relationship Id="rId790" Type="http://schemas.openxmlformats.org/officeDocument/2006/relationships/image" Target="media/image709.png"/><Relationship Id="rId791" Type="http://schemas.openxmlformats.org/officeDocument/2006/relationships/image" Target="media/image710.png"/><Relationship Id="rId792" Type="http://schemas.openxmlformats.org/officeDocument/2006/relationships/image" Target="media/image711.png"/><Relationship Id="rId793" Type="http://schemas.openxmlformats.org/officeDocument/2006/relationships/image" Target="media/image712.png"/><Relationship Id="rId794" Type="http://schemas.openxmlformats.org/officeDocument/2006/relationships/image" Target="media/image713.png"/><Relationship Id="rId795" Type="http://schemas.openxmlformats.org/officeDocument/2006/relationships/image" Target="media/image714.png"/><Relationship Id="rId796" Type="http://schemas.openxmlformats.org/officeDocument/2006/relationships/image" Target="media/image715.png"/><Relationship Id="rId797" Type="http://schemas.openxmlformats.org/officeDocument/2006/relationships/image" Target="media/image716.png"/><Relationship Id="rId798" Type="http://schemas.openxmlformats.org/officeDocument/2006/relationships/image" Target="media/image717.png"/><Relationship Id="rId799" Type="http://schemas.openxmlformats.org/officeDocument/2006/relationships/image" Target="media/image718.png"/><Relationship Id="rId185" Type="http://schemas.openxmlformats.org/officeDocument/2006/relationships/hyperlink" Target="https://www.sec.gov/Archives/edgar/data/275880/000119312519144517/d730409dex31.htm" TargetMode="External"/><Relationship Id="rId186" Type="http://schemas.openxmlformats.org/officeDocument/2006/relationships/hyperlink" Target="https://www.sec.gov/Archives/edgar/data/275880/000119312519144517/d730409dex32.htm" TargetMode="External"/><Relationship Id="rId187" Type="http://schemas.openxmlformats.org/officeDocument/2006/relationships/hyperlink" Target="https://www.sec.gov/Archives/edgar/data/275880/000119312523012070/d415393dex31.htm" TargetMode="External"/><Relationship Id="rId188" Type="http://schemas.openxmlformats.org/officeDocument/2006/relationships/hyperlink" Target="https://www.sec.gov/Archives/edgar/data/275880/000156459020009791/psn-ex41_813.htm" TargetMode="External"/><Relationship Id="rId189" Type="http://schemas.openxmlformats.org/officeDocument/2006/relationships/hyperlink" Target="https://www.sec.gov/Archives/edgar/data/275880/000119312520225229/d51070dex41.htm" TargetMode="External"/><Relationship Id="rId190" Type="http://schemas.openxmlformats.org/officeDocument/2006/relationships/hyperlink" Target="https://www.sec.gov/Archives/edgar/data/275880/000095017024050876/psn-ex4_1.htm" TargetMode="External"/><Relationship Id="rId191" Type="http://schemas.openxmlformats.org/officeDocument/2006/relationships/hyperlink" Target="https://www.sec.gov/Archives/edgar/data/275880/000119312519105051/d625480dex101.htm" TargetMode="External"/><Relationship Id="rId192" Type="http://schemas.openxmlformats.org/officeDocument/2006/relationships/hyperlink" Target="https://www.sec.gov/Archives/edgar/data/275880/000119312519123626/d625480dex102.htm" TargetMode="External"/><Relationship Id="rId193" Type="http://schemas.openxmlformats.org/officeDocument/2006/relationships/hyperlink" Target="https://www.sec.gov/Archives/edgar/data/275880/000156459021007800/psn-ex103_1470.htm" TargetMode="External"/><Relationship Id="rId194" Type="http://schemas.openxmlformats.org/officeDocument/2006/relationships/hyperlink" Target="https://www.sec.gov/Archives/edgar/data/275880/000156459020009791/psn-ex103_702.htm" TargetMode="External"/><Relationship Id="rId195" Type="http://schemas.openxmlformats.org/officeDocument/2006/relationships/hyperlink" Target="https://www.sec.gov/Archives/edgar/data/275880/000119312519105051/d625480dex103.htm" TargetMode="External"/><Relationship Id="rId196" Type="http://schemas.openxmlformats.org/officeDocument/2006/relationships/hyperlink" Target="https://www.sec.gov/Archives/edgar/data/275880/000119312519105051/d625480dex104.htm" TargetMode="External"/><Relationship Id="rId197" Type="http://schemas.openxmlformats.org/officeDocument/2006/relationships/hyperlink" Target="https://www.sec.gov/Archives/edgar/data/275880/000119312519105051/d625480dex105.htm" TargetMode="External"/><Relationship Id="rId198" Type="http://schemas.openxmlformats.org/officeDocument/2006/relationships/hyperlink" Target="https://www.sec.gov/Archives/edgar/data/275880/000156459021007800/psn-ex108_1472.htm" TargetMode="External"/><Relationship Id="rId199" Type="http://schemas.openxmlformats.org/officeDocument/2006/relationships/hyperlink" Target="https://www.sec.gov/Archives/edgar/data/275880/000156459021007800/psn-ex109_1471.htm" TargetMode="External"/><Relationship Id="rId200" Type="http://schemas.openxmlformats.org/officeDocument/2006/relationships/hyperlink" Target="https://www.sec.gov/Archives/edgar/data/275880/000156459022006026/psn-ex1010_1101.htm" TargetMode="External"/><Relationship Id="rId201" Type="http://schemas.openxmlformats.org/officeDocument/2006/relationships/hyperlink" Target="https://www.sec.gov/Archives/edgar/data/275880/000119312519105051/d625480dex107.htm" TargetMode="External"/><Relationship Id="rId202" Type="http://schemas.openxmlformats.org/officeDocument/2006/relationships/hyperlink" Target="https://www.sec.gov/Archives/edgar/data/275880/000119312519105051/d625480dex108.htm" TargetMode="External"/><Relationship Id="rId203" Type="http://schemas.openxmlformats.org/officeDocument/2006/relationships/hyperlink" Target="https://www.sec.gov/Archives/edgar/data/275880/000119312519105051/d625480dex109.htm" TargetMode="External"/><Relationship Id="rId204" Type="http://schemas.openxmlformats.org/officeDocument/2006/relationships/hyperlink" Target="https://www.sec.gov/Archives/edgar/data/275880/000119312519123626/d625480dex1010.htm" TargetMode="External"/><Relationship Id="rId205" Type="http://schemas.openxmlformats.org/officeDocument/2006/relationships/hyperlink" Target="https://www.sec.gov/Archives/edgar/data/275880/000156459020009791/psn-ex1012_572.htm" TargetMode="External"/><Relationship Id="rId206" Type="http://schemas.openxmlformats.org/officeDocument/2006/relationships/hyperlink" Target="https://www.sec.gov/Archives/edgar/data/275880/000156459021007800/psn-ex1015_1473.htm" TargetMode="External"/><Relationship Id="rId207" Type="http://schemas.openxmlformats.org/officeDocument/2006/relationships/hyperlink" Target="https://www.sec.gov/Archives/edgar/data/275880/000156459020009791/psn-ex1014_571.htm" TargetMode="External"/><Relationship Id="rId208" Type="http://schemas.openxmlformats.org/officeDocument/2006/relationships/hyperlink" Target="https://www.sec.gov/Archives/edgar/data/275880/000156459020009791/psn-ex1015_570.htm" TargetMode="External"/><Relationship Id="rId209" Type="http://schemas.openxmlformats.org/officeDocument/2006/relationships/hyperlink" Target="https://www.sec.gov/Archives/edgar/data/275880/000156459020009791/psn-ex1017_568.htm" TargetMode="External"/><Relationship Id="rId210" Type="http://schemas.openxmlformats.org/officeDocument/2006/relationships/hyperlink" Target="https://www.sec.gov/Archives/edgar/data/275880/000156459021007800/psn-ex1019_2198.htm" TargetMode="External"/><Relationship Id="rId211" Type="http://schemas.openxmlformats.org/officeDocument/2006/relationships/hyperlink" Target="https://www.sec.gov/Archives/edgar/data/275880/000119312519123626/d625480dex1028.htm" TargetMode="External"/><Relationship Id="rId212" Type="http://schemas.openxmlformats.org/officeDocument/2006/relationships/hyperlink" Target="https://www.sec.gov/Archives/edgar/data/275880/000156459020009791/psn-ex1019_567.htm" TargetMode="External"/><Relationship Id="rId213" Type="http://schemas.openxmlformats.org/officeDocument/2006/relationships/hyperlink" Target="https://www.sec.gov/Archives/edgar/data/275880/000156459022006026/psn-ex1023_1100.htm" TargetMode="External"/><Relationship Id="rId216" Type="http://schemas.openxmlformats.org/officeDocument/2006/relationships/hyperlink" Target="https://www.sec.gov/Archives/edgar/data/275880/000156459021007800/psn-ex1022_1474.htm" TargetMode="External"/><Relationship Id="rId218" Type="http://schemas.openxmlformats.org/officeDocument/2006/relationships/hyperlink" Target="https://www.sec.gov/Archives/edgar/data/275880/000156459021007800/psn-ex1023_1475.htm" TargetMode="External"/><Relationship Id="rId220" Type="http://schemas.openxmlformats.org/officeDocument/2006/relationships/hyperlink" Target="https://www.sec.gov/Archives/edgar/data/275880/000156459022006026/psn-ex1028_1095.htm" TargetMode="External"/><Relationship Id="rId222" Type="http://schemas.openxmlformats.org/officeDocument/2006/relationships/hyperlink" Target="https://www.sec.gov/Archives/edgar/data/275880/000156459022006026/psn-ex1029_1094.htm" TargetMode="External"/><Relationship Id="rId225" Type="http://schemas.openxmlformats.org/officeDocument/2006/relationships/hyperlink" Target="https://www.sec.gov/Archives/edgar/data/275880/000156459022006026/psn-ex1030_1093.htm" TargetMode="External"/><Relationship Id="rId227" Type="http://schemas.openxmlformats.org/officeDocument/2006/relationships/hyperlink" Target="https://www.sec.gov/Archives/edgar/data/275880/000156459022006026/psn-ex1031_1092.htm" TargetMode="External"/><Relationship Id="rId229" Type="http://schemas.openxmlformats.org/officeDocument/2006/relationships/hyperlink" Target="https://www.sec.gov/Archives/edgar/data/275880/000156459022006026/psn-ex1032_1097.htm" TargetMode="External"/><Relationship Id="rId231" Type="http://schemas.openxmlformats.org/officeDocument/2006/relationships/hyperlink" Target="https://www.sec.gov/Archives/edgar/data/275880/000156459022006026/psn-ex1033_1096.htm" TargetMode="External"/><Relationship Id="rId233" Type="http://schemas.openxmlformats.org/officeDocument/2006/relationships/hyperlink" Target="https://www.sec.gov/Archives/edgar/data/275880/000156459021007800/psn-ex1028_1385.htm" TargetMode="External"/><Relationship Id="rId236" Type="http://schemas.openxmlformats.org/officeDocument/2006/relationships/hyperlink" Target="https://www.sec.gov/Archives/edgar/data/275880/000156459021007800/psn-ex1029_1478.htm" TargetMode="External"/><Relationship Id="rId239" Type="http://schemas.openxmlformats.org/officeDocument/2006/relationships/hyperlink" Target="https://www.sec.gov/Archives/edgar/data/275880/000156459021007800/psn-ex1030_1479.htm" TargetMode="External"/><Relationship Id="rId242" Type="http://schemas.openxmlformats.org/officeDocument/2006/relationships/hyperlink" Target="https://www.sec.gov/Archives/edgar/data/275880/000156459021007800/psn-ex1031_1476.htm" TargetMode="External"/><Relationship Id="rId245" Type="http://schemas.openxmlformats.org/officeDocument/2006/relationships/hyperlink" Target="https://www.sec.gov/Archives/edgar/data/275880/000156459021007800/psn-ex1032_1477.htm" TargetMode="External"/><Relationship Id="rId248" Type="http://schemas.openxmlformats.org/officeDocument/2006/relationships/hyperlink" Target="https://www.sec.gov/Archives/edgar/data/275880/000156459022006026/psn-ex1039_478.htm" TargetMode="External"/><Relationship Id="rId251" Type="http://schemas.openxmlformats.org/officeDocument/2006/relationships/hyperlink" Target="https://www.sec.gov/Archives/edgar/data/275880/000156459022006026/psn-ex1040_477.htm" TargetMode="External"/><Relationship Id="rId254" Type="http://schemas.openxmlformats.org/officeDocument/2006/relationships/hyperlink" Target="https://www.sec.gov/Archives/edgar/data/275880/000156459022006026/psn-ex1041_476.htm" TargetMode="External"/><Relationship Id="rId257" Type="http://schemas.openxmlformats.org/officeDocument/2006/relationships/hyperlink" Target="https://www.sec.gov/Archives/edgar/data/275880/000156459022006026/psn-ex1042_475.htm" TargetMode="External"/><Relationship Id="rId260" Type="http://schemas.openxmlformats.org/officeDocument/2006/relationships/hyperlink" Target="https://www.sec.gov/Archives/edgar/data/275880/000156459022006026/psn-ex1043_474.htm" TargetMode="External"/><Relationship Id="rId263" Type="http://schemas.openxmlformats.org/officeDocument/2006/relationships/hyperlink" Target="https://www.sec.gov/Archives/edgar/data/275880/000156459022006026/psn-ex1044_473.htm" TargetMode="External"/><Relationship Id="rId266" Type="http://schemas.openxmlformats.org/officeDocument/2006/relationships/hyperlink" Target="https://www.sec.gov/Archives/edgar/data/275880/000156459022006026/psn-ex1045_472.htm" TargetMode="External"/><Relationship Id="rId269" Type="http://schemas.openxmlformats.org/officeDocument/2006/relationships/hyperlink" Target="https://www.sec.gov/Archives/edgar/data/275880/000156459022006026/psn-ex1046_471.htm" TargetMode="External"/><Relationship Id="rId272" Type="http://schemas.openxmlformats.org/officeDocument/2006/relationships/hyperlink" Target="https://www.sec.gov/Archives/edgar/data/275880/000156459022006026/psn-ex1047_1090.htm" TargetMode="External"/><Relationship Id="rId275" Type="http://schemas.openxmlformats.org/officeDocument/2006/relationships/hyperlink" Target="https://www.sec.gov/Archives/edgar/data/275880/000156459022006026/psn-ex1048_1091.htm" TargetMode="External"/><Relationship Id="rId279" Type="http://schemas.openxmlformats.org/officeDocument/2006/relationships/hyperlink" Target="https://www.sec.gov/Archives/edgar/data/275880/000119312519105051/d625480dex1021.htm" TargetMode="External"/><Relationship Id="rId285" Type="http://schemas.openxmlformats.org/officeDocument/2006/relationships/hyperlink" Target="https://www.sec.gov/Archives/edgar/data/275880/000119312519105051/d625480dex1022.htm" TargetMode="External"/><Relationship Id="rId288" Type="http://schemas.openxmlformats.org/officeDocument/2006/relationships/hyperlink" Target="https://www.sec.gov/Archives/edgar/data/0000275880/000156459021034854/psn-ex991_17.htm" TargetMode="External"/><Relationship Id="rId291" Type="http://schemas.openxmlformats.org/officeDocument/2006/relationships/hyperlink" Target="https://www.sec.gov/Archives/edgar/data/275880/000119312519105051/d625480dex1023.htm" TargetMode="External"/><Relationship Id="rId295" Type="http://schemas.openxmlformats.org/officeDocument/2006/relationships/hyperlink" Target="https://www.sec.gov/Archives/edgar/data/275880/000156459021007800/psn-ex1039_1753.htm" TargetMode="External"/><Relationship Id="rId298" Type="http://schemas.openxmlformats.org/officeDocument/2006/relationships/hyperlink" Target="https://www.sec.gov/Archives/edgar/data/275880/000119312519123626/d625480dex1026.htm" TargetMode="External"/><Relationship Id="rId300" Type="http://schemas.openxmlformats.org/officeDocument/2006/relationships/hyperlink" Target="https://www.sec.gov/Archives/edgar/data/275880/000156459021007800/psn-ex1041_1480.htm" TargetMode="External"/><Relationship Id="rId302" Type="http://schemas.openxmlformats.org/officeDocument/2006/relationships/hyperlink" Target="https://www.sec.gov/Archives/edgar/data/275880/000156459021007800/psn-ex1042_2855.htm" TargetMode="External"/><Relationship Id="rId305" Type="http://schemas.openxmlformats.org/officeDocument/2006/relationships/hyperlink" Target="https://www.sec.gov/Archives/edgar/data/275880/000156459022006026/psn-ex1060_1089.htm" TargetMode="External"/><Relationship Id="rId306" Type="http://schemas.openxmlformats.org/officeDocument/2006/relationships/hyperlink" Target="https://www.sec.gov/Archives/edgar/data/275880/000119312519123626/d625480dex1017.htm" TargetMode="External"/><Relationship Id="rId307" Type="http://schemas.openxmlformats.org/officeDocument/2006/relationships/hyperlink" Target="https://www.sec.gov/Archives/edgar/data/275880/000156459022006026/psn-ex1062_1088.htm" TargetMode="External"/><Relationship Id="rId308" Type="http://schemas.openxmlformats.org/officeDocument/2006/relationships/hyperlink" Target="https://www.sec.gov/ix?doc=/Archives/edgar/data/0000275880/000156459022031876/psn-8k_20220914.htm" TargetMode="External"/><Relationship Id="rId309" Type="http://schemas.openxmlformats.org/officeDocument/2006/relationships/hyperlink" Target="https://www.sec.gov/Archives/edgar/data/275880/000156459023002040/psn-ex1065_472.htm" TargetMode="External"/><Relationship Id="rId310" Type="http://schemas.openxmlformats.org/officeDocument/2006/relationships/hyperlink" Target="https://www.sec.gov/Archives/edgar/data/275880/000156459022017655/psn-ex101_148.htm" TargetMode="External"/><Relationship Id="rId311" Type="http://schemas.openxmlformats.org/officeDocument/2006/relationships/hyperlink" Target="https://www.sec.gov/Archives/edgar/data/275880/000156459023002040/psn-ex1067_761.htm" TargetMode="External"/><Relationship Id="rId312" Type="http://schemas.openxmlformats.org/officeDocument/2006/relationships/hyperlink" Target="https://www.sec.gov/Archives/edgar/data/275880/000095017024050876/psn-ex10_1.htm" TargetMode="External"/><Relationship Id="rId313" Type="http://schemas.openxmlformats.org/officeDocument/2006/relationships/hyperlink" Target="https://www.sec.gov/Archives/edgar/data/275880/000095017024088219/psn-ex10_1.htm" TargetMode="External"/><Relationship Id="rId314" Type="http://schemas.openxmlformats.org/officeDocument/2006/relationships/hyperlink" Target="https://www.sec.gov/Archives/edgar/data/275880/000095017024088219/psn-ex10_2.htm" TargetMode="External"/><Relationship Id="rId315" Type="http://schemas.openxmlformats.org/officeDocument/2006/relationships/hyperlink" Target="https://www.sec.gov/Archives/edgar/data/275880/000095017025022754/psn-ex10_71.htm" TargetMode="External"/><Relationship Id="rId318" Type="http://schemas.openxmlformats.org/officeDocument/2006/relationships/hyperlink" Target="https://www.sec.gov/Archives/edgar/data/275880/000095017024014927/psn-ex19_3.htm" TargetMode="External"/><Relationship Id="rId319" Type="http://schemas.openxmlformats.org/officeDocument/2006/relationships/hyperlink" Target="https://www.sec.gov/Archives/edgar/data/275880/000095017023057104/psn-ex19_1.htm" TargetMode="External"/><Relationship Id="rId320" Type="http://schemas.openxmlformats.org/officeDocument/2006/relationships/hyperlink" Target="https://www.sec.gov/Archives/edgar/data/275880/000095017023057104/psn-ex1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2026-02-11T06:02:57Z</dcterms:created>
  <dcterms:modified xsi:type="dcterms:W3CDTF">2026-02-11T06:02:57Z</dcterms:modified>
</cp:coreProperties>
</file>